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bmbnorb8kk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DE PROTOCOLOS DE EMERGENCIA Y EVACUACIÓN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8pcpterud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Planta Industrial de Aserradero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1.0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Fecha de Elaboración: Diciembre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bookmarkStart w:colFirst="0" w:colLast="0" w:name="_aak7semtdaf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50wals1k3cc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ÍNDICE DE CONTENIDOS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Introducción —-------------------------------------------------------------------------2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Objetivos del Plan—------------------------------------------------------------------2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Identificación de Riesgos—---------------------------------------------------------2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Estructura de Emergencia—-------------------------------------------------------2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Protocolos de Actuación—---------------------------------------------------------3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Rutas de Evacuación—-------------------------------------------------------------3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Equipamiento de Emergencia—--------------------------------------------------3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Capacitación y Simulacros—------------------------------------------------------4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Anexos—-------------------------------------------------------------------------------4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yr8ykrej2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c2ng68acz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1.1 Propósito del Manual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manual establece los lineamientos de seguridad y procedimientos de emergencia para la planta industrial de aserradero, con el objetivo de proteger la vida de los trabajadores y minimizar potential daños materiales en situaciones de riesgo.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7c0pqxrgu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1.2 Alcance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Aplicable a 30 trabajadores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Área total de 3000 m²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Maquinaria de procesamiento continuo con 20 años de antigüedad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gxvh9kre6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OBJETIVOS DEL PLAN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Objetivos Principales: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Definir procedimientos claros de respuesta ante emergencias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Establecer rutas y puntos de evacuación seguros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Minimizar tiempos de reacción en situaciones críticas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Preservar la integridad física de los trabajadores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5g1nde6qv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IDENTIFICACIÓN DE RIESGOS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nvmnyemvz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3.1 Riesgos Potenciales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Incendio en área de maquinaria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Accidentes con maquinaria de corte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Explosión por acumulación de polvo de madera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Cortocircuitos eléctricos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Derrumbe estructural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cqpmx030y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3.2 Niveles de Riesgo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Bajo: Situaciones controlables inmediatamente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Medio: Requiere intervención especializada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Alto: Evacuación inmediata necesaria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87bbxa2zz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ESTRUCTURA DE EMERGENCIA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mb10s11v9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4.1 Organización de Brigada de Emergencia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Coordinador General de Emergencias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Responsable: Jefe de Planta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Funciones: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Dirigir operaciones de emergencia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Coordinar evacuación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Contactar servicios de emergencia externos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Brigada de Primeros Auxilios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 miembros entrenados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Funciones: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Atención inmediata de lesionados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Manejo de botiquín de emergencia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Brigada Contra Incendios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 miembros entrenados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Funciones: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extintores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 de conato de incendio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Corte de suministros (electricidad, gas)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unj6kxino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PROTOCOLOS DE ACTUACIÓN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0wk7726d0l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5.1 Protocolo General de Emergencia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Pasos de Acción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tipo de emergencia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Activar alarma de emergencia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Informar al Coordinador General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Iniciar evacuación según ruta correspondiente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conteo de personal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Esperar instrucciones de servicios de emergencia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kvvteuvuhb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5.2 Protocolo Específico por Tipo de Emergencia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Incendio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extintor más cercano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Cortar suministro eléctrico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Evacuar área inmediatamente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usar ascensores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Accidente Mecánico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Detener maquinaria cercana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Aislar área del accidente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Brindar primeros auxilios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Reportar al coordinador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pduz692br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RUTAS DE EVACUACIÓN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br18ze3f8x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6.1 Rutas Principales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Ruta Norte: Salida principal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Ruta Sur: Salida de emergencia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Ruta Este: Salida lateral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Ruta Oeste: Salida de zona de producción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qglogag7s1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6.2 Puntos de Reunión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Punto A: Estacionamiento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Punto B: Área verde external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Todas las rutas estarán señalizadas con señalética fluorescente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6w49fcxj7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EQUIPAMIENTO DE EMERGENCIA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33r7w7kuz3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7.1 Elementos de Protección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extintores tipo ABC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botiquines de primeros auxilios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Camilla de emergencia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Señalización de emergencia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Luces de emergencia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l9gyoae0pb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7.2 Mantenimiento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Revisión semestral de equipos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Recarga anual de extintores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trimestral de señalética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rro4jih2d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CAPACITACIÓN Y SIMULACROS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p7dkf6tj67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8.1 Programa de Entrenamiento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Capacitación semestral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Simulacro anual de evacuación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Entrenamiento en primeros auxilios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g0apj1lz0b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8.2 Registro y Evaluación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Documentar cada simulacro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mejoras continuas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registro de participantes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z6vroo3z3p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ANEXOS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Directorio de emergencia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Números telefónicos importantes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Formato de reporte de incidentes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Plano de rutas de evacuación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REVISIONES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Versión 1.0: Diciembre 2024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Próxima revisión: Junio 2025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sectPr>
          <w:footerReference r:id="rId12" w:type="even"/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0"/>
        </w:rPr>
        <w:t xml:space="preserve">ELABORADO POR:</w:t>
      </w:r>
      <w:r w:rsidDel="00000000" w:rsidR="00000000" w:rsidRPr="00000000">
        <w:rPr>
          <w:rtl w:val="0"/>
        </w:rPr>
        <w:t xml:space="preserve"> Departamento de Seguridad Industrial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7605713" cy="36765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5713" cy="3676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  <w:t xml:space="preserve">Pagina Nro 6</w:t>
    </w:r>
  </w:p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>
        <w:rFonts w:ascii="Lobster" w:cs="Lobster" w:eastAsia="Lobster" w:hAnsi="Lobster"/>
        <w:i w:val="1"/>
      </w:rPr>
    </w:pPr>
    <w:r w:rsidDel="00000000" w:rsidR="00000000" w:rsidRPr="00000000">
      <w:rPr>
        <w:rFonts w:ascii="Lobster" w:cs="Lobster" w:eastAsia="Lobster" w:hAnsi="Lobster"/>
        <w:i w:val="1"/>
        <w:rtl w:val="0"/>
      </w:rPr>
      <w:t xml:space="preserve">Examen final 11.12.24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Fonts w:ascii="Lobster" w:cs="Lobster" w:eastAsia="Lobster" w:hAnsi="Lobster"/>
        <w:i w:val="1"/>
        <w:rtl w:val="0"/>
      </w:rPr>
      <w:t xml:space="preserve">Examen final 11.12.24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footer" Target="foot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