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PORTADA</w:t>
      </w:r>
    </w:p>
    <w:p>
      <w:r>
        <w:t>[PORTADA: Completar con título del proyecto, nombre del grupo, asignatura, fecha y logo institucional]</w:t>
      </w:r>
    </w:p>
    <w:p>
      <w:pPr>
        <w:jc w:val="center"/>
      </w:pPr>
      <w:r>
        <w:rPr>
          <w:b/>
          <w:color w:val="FF0000"/>
          <w:sz w:val="24"/>
        </w:rPr>
        <w:t>[FIGURA 1.1: Logo Institucional]</w:t>
        <w:br/>
      </w:r>
      <w:r>
        <w:rPr>
          <w:i/>
          <w:color w:val="808080"/>
          <w:sz w:val="20"/>
        </w:rPr>
        <w:t>[Nota: Logotipo oficial de la universidad o de la empresa Peruvian Andean Trout S.A.C. Fuente: Repositorio institucional.]</w:t>
      </w:r>
    </w:p>
    <w:p>
      <w:r>
        <w:br w:type="page"/>
      </w:r>
    </w:p>
    <w:p>
      <w:pPr>
        <w:pStyle w:val="Heading1"/>
      </w:pPr>
      <w:r>
        <w:t>2. INTRODUCCIÓN</w:t>
      </w:r>
    </w:p>
    <w:p>
      <w:pPr>
        <w:pStyle w:val="Heading2"/>
      </w:pPr>
      <w:r>
        <w:t>2.1 Reseña Histórica</w:t>
      </w:r>
    </w:p>
    <w:p>
      <w:r>
        <w:t>Antes de la implementación del Data Mart, la evaluación comercial de la Palta Hass dependía de archivos planos anuales descargados manualmente desde SUNAT, sin vinculación histórica.</w:t>
      </w:r>
    </w:p>
    <w:p>
      <w:pPr>
        <w:pStyle w:val="Heading2"/>
      </w:pPr>
      <w:r>
        <w:t>2.2 Contexto del Problema</w:t>
      </w:r>
    </w:p>
    <w:p>
      <w:r>
        <w:t>Peruvian Andean Trout S.A.C. requiere evaluar con urgencia la diversificación de su matriz acuícola hacia la Palta Hass. El problema radica en que los datos aduaneros contienen ruido (pulpas, aceites) y carecen de un cruce con el tipo de cambio del BCRP y aranceles del MINCETUR, lo que imposibilita calcular un margen de ganancia real.</w:t>
        <w:br/>
        <w:br/>
        <w:t>Impacto del Open Data: El proyecto depende estratégicamente del "Open Data" (Datos Abiertos Gubernamentales). Las bases de la SUNAT por sí solas no miden la rentabilidad real. La democratización de los datos del BCRP (Tipo de cambio diario) y del MINCETUR (Aranceles por TLC) permitió cruzar la data logística con el entorno macroeconómico, logrando un análisis financiero realista.</w:t>
      </w:r>
    </w:p>
    <w:p>
      <w:pPr>
        <w:jc w:val="center"/>
      </w:pPr>
      <w:r>
        <w:rPr>
          <w:b/>
          <w:color w:val="FF0000"/>
          <w:sz w:val="24"/>
        </w:rPr>
        <w:t>[FIGURA 2.1: Estructura del origen de datos abiertos]</w:t>
        <w:br/>
      </w:r>
      <w:r>
        <w:rPr>
          <w:i/>
          <w:color w:val="808080"/>
          <w:sz w:val="20"/>
        </w:rPr>
        <w:t>[Nota: Captura de pantalla de los directorios o listado de archivos brutos descargados de las fuentes abiertas (ej. 00197781.DBF de SUNAT y CSV del BCRP).]</w:t>
      </w:r>
    </w:p>
    <w:p>
      <w:pPr>
        <w:pStyle w:val="Heading2"/>
      </w:pPr>
      <w:r>
        <w:t>2.3 Objetivo General</w:t>
      </w:r>
    </w:p>
    <w:p>
      <w:r>
        <w:t>Diseñar e implementar un Data Mart en PostgreSQL que integre y consolide microdatos de exportación desde 2016 hasta 2024, reduciendo el tiempo de cálculo de rentabilidad de días a menos de 3 segundos por consulta en Power BI.</w:t>
      </w:r>
    </w:p>
    <w:p>
      <w:pPr>
        <w:pStyle w:val="Heading2"/>
      </w:pPr>
      <w:r>
        <w:t>2.4 Metodología Hefesto</w:t>
      </w:r>
    </w:p>
    <w:p>
      <w:r>
        <w:t>La metodología iterativa Hefesto se aplicó mediante los siguientes hitos tangibles en el proyecto:</w:t>
        <w:br/>
        <w:t>- Fase 1 (Requerimientos): Definición de los KPIs financieros.</w:t>
        <w:br/>
        <w:t>- Fase 2 (Fuentes): Descarga de DBFs de SUNAT y CSV del BCRP.</w:t>
        <w:br/>
        <w:t>- Fase 3 (Modelo Lógico): Diseño del esquema Copo de Nieve.</w:t>
        <w:br/>
        <w:t>- Fase 4 (Integración): Ejecución del script ETL en Python.</w:t>
      </w:r>
    </w:p>
    <w:p>
      <w:pPr>
        <w:pStyle w:val="Heading2"/>
      </w:pPr>
      <w:r>
        <w:t>2.5 Preguntas que responde el datamart</w:t>
      </w:r>
    </w:p>
    <w:p>
      <w:r>
        <w:t>1. ¿Cuál es el precio promedio FOB por kilogramo de Palta Hass por año y continente?</w:t>
        <w:br/>
        <w:t>2. ¿Qué países constituyen mercados "Premium" (precios altos y arancel 0% por TLC)?</w:t>
        <w:br/>
        <w:t>3. ¿La rentabilidad general neta de la industria supera el umbral corporativo exigido (15%)?</w:t>
        <w:br/>
        <w:t>4. ¿Cuál es el Índice de Concentración de mercado (HHI) para evaluar barreras de entrada?</w:t>
      </w:r>
    </w:p>
    <w:p>
      <w:pPr>
        <w:pStyle w:val="Heading1"/>
      </w:pPr>
      <w:r>
        <w:t>3. CONCEPTOS APLICADOS EN EL PROYECTO</w:t>
      </w:r>
    </w:p>
    <w:p>
      <w:pPr>
        <w:pStyle w:val="Heading2"/>
      </w:pPr>
      <w:r>
        <w:t>3.1 Big Data y Open Data (Arquitectura Escalable)</w:t>
      </w:r>
    </w:p>
    <w:p>
      <w:r>
        <w:t>Aunque el Data Mart actual procesa un volumen manejable de registros históricos (aprox. 100,000 filas filtradas), la ingesta de la totalidad de exportaciones peruanas de todos los sectores desde SUNAT cumple con las 3 V's del Big Data:</w:t>
        <w:br/>
        <w:t>- Volumen: Archivos DBF masivos que superan la memoria RAM estándar si se procesan en paralelo.</w:t>
        <w:br/>
        <w:t>- Velocidad: Miles de DUAs generadas diariamente a nivel nacional.</w:t>
        <w:br/>
        <w:t>- Variedad: Textos desestructurados en las descripciones comerciales (DESC_ADIC), que requieren procesamiento de lenguaje.</w:t>
      </w:r>
    </w:p>
    <w:p>
      <w:pPr>
        <w:pStyle w:val="Heading2"/>
      </w:pPr>
      <w:r>
        <w:t>3.2 Diccionario de Datos: Metadata de Negocio vs Técnica</w:t>
      </w:r>
    </w:p>
    <w:p>
      <w:r>
        <w:t>Para asegurar un correcto Gobierno de Datos, se documenta la metadata del proyecto separando el "cómo se calcula" (técnica) del "qué significa" (negocio).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Campo / KPI</w:t>
            </w:r>
          </w:p>
        </w:tc>
        <w:tc>
          <w:tcPr>
            <w:tcW w:type="dxa" w:w="2880"/>
          </w:tcPr>
          <w:p>
            <w:r>
              <w:rPr>
                <w:b/>
              </w:rPr>
              <w:t>Metadata de Negocio (Para Gerencia)</w:t>
            </w:r>
          </w:p>
        </w:tc>
        <w:tc>
          <w:tcPr>
            <w:tcW w:type="dxa" w:w="2880"/>
          </w:tcPr>
          <w:p>
            <w:r>
              <w:rPr>
                <w:b/>
              </w:rPr>
              <w:t>Metadata Técnica (Para TI / Data Engineers)</w:t>
            </w:r>
          </w:p>
        </w:tc>
      </w:tr>
      <w:tr>
        <w:tc>
          <w:tcPr>
            <w:tcW w:type="dxa" w:w="2880"/>
          </w:tcPr>
          <w:p>
            <w:r>
              <w:t>Precio FOB/kg</w:t>
            </w:r>
          </w:p>
        </w:tc>
        <w:tc>
          <w:tcPr>
            <w:tcW w:type="dxa" w:w="2880"/>
          </w:tcPr>
          <w:p>
            <w:r>
              <w:t>Precio promedio en dólares por cada kilo de palta exportado.</w:t>
            </w:r>
          </w:p>
        </w:tc>
        <w:tc>
          <w:tcPr>
            <w:tcW w:type="dxa" w:w="2880"/>
          </w:tcPr>
          <w:p>
            <w:r>
              <w:t>DECIMAL(18,2). Calculado en Power BI DAX.</w:t>
            </w:r>
          </w:p>
        </w:tc>
      </w:tr>
      <w:tr>
        <w:tc>
          <w:tcPr>
            <w:tcW w:type="dxa" w:w="2880"/>
          </w:tcPr>
          <w:p>
            <w:r>
              <w:t>Variedad Hass</w:t>
            </w:r>
          </w:p>
        </w:tc>
        <w:tc>
          <w:tcPr>
            <w:tcW w:type="dxa" w:w="2880"/>
          </w:tcPr>
          <w:p>
            <w:r>
              <w:t>Tipo de palta comercializada, excluyendo procesados.</w:t>
            </w:r>
          </w:p>
        </w:tc>
        <w:tc>
          <w:tcPr>
            <w:tcW w:type="dxa" w:w="2880"/>
          </w:tcPr>
          <w:p>
            <w:r>
              <w:t>Extraído del campo texto DESC_ADIC aplicando filtro Regex: r'\bHASS?\b'.</w:t>
            </w:r>
          </w:p>
        </w:tc>
      </w:tr>
      <w:tr>
        <w:tc>
          <w:tcPr>
            <w:tcW w:type="dxa" w:w="2880"/>
          </w:tcPr>
          <w:p>
            <w:r>
              <w:t>Margen Neto</w:t>
            </w:r>
          </w:p>
        </w:tc>
        <w:tc>
          <w:tcPr>
            <w:tcW w:type="dxa" w:w="2880"/>
          </w:tcPr>
          <w:p>
            <w:r>
              <w:t>Ganancia real en cuenta bancaria.</w:t>
            </w:r>
          </w:p>
        </w:tc>
        <w:tc>
          <w:tcPr>
            <w:tcW w:type="dxa" w:w="2880"/>
          </w:tcPr>
          <w:p>
            <w:r>
              <w:t>KPI derivado. Fórmula: (FOB * TC) - (Costo) - Arancel</w:t>
            </w:r>
          </w:p>
        </w:tc>
      </w:tr>
    </w:tbl>
    <w:p>
      <w:pPr>
        <w:jc w:val="center"/>
      </w:pPr>
      <w:r>
        <w:rPr>
          <w:b/>
          <w:color w:val="FF0000"/>
          <w:sz w:val="24"/>
        </w:rPr>
        <w:t>[FIGURA 3.1: Diccionario de variables o datos procesados]</w:t>
        <w:br/>
      </w:r>
      <w:r>
        <w:rPr>
          <w:i/>
          <w:color w:val="808080"/>
          <w:sz w:val="20"/>
        </w:rPr>
        <w:t>[Nota: Fragmento visual de la configuración de metadatos o tipos de datos en la herramienta de análisis (ej. captura de Power BI mostrando el formato DECIMAL del Precio FOB/kg).]</w:t>
      </w:r>
    </w:p>
    <w:p>
      <w:pPr>
        <w:pStyle w:val="Heading1"/>
      </w:pPr>
      <w:r>
        <w:t>4. ANÁLISIS DEL CASO</w:t>
      </w:r>
    </w:p>
    <w:p>
      <w:pPr>
        <w:pStyle w:val="Heading2"/>
      </w:pPr>
      <w:r>
        <w:t>4.1 Descripción del negocio y Fuentes</w:t>
      </w:r>
    </w:p>
    <w:p>
      <w:r>
        <w:t>- Nombre real: Peruvian Andean Trout S.A.C.</w:t>
        <w:br/>
        <w:t>- Fuentes de Datos: 00197781.DBF (SUNAT 2016), bcrp_tipo_cambio_2016_2024.csv (BCRP), mincetur_aranceles_tlc.xlsx (MINCETUR).</w:t>
      </w:r>
    </w:p>
    <w:p>
      <w:pPr>
        <w:pStyle w:val="Heading2"/>
      </w:pPr>
      <w:r>
        <w:t>4.2 KPIs relevantes</w:t>
      </w:r>
    </w:p>
    <w:tbl>
      <w:tblPr>
        <w:tblStyle w:val="TableGrid"/>
        <w:tblW w:type="auto" w:w="0"/>
        <w:tblLook w:firstColumn="1" w:firstRow="1" w:lastColumn="0" w:lastRow="0" w:noHBand="0" w:noVBand="1" w:val="04A0"/>
      </w:tblPr>
      <w:tblGrid>
        <w:gridCol w:w="4320"/>
        <w:gridCol w:w="4320"/>
      </w:tblGrid>
      <w:tr>
        <w:tc>
          <w:tcPr>
            <w:tcW w:type="dxa" w:w="4320"/>
          </w:tcPr>
          <w:p>
            <w:r>
              <w:rPr>
                <w:b/>
              </w:rPr>
              <w:t>Nombre KPI</w:t>
            </w:r>
          </w:p>
        </w:tc>
        <w:tc>
          <w:tcPr>
            <w:tcW w:type="dxa" w:w="4320"/>
          </w:tcPr>
          <w:p>
            <w:r>
              <w:rPr>
                <w:b/>
              </w:rPr>
              <w:t>Fórmula real (DAX o Matemática)</w:t>
            </w:r>
          </w:p>
        </w:tc>
      </w:tr>
      <w:tr>
        <w:tc>
          <w:tcPr>
            <w:tcW w:type="dxa" w:w="4320"/>
          </w:tcPr>
          <w:p>
            <w:r>
              <w:t>Precio Promedio FOB/kg</w:t>
            </w:r>
          </w:p>
        </w:tc>
        <w:tc>
          <w:tcPr>
            <w:tcW w:type="dxa" w:w="4320"/>
          </w:tcPr>
          <w:p>
            <w:r>
              <w:t>DIVIDE(SUM(FACT_RENTABILIDAD[Valor_FOB]), SUM(FACT_RENTABILIDAD[Volumen_Exportado]))</w:t>
            </w:r>
          </w:p>
        </w:tc>
      </w:tr>
      <w:tr>
        <w:tc>
          <w:tcPr>
            <w:tcW w:type="dxa" w:w="4320"/>
          </w:tcPr>
          <w:p>
            <w:r>
              <w:t>Margen Neto Ajustado</w:t>
            </w:r>
          </w:p>
        </w:tc>
        <w:tc>
          <w:tcPr>
            <w:tcW w:type="dxa" w:w="4320"/>
          </w:tcPr>
          <w:p>
            <w:r>
              <w:t>(FOB_DOLPOL * TC) - (Costo_Estimado * TC) - Aranceles_Destino</w:t>
            </w:r>
          </w:p>
        </w:tc>
      </w:tr>
      <w:tr>
        <w:tc>
          <w:tcPr>
            <w:tcW w:type="dxa" w:w="4320"/>
          </w:tcPr>
          <w:p>
            <w:r>
              <w:t>Ratio de Rentabilidad</w:t>
            </w:r>
          </w:p>
        </w:tc>
        <w:tc>
          <w:tcPr>
            <w:tcW w:type="dxa" w:w="4320"/>
          </w:tcPr>
          <w:p>
            <w:r>
              <w:t>DIVIDE([Margen_Neto_Ajustado], SUM(FACT_RENTABILIDAD[Valor_FOB])) * 100</w:t>
            </w:r>
          </w:p>
        </w:tc>
      </w:tr>
      <w:tr>
        <w:tc>
          <w:tcPr>
            <w:tcW w:type="dxa" w:w="4320"/>
          </w:tcPr>
          <w:p>
            <w:r>
              <w:t>Índice HHI (Competencia)</w:t>
            </w:r>
          </w:p>
        </w:tc>
        <w:tc>
          <w:tcPr>
            <w:tcW w:type="dxa" w:w="4320"/>
          </w:tcPr>
          <w:p>
            <w:r>
              <w:t>SUMX(VALUES(DIM_EXPORTADOR[RUC]), [Share_Porcentaje]^2) * 10000</w:t>
            </w:r>
          </w:p>
        </w:tc>
      </w:tr>
    </w:tbl>
    <w:p>
      <w:pPr>
        <w:pStyle w:val="Heading2"/>
      </w:pPr>
      <w:r>
        <w:t>4.3 Análisis Descriptivo y Exploratorio (EDA Profundo)</w:t>
      </w:r>
    </w:p>
    <w:p>
      <w:r>
        <w:t>Se ejecutó un script científico en Python (scipy, pandas) sobre una muestra real de 10,063 registros limpios de exportación para evaluar la volatilidad del mercado:</w:t>
        <w:br/>
        <w:t>- Media del Precio FOB: 2.2999 USD/kg.</w:t>
        <w:br/>
        <w:t>- Varianza: 0.4586</w:t>
        <w:br/>
        <w:t>- Desviación Estándar: 0.6772 USD</w:t>
        <w:br/>
        <w:t>Análisis: La desviación estándar de casi $0.68 frente a una media de $2.30 indica una volatilidad moderada-alta en los precios de la palta. El mercado no paga un precio fijo, lo que justifica la necesidad de este sistema BI para rastrear los picos de precio.</w:t>
      </w:r>
    </w:p>
    <w:p>
      <w:pPr>
        <w:jc w:val="center"/>
      </w:pPr>
      <w:r>
        <w:rPr>
          <w:b/>
          <w:color w:val="FF0000"/>
          <w:sz w:val="24"/>
        </w:rPr>
        <w:t>[FIGURA 4.1: Tabla resumen de métricas calculadas (EDA)]</w:t>
        <w:br/>
      </w:r>
      <w:r>
        <w:rPr>
          <w:i/>
          <w:color w:val="808080"/>
          <w:sz w:val="20"/>
        </w:rPr>
        <w:t>[Nota: Captura de pantalla de la terminal de ejecución del script de Python mostrando el cálculo real de la varianza y desviación estándar.]</w:t>
      </w:r>
    </w:p>
    <w:p>
      <w:pPr>
        <w:pStyle w:val="Heading1"/>
      </w:pPr>
      <w:r>
        <w:t>5. DISEÑO DE ARQUITECTURA DE IN</w:t>
      </w:r>
    </w:p>
    <w:p>
      <w:r>
        <w:t>Se eligió una arquitectura Bottom-Up (Enfoque Kimball). Esta decisión se justifica porque el negocio necesita agilidad para responder preguntas sobre un área departamental específica (Agroexportación de Palta) sin la complejidad temporal que requeriría un Data Warehouse corporativo (Inmon).</w:t>
        <w:br/>
        <w:br/>
        <w:t>Escalabilidad Futura Cloud: Si la empresa decide expandir el análisis a toda la canasta agroexportadora peruana (Arándanos, Uvas, Mangos), la arquitectura actual escalará migrando el motor de base de datos PostgreSQL hacia un Data Warehouse Cloud (como AWS Redshift o Google BigQuery), y reemplazando los scripts locales de Python por un clúster de procesamiento distribuido como Apache Spark.</w:t>
      </w:r>
    </w:p>
    <w:p>
      <w:pPr>
        <w:jc w:val="center"/>
      </w:pPr>
      <w:r>
        <w:rPr>
          <w:b/>
          <w:color w:val="FF0000"/>
          <w:sz w:val="24"/>
        </w:rPr>
        <w:t>[FIGURA 5.1: Diagrama de la arquitectura de Inteligencia de Negocios]</w:t>
        <w:br/>
      </w:r>
      <w:r>
        <w:rPr>
          <w:i/>
          <w:color w:val="808080"/>
          <w:sz w:val="20"/>
        </w:rPr>
        <w:t>[Nota: Ilustración que muestra el flujo completo: extracción, transformación en Python, carga en Datamart PostgreSQL y consumo en Power BI.]</w:t>
      </w:r>
    </w:p>
    <w:p>
      <w:pPr>
        <w:pStyle w:val="Heading1"/>
      </w:pPr>
      <w:r>
        <w:t>6. MODELAMIENTO DIMENSIONAL</w:t>
      </w:r>
    </w:p>
    <w:p>
      <w:r>
        <w:t>El proyecto aplica un diseño Copo de Nieve (Snowflake) para evitar redundancias en la tabla de países y el cruce de aranceles.</w:t>
        <w:br/>
        <w:t>- Tabla de Hechos: FACT_RENTABILIDAD (Nivel de granularidad: Fila aduanera). Contiene medidas inmutables.</w:t>
        <w:br/>
        <w:t>- Tablas de Dimensiones: DIM_TIEMPO, DIM_UBICACION, DIM_PRODUCTO, DIM_EXPORTADOR, DIM_ADUANA, DIM_VARIEDAD_CALIDAD, DIM_FINANZAS, DIM_COSTO, y la sub-dimensión DIM_PAIS_TLC.</w:t>
      </w:r>
    </w:p>
    <w:p>
      <w:pPr>
        <w:jc w:val="center"/>
      </w:pPr>
      <w:r>
        <w:rPr>
          <w:b/>
          <w:color w:val="FF0000"/>
          <w:sz w:val="24"/>
        </w:rPr>
        <w:t>[FIGURA 6.1: Esquema relacional Copo de Nieve (Snowflake)]</w:t>
        <w:br/>
      </w:r>
      <w:r>
        <w:rPr>
          <w:i/>
          <w:color w:val="808080"/>
          <w:sz w:val="20"/>
        </w:rPr>
        <w:t>[Nota: Captura de pantalla desde la vista de modelo de Power BI o desde pgAdmin/DBeaver, evidenciando la tabla central FACT_RENTABILIDAD rodeada por sus dimensiones.]</w:t>
      </w:r>
    </w:p>
    <w:p>
      <w:pPr>
        <w:pStyle w:val="Heading1"/>
      </w:pPr>
      <w:r>
        <w:t>7. PROCESOS ETL</w:t>
      </w:r>
    </w:p>
    <w:p>
      <w:r>
        <w:t>El proceso ETL se orquestó en Python debido a su agilidad para leer archivos .DBF desfasados y manipular texto usando NLP.</w:t>
        <w:br/>
        <w:t>1. Extracción: Uso de librería dbfread y pandas.</w:t>
        <w:br/>
        <w:t>2. Deduplicación: Creación de llave compuesta [NRO_DOCU] + [FECHA] + [ITEM].</w:t>
        <w:br/>
        <w:t>3. Limpieza: Aplicación estricta de Regex para identificar Palta Hass fresca y rechazar derivados (Pulpas, Aceites).</w:t>
        <w:br/>
        <w:t>4. Validación de Integridad: Ejecución de queries post-carga en SQL para garantizar 0 registros huérfanos.</w:t>
      </w:r>
    </w:p>
    <w:p>
      <w:pPr>
        <w:jc w:val="center"/>
      </w:pPr>
      <w:r>
        <w:rPr>
          <w:b/>
          <w:color w:val="FF0000"/>
          <w:sz w:val="24"/>
        </w:rPr>
        <w:t>[FIGURA 7.1: Evidencia de ejecución del proceso ETL]</w:t>
        <w:br/>
      </w:r>
      <w:r>
        <w:rPr>
          <w:i/>
          <w:color w:val="808080"/>
          <w:sz w:val="20"/>
        </w:rPr>
        <w:t>[Nota: Fragmento de código en Python o captura de la terminal mostrando el log de registros procesados, limpios y rechazados.]</w:t>
      </w:r>
    </w:p>
    <w:p>
      <w:pPr>
        <w:pStyle w:val="Heading1"/>
      </w:pPr>
      <w:r>
        <w:t>8. VISUALIZACIÓN Y ANÁLISIS</w:t>
      </w:r>
    </w:p>
    <w:p>
      <w:pPr>
        <w:pStyle w:val="Heading2"/>
      </w:pPr>
      <w:r>
        <w:t>8.1 Resultados de Prueba de Hipótesis (T-Test)</w:t>
      </w:r>
    </w:p>
    <w:p>
      <w:r>
        <w:t>La Gerencia planteó la interrogante: "¿Existe una diferencia real en el precio de venta entre Estados Unidos y Europa?"</w:t>
        <w:br/>
        <w:t>- Hipótesis Nula (H0): El precio promedio en EE.UU. es igual al precio en Europa.</w:t>
        <w:br/>
        <w:t>- Resultados: Precio Medio Europa (2.21 USD), Precio Medio EE.UU (2.64 USD). P-Value: 8.3117e-88.</w:t>
        <w:br/>
        <w:t>- Conclusión: RECHAZAMOS la hipótesis nula. Existe evidencia estadística irrefutable de que Estados Unidos pagó un precio significativamente más alto que Europa.</w:t>
      </w:r>
    </w:p>
    <w:p>
      <w:pPr>
        <w:pStyle w:val="Heading2"/>
      </w:pPr>
      <w:r>
        <w:t>8.2 Análisis Predictivo (Modelo de Regresión Lineal)</w:t>
      </w:r>
    </w:p>
    <w:p>
      <w:r>
        <w:t>Se entrenó un modelo de regresión lineal en Python para predecir el Precio FOB/kg utilizando el Volumen Exportado en Kg.</w:t>
        <w:br/>
        <w:t>- Resultados: Coeficiente de Determinación (R2): 0.0065. Pendiente: 0.000014</w:t>
        <w:br/>
        <w:t>- Conclusión de Negocio: Un R2 cercano a cero (0.6%) demuestra matemáticamente que el volumen exportado no tiene capacidad predictiva sobre el precio de venta. Corrobora que la Palta Hass es un Commodity dictado por el mercado internacional.</w:t>
      </w:r>
    </w:p>
    <w:p>
      <w:pPr>
        <w:jc w:val="center"/>
      </w:pPr>
      <w:r>
        <w:rPr>
          <w:b/>
          <w:color w:val="FF0000"/>
          <w:sz w:val="24"/>
        </w:rPr>
        <w:t>[FIGURA 8.1: Dashboard Resumen Global y Filtros de Análisis]</w:t>
        <w:br/>
      </w:r>
      <w:r>
        <w:rPr>
          <w:i/>
          <w:color w:val="808080"/>
          <w:sz w:val="20"/>
        </w:rPr>
        <w:t>[Nota: Vista general del dashboard principal mostrando KPIs agregados segmentados por año y continente.]</w:t>
      </w:r>
    </w:p>
    <w:p>
      <w:pPr>
        <w:jc w:val="center"/>
      </w:pPr>
      <w:r>
        <w:rPr>
          <w:b/>
          <w:color w:val="FF0000"/>
          <w:sz w:val="24"/>
        </w:rPr>
        <w:t>[FIGURA 8.2: Análisis de Rentabilidad, Dispersión y Nichos de Mercado]</w:t>
        <w:br/>
      </w:r>
      <w:r>
        <w:rPr>
          <w:i/>
          <w:color w:val="808080"/>
          <w:sz w:val="20"/>
        </w:rPr>
        <w:t>[Nota: Vista analítica corroborando visualmente los hallazgos de la regresión y prueba de hipótesis.]</w:t>
      </w:r>
    </w:p>
    <w:p>
      <w:pPr>
        <w:pStyle w:val="Heading1"/>
      </w:pPr>
      <w:r>
        <w:t>9. CONCLUSIONES Y TRABAJOS FUTUROS</w:t>
      </w:r>
    </w:p>
    <w:p>
      <w:r>
        <w:t>La rentabilidad del proyecto se mide en la optimización del proceso de analítica de datos, pasando de demorar &gt;3 días en Excel a &lt;3 segundos en Power BI.</w:t>
        <w:br/>
        <w:br/>
        <w:t>Evolución hacia Big Data, Machine Learning y Alertas:</w:t>
        <w:br/>
        <w:t>1. Procesamiento en Tiempo Real: Evolucionar implementando un pipeline en Apache Kafka que ingeste streaming de APIs financieras del BCRP.</w:t>
        <w:br/>
        <w:t>2. Machine Learning (IA): Integrar Clustering K-Means para agrupar automáticamente a los países basados en su Volumen y Precio FOB/kg.</w:t>
        <w:br/>
        <w:t>3. Patrón de Alertas Automáticas: Integración de Alertas de Power BI Service. Si el KPI "Ratio de Rentabilidad" global cae &lt; 15%, se dispara un correo a Gerencia.</w:t>
      </w:r>
    </w:p>
    <w:p>
      <w:pPr>
        <w:jc w:val="center"/>
      </w:pPr>
      <w:r>
        <w:rPr>
          <w:b/>
          <w:color w:val="FF0000"/>
          <w:sz w:val="24"/>
        </w:rPr>
        <w:t>[FIGURA 9.1: Comparativa Antes/Después o Configuración de Alertas]</w:t>
        <w:br/>
      </w:r>
      <w:r>
        <w:rPr>
          <w:i/>
          <w:color w:val="808080"/>
          <w:sz w:val="20"/>
        </w:rPr>
        <w:t>[Nota: Captura de pantalla simulando la configuración de la alerta automática en Power BI Service cuando la rentabilidad cae &lt; 15%.]</w:t>
      </w:r>
    </w:p>
    <w:p>
      <w:pPr>
        <w:pStyle w:val="Heading1"/>
      </w:pPr>
      <w:r>
        <w:t>10. REFERENCIAS</w:t>
      </w:r>
    </w:p>
    <w:p>
      <w:r>
        <w:t>1. Kimball, R., &amp; Ross, M. (2013). The Data Warehouse Toolkit: The Definitive Guide to Dimensional Modeling (3rd ed.). Wiley.</w:t>
        <w:br/>
        <w:t>2. Banco Central de Reserva del Perú (BCRP). (2024). Estadísticas de Tipo de Cambio Diario.</w:t>
        <w:br/>
        <w:t>3. Superintendencia Nacional de Aduanas y de Administración Tributaria (SUNAT). (2024). Microdatos de Exportación ADUANET.</w:t>
        <w:br/>
        <w:t>4. Scikit-Learn Developers. (2024). Machine Learning in Python. Documentación técnica.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