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293B"/>
          <w:sz w:val="36"/>
        </w:rPr>
        <w:t>COMPENDIO TÉCNICO DE INFRAESTRUCTURA CLOUD Y HERRAMIENTAS DE PRUEBA (OIT 1)</w:t>
      </w:r>
    </w:p>
    <w:p>
      <w:pPr>
        <w:spacing w:after="360"/>
      </w:pPr>
      <w:r>
        <w:rPr>
          <w:rFonts w:ascii="Calibri" w:hAnsi="Calibri"/>
          <w:i/>
          <w:color w:val="64748B"/>
          <w:sz w:val="22"/>
        </w:rPr>
        <w:t>Documento formal con la información clave y objetiva extraída de la carpeta informacion (Kubernetes, Balanceadores GCP, Apache Bench, iperf, Deployment Manager) y su articulación en el programa de aprendizaje.</w:t>
      </w:r>
    </w:p>
    <w:p>
      <w:pPr>
        <w:keepNext/>
        <w:spacing w:before="360" w:after="120"/>
      </w:pPr>
      <w:r>
        <w:rPr>
          <w:rFonts w:ascii="Calibri" w:hAnsi="Calibri"/>
          <w:b/>
          <w:color w:val="1E293B"/>
          <w:sz w:val="32"/>
        </w:rPr>
        <w:t>1. Presentación e Integración de Temas en la Plataforma</w:t>
      </w:r>
    </w:p>
    <w:p>
      <w:pPr>
        <w:spacing w:after="80" w:line="276" w:lineRule="auto"/>
      </w:pPr>
      <w:r>
        <w:rPr>
          <w:rFonts w:ascii="Calibri" w:hAnsi="Calibri"/>
          <w:color w:val="334155"/>
          <w:sz w:val="22"/>
        </w:rPr>
        <w:t>Este documento constituye el compendio oficial enfocado en la información clave y objetiva contenida dentro de la carpeta informacion (archivos PDF y PPTX del curso de Organización e Infraestructura Tecnológica 1 - OIT 1), integrando estos conceptos con la plataforma de aprendizaje desarrollada en Angular, .NET 8, FastAPI, PostgreSQL y Docker/Kubernetes.</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24" w:space="0" w:color="4F46E5"/>
              <w:bottom w:val="none"/>
              <w:right w:val="none"/>
            </w:tcBorders>
          </w:tcPr>
          <w:p>
            <w:pPr>
              <w:spacing w:before="120" w:after="80"/>
            </w:pPr>
            <w:r>
              <w:rPr>
                <w:rFonts w:ascii="Calibri" w:hAnsi="Calibri"/>
                <w:b/>
                <w:color w:val="4F46E5"/>
                <w:sz w:val="22"/>
              </w:rPr>
              <w:t>📌 RESUMEN DE CONTENIDOS CLAVE</w:t>
              <w:br/>
            </w:r>
            <w:r>
              <w:rPr>
                <w:rFonts w:ascii="Calibri" w:hAnsi="Calibri"/>
                <w:color w:val="1E293B"/>
                <w:sz w:val="21"/>
              </w:rPr>
              <w:t>La carpeta informacion reúne los 4 pilares de la infraestructura tecnológica evaluada: 1) Gestión de Contenedores con Kubernetes (GKE), 2) Balanceadores de Carga en GCP, 3) Herramientas de Prueba de Rendimiento de Red y Servidores Web (Apache Bench e iperf), y 4) Gestor de Despliegue (Deployment Manager) y GCP Marketplace.</w:t>
            </w:r>
          </w:p>
        </w:tc>
      </w:tr>
    </w:tbl>
    <w:p>
      <w:pPr>
        <w:spacing w:after="80"/>
      </w:pPr>
    </w:p>
    <w:p>
      <w:pPr>
        <w:keepNext/>
        <w:spacing w:before="360" w:after="120"/>
      </w:pPr>
      <w:r>
        <w:rPr>
          <w:rFonts w:ascii="Calibri" w:hAnsi="Calibri"/>
          <w:b/>
          <w:color w:val="1E293B"/>
          <w:sz w:val="32"/>
        </w:rPr>
        <w:t>2. Gestión de Contenedores con Kubernetes en GCP (GKE)</w:t>
      </w:r>
    </w:p>
    <w:p>
      <w:pPr>
        <w:keepNext/>
        <w:spacing w:before="240" w:after="80"/>
      </w:pPr>
      <w:r>
        <w:rPr>
          <w:rFonts w:ascii="Calibri" w:hAnsi="Calibri"/>
          <w:b/>
          <w:color w:val="4F46E5"/>
          <w:sz w:val="26"/>
        </w:rPr>
        <w:t>2.1 Concepto de Contenedor vs. Máquinas Virtuales (VMs)</w:t>
      </w:r>
    </w:p>
    <w:p>
      <w:pPr>
        <w:spacing w:after="80" w:line="276" w:lineRule="auto"/>
      </w:pPr>
      <w:r>
        <w:rPr>
          <w:rFonts w:ascii="Calibri" w:hAnsi="Calibri"/>
          <w:color w:val="334155"/>
          <w:sz w:val="22"/>
        </w:rPr>
        <w:t>La tecnología de contenedores proporciona una capa de abstracción del sistema operativo y hardware, combinando la escalabilidad independiente de las cargas de trabajo de un entorno PaaS (Plataforma como Servicio) con el aislamiento de recursos de un entorno IaaS (Infraestructura como Servicio).</w:t>
      </w:r>
    </w:p>
    <w:p>
      <w:pPr>
        <w:pStyle w:val="ListBullet"/>
        <w:spacing w:after="60" w:line="276" w:lineRule="auto"/>
      </w:pPr>
      <w:r>
        <w:rPr>
          <w:rFonts w:ascii="Calibri" w:hAnsi="Calibri"/>
          <w:b/>
          <w:color w:val="0F172A"/>
          <w:sz w:val="22"/>
        </w:rPr>
        <w:t>Diferencia de Arquitectura:</w:t>
      </w:r>
      <w:r>
        <w:rPr>
          <w:rFonts w:ascii="Calibri" w:hAnsi="Calibri"/>
          <w:color w:val="334155"/>
          <w:sz w:val="22"/>
        </w:rPr>
        <w:t xml:space="preserve"> Las VMs virtualizan hardware completo sobre un hipervisor, requiriendo un Sistema Operativo Huésped en cada máquina. Los contenedores virtualizan a nivel de SO sobre el Kernel anfitrión, logrando un arranque en milisegundos y un uso mínimo de memoria/CPU.</w:t>
      </w:r>
    </w:p>
    <w:p>
      <w:pPr>
        <w:pStyle w:val="ListBullet"/>
        <w:spacing w:after="60" w:line="276" w:lineRule="auto"/>
      </w:pPr>
      <w:r>
        <w:rPr>
          <w:rFonts w:ascii="Calibri" w:hAnsi="Calibri"/>
          <w:b/>
          <w:color w:val="0F172A"/>
          <w:sz w:val="22"/>
        </w:rPr>
        <w:t>Ventaja Principal:</w:t>
      </w:r>
      <w:r>
        <w:rPr>
          <w:rFonts w:ascii="Calibri" w:hAnsi="Calibri"/>
          <w:color w:val="334155"/>
          <w:sz w:val="22"/>
        </w:rPr>
        <w:t xml:space="preserve"> Proporcionar una caja invisible alrededor del código y sus dependencias con acceso controlado a los recursos del sistema.</w:t>
      </w:r>
    </w:p>
    <w:p>
      <w:pPr>
        <w:keepNext/>
        <w:spacing w:before="240" w:after="80"/>
      </w:pPr>
      <w:r>
        <w:rPr>
          <w:rFonts w:ascii="Calibri" w:hAnsi="Calibri"/>
          <w:b/>
          <w:color w:val="4F46E5"/>
          <w:sz w:val="26"/>
        </w:rPr>
        <w:t>2.2 Arquitectura y Componentes de Kubernetes (K8s / GKE)</w:t>
      </w:r>
    </w:p>
    <w:p>
      <w:pPr>
        <w:spacing w:after="80" w:line="276" w:lineRule="auto"/>
      </w:pPr>
      <w:r>
        <w:rPr>
          <w:rFonts w:ascii="Calibri" w:hAnsi="Calibri"/>
          <w:color w:val="334155"/>
          <w:sz w:val="22"/>
        </w:rPr>
        <w:t>Kubernetes es la plataforma de orquestación de contenedores open-source creada por Google (proyecto Borg) y gestionada por la CNCF.</w:t>
      </w:r>
    </w:p>
    <w:p>
      <w:pPr>
        <w:pStyle w:val="ListBullet"/>
        <w:spacing w:after="60" w:line="276" w:lineRule="auto"/>
      </w:pPr>
      <w:r>
        <w:rPr>
          <w:rFonts w:ascii="Calibri" w:hAnsi="Calibri"/>
          <w:b/>
          <w:color w:val="0F172A"/>
          <w:sz w:val="22"/>
        </w:rPr>
        <w:t xml:space="preserve">kube-apiserver: </w:t>
      </w:r>
      <w:r>
        <w:rPr>
          <w:rFonts w:ascii="Calibri" w:hAnsi="Calibri"/>
          <w:color w:val="334155"/>
          <w:sz w:val="22"/>
        </w:rPr>
        <w:t xml:space="preserve"> Componente central que expone la API RESTful de Kubernetes. Es el hub de comunicación.</w:t>
      </w:r>
    </w:p>
    <w:p>
      <w:pPr>
        <w:pStyle w:val="ListBullet"/>
        <w:spacing w:after="60" w:line="276" w:lineRule="auto"/>
      </w:pPr>
      <w:r>
        <w:rPr>
          <w:rFonts w:ascii="Calibri" w:hAnsi="Calibri"/>
          <w:b/>
          <w:color w:val="0F172A"/>
          <w:sz w:val="22"/>
        </w:rPr>
        <w:t xml:space="preserve">etcd: </w:t>
      </w:r>
      <w:r>
        <w:rPr>
          <w:rFonts w:ascii="Calibri" w:hAnsi="Calibri"/>
          <w:color w:val="334155"/>
          <w:sz w:val="22"/>
        </w:rPr>
        <w:t xml:space="preserve"> Base de datos clave-valor distribuida y consistente que almacena el estado completo del clúster.</w:t>
      </w:r>
    </w:p>
    <w:p>
      <w:pPr>
        <w:pStyle w:val="ListBullet"/>
        <w:spacing w:after="60" w:line="276" w:lineRule="auto"/>
      </w:pPr>
      <w:r>
        <w:rPr>
          <w:rFonts w:ascii="Calibri" w:hAnsi="Calibri"/>
          <w:b/>
          <w:color w:val="0F172A"/>
          <w:sz w:val="22"/>
        </w:rPr>
        <w:t xml:space="preserve">kube-scheduler: </w:t>
      </w:r>
      <w:r>
        <w:rPr>
          <w:rFonts w:ascii="Calibri" w:hAnsi="Calibri"/>
          <w:color w:val="334155"/>
          <w:sz w:val="22"/>
        </w:rPr>
        <w:t xml:space="preserve"> Asigna Pods a los nodos disponibles basándose en capacidad de CPU y RAM.</w:t>
      </w:r>
    </w:p>
    <w:p>
      <w:pPr>
        <w:pStyle w:val="ListBullet"/>
        <w:spacing w:after="60" w:line="276" w:lineRule="auto"/>
      </w:pPr>
      <w:r>
        <w:rPr>
          <w:rFonts w:ascii="Calibri" w:hAnsi="Calibri"/>
          <w:b/>
          <w:color w:val="0F172A"/>
          <w:sz w:val="22"/>
        </w:rPr>
        <w:t xml:space="preserve">Pod: </w:t>
      </w:r>
      <w:r>
        <w:rPr>
          <w:rFonts w:ascii="Calibri" w:hAnsi="Calibri"/>
          <w:color w:val="334155"/>
          <w:sz w:val="22"/>
        </w:rPr>
        <w:t xml:space="preserve"> Unidad mínima ejecutable en Kubernetes. Agrupa uno o más contenedores que comparten red (IP) y almacenamiento.</w:t>
      </w:r>
    </w:p>
    <w:p>
      <w:pPr>
        <w:pStyle w:val="ListBullet"/>
        <w:spacing w:after="60" w:line="276" w:lineRule="auto"/>
      </w:pPr>
      <w:r>
        <w:rPr>
          <w:rFonts w:ascii="Calibri" w:hAnsi="Calibri"/>
          <w:b/>
          <w:color w:val="0F172A"/>
          <w:sz w:val="22"/>
        </w:rPr>
        <w:t xml:space="preserve">Deployment: </w:t>
      </w:r>
      <w:r>
        <w:rPr>
          <w:rFonts w:ascii="Calibri" w:hAnsi="Calibri"/>
          <w:color w:val="334155"/>
          <w:sz w:val="22"/>
        </w:rPr>
        <w:t xml:space="preserve"> Objeto declarativo que gestiona ReplicaSets para asegurar que el número deseado de Pods esté siempre en ejecución.</w:t>
      </w:r>
    </w:p>
    <w:p>
      <w:pPr>
        <w:pStyle w:val="ListBullet"/>
        <w:spacing w:after="60" w:line="276" w:lineRule="auto"/>
      </w:pPr>
      <w:r>
        <w:rPr>
          <w:rFonts w:ascii="Calibri" w:hAnsi="Calibri"/>
          <w:b/>
          <w:color w:val="0F172A"/>
          <w:sz w:val="22"/>
        </w:rPr>
        <w:t xml:space="preserve">Service: </w:t>
      </w:r>
      <w:r>
        <w:rPr>
          <w:rFonts w:ascii="Calibri" w:hAnsi="Calibri"/>
          <w:color w:val="334155"/>
          <w:sz w:val="22"/>
        </w:rPr>
        <w:t xml:space="preserve"> Abstracción de red que expone un grupo de Pods bajo una IP estable. Tipos: ClusterIP (interna), NodePort (puerto en nodo) y LoadBalancer (balanceador externo en GCP/AWS).</w:t>
      </w:r>
    </w:p>
    <w:p>
      <w:pPr>
        <w:keepNext/>
        <w:spacing w:before="240" w:after="80"/>
      </w:pPr>
      <w:r>
        <w:rPr>
          <w:rFonts w:ascii="Calibri" w:hAnsi="Calibri"/>
          <w:b/>
          <w:color w:val="4F46E5"/>
          <w:sz w:val="26"/>
        </w:rPr>
        <w:t>2.3 Integración de Servicios Cloud en GCP (GKE)</w:t>
      </w:r>
    </w:p>
    <w:p>
      <w:pPr>
        <w:pStyle w:val="ListBullet"/>
        <w:spacing w:after="60" w:line="276" w:lineRule="auto"/>
      </w:pPr>
      <w:r>
        <w:rPr>
          <w:rFonts w:ascii="Calibri" w:hAnsi="Calibri"/>
          <w:b/>
          <w:color w:val="0F172A"/>
          <w:sz w:val="22"/>
        </w:rPr>
        <w:t xml:space="preserve">Ingress Controller: </w:t>
      </w:r>
      <w:r>
        <w:rPr>
          <w:rFonts w:ascii="Calibri" w:hAnsi="Calibri"/>
          <w:color w:val="334155"/>
          <w:sz w:val="22"/>
        </w:rPr>
        <w:t xml:space="preserve"> Ingress NGINX para enrutamiento HTTP/HTTPS de capa 7 hacia los servicios del clúster.</w:t>
      </w:r>
    </w:p>
    <w:p>
      <w:pPr>
        <w:pStyle w:val="ListBullet"/>
        <w:spacing w:after="60" w:line="276" w:lineRule="auto"/>
      </w:pPr>
      <w:r>
        <w:rPr>
          <w:rFonts w:ascii="Calibri" w:hAnsi="Calibri"/>
          <w:b/>
          <w:color w:val="0F172A"/>
          <w:sz w:val="22"/>
        </w:rPr>
        <w:t xml:space="preserve">Almacenamiento Persistente: </w:t>
      </w:r>
      <w:r>
        <w:rPr>
          <w:rFonts w:ascii="Calibri" w:hAnsi="Calibri"/>
          <w:color w:val="334155"/>
          <w:sz w:val="22"/>
        </w:rPr>
        <w:t xml:space="preserve"> Integración con Cloud SQL (PostgreSQL), Cloud Memorystore (Redis) y Google Cloud Storage para almacenamiento persistente de datos.</w:t>
      </w:r>
    </w:p>
    <w:p>
      <w:pPr>
        <w:pStyle w:val="ListBullet"/>
        <w:spacing w:after="60" w:line="276" w:lineRule="auto"/>
      </w:pPr>
      <w:r>
        <w:rPr>
          <w:rFonts w:ascii="Calibri" w:hAnsi="Calibri"/>
          <w:b/>
          <w:color w:val="0F172A"/>
          <w:sz w:val="22"/>
        </w:rPr>
        <w:t xml:space="preserve">Monitoreo: </w:t>
      </w:r>
      <w:r>
        <w:rPr>
          <w:rFonts w:ascii="Calibri" w:hAnsi="Calibri"/>
          <w:color w:val="334155"/>
          <w:sz w:val="22"/>
        </w:rPr>
        <w:t xml:space="preserve"> Supervisión continua del clúster mediante Google Cloud Operations (Stackdriver) y Prometheus.</w:t>
      </w:r>
    </w:p>
    <w:p>
      <w:pPr>
        <w:keepNext/>
        <w:spacing w:before="360" w:after="120"/>
      </w:pPr>
      <w:r>
        <w:rPr>
          <w:rFonts w:ascii="Calibri" w:hAnsi="Calibri"/>
          <w:b/>
          <w:color w:val="1E293B"/>
          <w:sz w:val="32"/>
        </w:rPr>
        <w:t>3. Balanceadores de Carga en GCP (Google Cloud Platform)</w:t>
      </w:r>
    </w:p>
    <w:p>
      <w:pPr>
        <w:keepNext/>
        <w:spacing w:before="240" w:after="80"/>
      </w:pPr>
      <w:r>
        <w:rPr>
          <w:rFonts w:ascii="Calibri" w:hAnsi="Calibri"/>
          <w:b/>
          <w:color w:val="4F46E5"/>
          <w:sz w:val="26"/>
        </w:rPr>
        <w:t>3.1 Concepto y Objetivo del Balanceo de Carga</w:t>
      </w:r>
    </w:p>
    <w:p>
      <w:pPr>
        <w:spacing w:after="80" w:line="276" w:lineRule="auto"/>
      </w:pPr>
      <w:r>
        <w:rPr>
          <w:rFonts w:ascii="Calibri" w:hAnsi="Calibri"/>
          <w:color w:val="334155"/>
          <w:sz w:val="22"/>
        </w:rPr>
        <w:t>Un balanceador de cargas distribuye el tráfico del usuario entre varias instancias backend de tus aplicaciones. Cuando se distribuye la carga, se reduce el riesgo de que las aplicaciones se sobrecarguen, respondan con lentitud o queden fuera de servicio.</w:t>
      </w:r>
    </w:p>
    <w:p>
      <w:pPr>
        <w:keepNext/>
        <w:spacing w:before="240" w:after="80"/>
      </w:pPr>
      <w:r>
        <w:rPr>
          <w:rFonts w:ascii="Calibri" w:hAnsi="Calibri"/>
          <w:b/>
          <w:color w:val="4F46E5"/>
          <w:sz w:val="26"/>
        </w:rPr>
        <w:t>3.2 Tipos de Balanceadores en GCP</w:t>
      </w:r>
    </w:p>
    <w:p>
      <w:pPr>
        <w:pStyle w:val="ListBullet"/>
        <w:spacing w:after="60" w:line="276" w:lineRule="auto"/>
      </w:pPr>
      <w:r>
        <w:rPr>
          <w:rFonts w:ascii="Calibri" w:hAnsi="Calibri"/>
          <w:b/>
          <w:color w:val="0F172A"/>
          <w:sz w:val="22"/>
        </w:rPr>
        <w:t xml:space="preserve">Global HTTP(S) Load Balancer: </w:t>
      </w:r>
      <w:r>
        <w:rPr>
          <w:rFonts w:ascii="Calibri" w:hAnsi="Calibri"/>
          <w:color w:val="334155"/>
          <w:sz w:val="22"/>
        </w:rPr>
        <w:t xml:space="preserve"> Balanceador de capa 7 accesible mediante una IP Anycast VIP Global (ej. 120.1.1.1). Enruta las peticiones de los usuarios hacia la región más cercana con instancias activas y escalado automático (Autoscaling).</w:t>
      </w:r>
    </w:p>
    <w:p>
      <w:pPr>
        <w:pStyle w:val="ListBullet"/>
        <w:spacing w:after="60" w:line="276" w:lineRule="auto"/>
      </w:pPr>
      <w:r>
        <w:rPr>
          <w:rFonts w:ascii="Calibri" w:hAnsi="Calibri"/>
          <w:b/>
          <w:color w:val="0F172A"/>
          <w:sz w:val="22"/>
        </w:rPr>
        <w:t xml:space="preserve">Network Load Balancer (TCP/UDP): </w:t>
      </w:r>
      <w:r>
        <w:rPr>
          <w:rFonts w:ascii="Calibri" w:hAnsi="Calibri"/>
          <w:color w:val="334155"/>
          <w:sz w:val="22"/>
        </w:rPr>
        <w:t xml:space="preserve"> Balanceador de capa 4 regional no-proxy (pass-through) para protocolos TCP y UDP de alto rendimiento.</w:t>
      </w:r>
    </w:p>
    <w:p>
      <w:pPr>
        <w:pStyle w:val="ListBullet"/>
        <w:spacing w:after="60" w:line="276" w:lineRule="auto"/>
      </w:pPr>
      <w:r>
        <w:rPr>
          <w:rFonts w:ascii="Calibri" w:hAnsi="Calibri"/>
          <w:b/>
          <w:color w:val="0F172A"/>
          <w:sz w:val="22"/>
        </w:rPr>
        <w:t xml:space="preserve">Proxy TCP / UDP: </w:t>
      </w:r>
      <w:r>
        <w:rPr>
          <w:rFonts w:ascii="Calibri" w:hAnsi="Calibri"/>
          <w:color w:val="334155"/>
          <w:sz w:val="22"/>
        </w:rPr>
        <w:t xml:space="preserve"> Permite balancear protocolos de capa 4 a nivel global mediante proxies.</w:t>
      </w:r>
    </w:p>
    <w:p>
      <w:pPr>
        <w:keepNext/>
        <w:spacing w:before="240" w:after="80"/>
      </w:pPr>
      <w:r>
        <w:rPr>
          <w:rFonts w:ascii="Calibri" w:hAnsi="Calibri"/>
          <w:b/>
          <w:color w:val="4F46E5"/>
          <w:sz w:val="26"/>
        </w:rPr>
        <w:t>3.3 Monitoreo de Cargas (Operations / Stackdriver)</w:t>
      </w:r>
    </w:p>
    <w:p>
      <w:pPr>
        <w:spacing w:after="80" w:line="276" w:lineRule="auto"/>
      </w:pPr>
      <w:r>
        <w:rPr>
          <w:rFonts w:ascii="Calibri" w:hAnsi="Calibri"/>
          <w:color w:val="334155"/>
          <w:sz w:val="22"/>
        </w:rPr>
        <w:t>El conjunto de herramientas Google Cloud Operations (antes Stackdriver) supervisa, soluciona problemas y mejora el rendimiento en GCP:</w:t>
      </w:r>
    </w:p>
    <w:p>
      <w:pPr>
        <w:pStyle w:val="ListBullet"/>
        <w:spacing w:after="60" w:line="276" w:lineRule="auto"/>
      </w:pPr>
      <w:r>
        <w:rPr>
          <w:rFonts w:ascii="Calibri" w:hAnsi="Calibri"/>
          <w:b/>
          <w:color w:val="0F172A"/>
          <w:sz w:val="22"/>
        </w:rPr>
        <w:t xml:space="preserve">Supervisión (Monitoring): </w:t>
      </w:r>
      <w:r>
        <w:rPr>
          <w:rFonts w:ascii="Calibri" w:hAnsi="Calibri"/>
          <w:color w:val="334155"/>
          <w:sz w:val="22"/>
        </w:rPr>
        <w:t xml:space="preserve"> Recolección y análisis en tiempo real de uso de CPU, volumen de peticiones y latencia.</w:t>
      </w:r>
    </w:p>
    <w:p>
      <w:pPr>
        <w:pStyle w:val="ListBullet"/>
        <w:spacing w:after="60" w:line="276" w:lineRule="auto"/>
      </w:pPr>
      <w:r>
        <w:rPr>
          <w:rFonts w:ascii="Calibri" w:hAnsi="Calibri"/>
          <w:b/>
          <w:color w:val="0F172A"/>
          <w:sz w:val="22"/>
        </w:rPr>
        <w:t xml:space="preserve">Registro de Logs (Logging): </w:t>
      </w:r>
      <w:r>
        <w:rPr>
          <w:rFonts w:ascii="Calibri" w:hAnsi="Calibri"/>
          <w:color w:val="334155"/>
          <w:sz w:val="22"/>
        </w:rPr>
        <w:t xml:space="preserve"> Centralización de registros de eventos del balanceador y contenedores.</w:t>
      </w:r>
    </w:p>
    <w:p>
      <w:pPr>
        <w:pStyle w:val="ListBullet"/>
        <w:spacing w:after="60" w:line="276" w:lineRule="auto"/>
      </w:pPr>
      <w:r>
        <w:rPr>
          <w:rFonts w:ascii="Calibri" w:hAnsi="Calibri"/>
          <w:b/>
          <w:color w:val="0F172A"/>
          <w:sz w:val="22"/>
        </w:rPr>
        <w:t xml:space="preserve">Elaboración de informes de errores (Error Reporting): </w:t>
      </w:r>
      <w:r>
        <w:rPr>
          <w:rFonts w:ascii="Calibri" w:hAnsi="Calibri"/>
          <w:color w:val="334155"/>
          <w:sz w:val="22"/>
        </w:rPr>
        <w:t xml:space="preserve"> Captura y notificación automática de excepciones y caídas en las aplicaciones.</w:t>
      </w:r>
    </w:p>
    <w:p>
      <w:pPr>
        <w:keepNext/>
        <w:spacing w:before="360" w:after="120"/>
      </w:pPr>
      <w:r>
        <w:rPr>
          <w:rFonts w:ascii="Calibri" w:hAnsi="Calibri"/>
          <w:b/>
          <w:color w:val="1E293B"/>
          <w:sz w:val="32"/>
        </w:rPr>
        <w:t>4. Herramientas de Prueba de Rendimiento de Red y Servidores Web</w:t>
      </w:r>
    </w:p>
    <w:p>
      <w:pPr>
        <w:keepNext/>
        <w:spacing w:before="240" w:after="80"/>
      </w:pPr>
      <w:r>
        <w:rPr>
          <w:rFonts w:ascii="Calibri" w:hAnsi="Calibri"/>
          <w:b/>
          <w:color w:val="4F46E5"/>
          <w:sz w:val="26"/>
        </w:rPr>
        <w:t>4.1 Apache Bench (ab) - Pruebas de Rendimiento HTTP</w:t>
      </w:r>
    </w:p>
    <w:p>
      <w:pPr>
        <w:spacing w:after="80" w:line="276" w:lineRule="auto"/>
      </w:pPr>
      <w:r>
        <w:rPr>
          <w:rFonts w:ascii="Calibri" w:hAnsi="Calibri"/>
          <w:color w:val="334155"/>
          <w:sz w:val="22"/>
        </w:rPr>
        <w:t>ApacheBench (ab) es una herramienta de línea de comandos (CLI) genérica diseñada para medir el rendimiento de servidores web HTTP.</w:t>
      </w:r>
    </w:p>
    <w:p>
      <w:pPr>
        <w:pStyle w:val="ListBullet"/>
        <w:spacing w:after="60" w:line="276" w:lineRule="auto"/>
      </w:pPr>
      <w:r>
        <w:rPr>
          <w:rFonts w:ascii="Calibri" w:hAnsi="Calibri"/>
          <w:b/>
          <w:color w:val="0F172A"/>
          <w:sz w:val="22"/>
        </w:rPr>
        <w:t xml:space="preserve">Sintaxis Estándar: </w:t>
      </w:r>
      <w:r>
        <w:rPr>
          <w:rFonts w:ascii="Calibri" w:hAnsi="Calibri"/>
          <w:color w:val="334155"/>
          <w:sz w:val="22"/>
        </w:rPr>
        <w:t xml:space="preserve"> ab -n 1000 -c 50 http://192.168.1.100/</w:t>
      </w:r>
    </w:p>
    <w:p>
      <w:pPr>
        <w:pStyle w:val="ListBullet"/>
        <w:spacing w:after="60" w:line="276" w:lineRule="auto"/>
      </w:pPr>
      <w:r>
        <w:rPr>
          <w:rFonts w:ascii="Calibri" w:hAnsi="Calibri"/>
          <w:b/>
          <w:color w:val="0F172A"/>
          <w:sz w:val="22"/>
        </w:rPr>
        <w:t xml:space="preserve">Parámetro -n: </w:t>
      </w:r>
      <w:r>
        <w:rPr>
          <w:rFonts w:ascii="Calibri" w:hAnsi="Calibri"/>
          <w:color w:val="334155"/>
          <w:sz w:val="22"/>
        </w:rPr>
        <w:t xml:space="preserve"> Número total de peticiones HTTP que se enviarán en la prueba (ej. 1000).</w:t>
      </w:r>
    </w:p>
    <w:p>
      <w:pPr>
        <w:pStyle w:val="ListBullet"/>
        <w:spacing w:after="60" w:line="276" w:lineRule="auto"/>
      </w:pPr>
      <w:r>
        <w:rPr>
          <w:rFonts w:ascii="Calibri" w:hAnsi="Calibri"/>
          <w:b/>
          <w:color w:val="0F172A"/>
          <w:sz w:val="22"/>
        </w:rPr>
        <w:t xml:space="preserve">Parámetro -c: </w:t>
      </w:r>
      <w:r>
        <w:rPr>
          <w:rFonts w:ascii="Calibri" w:hAnsi="Calibri"/>
          <w:color w:val="334155"/>
          <w:sz w:val="22"/>
        </w:rPr>
        <w:t xml:space="preserve"> Concurrencia o número de peticiones simultáneas abiertas al mismo tiempo (ej. 50).</w:t>
      </w:r>
    </w:p>
    <w:p>
      <w:pPr>
        <w:pStyle w:val="ListBullet"/>
        <w:spacing w:after="60" w:line="276" w:lineRule="auto"/>
      </w:pPr>
      <w:r>
        <w:rPr>
          <w:rFonts w:ascii="Calibri" w:hAnsi="Calibri"/>
          <w:b/>
          <w:color w:val="0F172A"/>
          <w:sz w:val="22"/>
        </w:rPr>
        <w:t xml:space="preserve">Métrica Requests per second (RPS): </w:t>
      </w:r>
      <w:r>
        <w:rPr>
          <w:rFonts w:ascii="Calibri" w:hAnsi="Calibri"/>
          <w:color w:val="334155"/>
          <w:sz w:val="22"/>
        </w:rPr>
        <w:t xml:space="preserve"> Peticiones completadas por segundo (RPS = Total Peticiones / Tiempo Total).</w:t>
      </w:r>
    </w:p>
    <w:p>
      <w:pPr>
        <w:pStyle w:val="ListBullet"/>
        <w:spacing w:after="60" w:line="276" w:lineRule="auto"/>
      </w:pPr>
      <w:r>
        <w:rPr>
          <w:rFonts w:ascii="Calibri" w:hAnsi="Calibri"/>
          <w:b/>
          <w:color w:val="0F172A"/>
          <w:sz w:val="22"/>
        </w:rPr>
        <w:t xml:space="preserve">Métrica Time per request: </w:t>
      </w:r>
      <w:r>
        <w:rPr>
          <w:rFonts w:ascii="Calibri" w:hAnsi="Calibri"/>
          <w:color w:val="334155"/>
          <w:sz w:val="22"/>
        </w:rPr>
        <w:t xml:space="preserve"> Tiempo promedio de respuesta en milisegundos.</w:t>
      </w:r>
    </w:p>
    <w:p>
      <w:pPr>
        <w:pStyle w:val="ListBullet"/>
        <w:spacing w:after="60" w:line="276" w:lineRule="auto"/>
      </w:pPr>
      <w:r>
        <w:rPr>
          <w:rFonts w:ascii="Calibri" w:hAnsi="Calibri"/>
          <w:b/>
          <w:color w:val="0F172A"/>
          <w:sz w:val="22"/>
        </w:rPr>
        <w:t xml:space="preserve">Percentiles de Latencia: </w:t>
      </w:r>
      <w:r>
        <w:rPr>
          <w:rFonts w:ascii="Calibri" w:hAnsi="Calibri"/>
          <w:color w:val="334155"/>
          <w:sz w:val="22"/>
        </w:rPr>
        <w:t xml:space="preserve"> Distribución del tiempo de respuesta (50%, 95%, 99%) para verificar picos de latencia.</w:t>
      </w:r>
    </w:p>
    <w:tbl>
      <w:tblPr>
        <w:tblW w:type="auto" w:w="0"/>
        <w:jc w:val="center"/>
        <w:tblLayout w:type="fixed"/>
        <w:tblLook w:firstColumn="1" w:firstRow="1" w:lastColumn="0" w:lastRow="0" w:noHBand="0" w:noVBand="1" w:val="04A0"/>
      </w:tblPr>
      <w:tblGrid>
        <w:gridCol w:w="9360"/>
      </w:tblGrid>
      <w:tr>
        <w:tc>
          <w:tcPr>
            <w:tcW w:type="dxa" w:w="9360"/>
            <w:shd w:fill="F1F5F9"/>
            <w:tcBorders>
              <w:top w:val="none"/>
              <w:left w:val="single" w:sz="24" w:space="0" w:color="4F46E5"/>
              <w:bottom w:val="none"/>
              <w:right w:val="none"/>
            </w:tcBorders>
          </w:tcPr>
          <w:p>
            <w:pPr>
              <w:spacing w:before="120" w:after="80"/>
            </w:pPr>
            <w:r>
              <w:rPr>
                <w:rFonts w:ascii="Calibri" w:hAnsi="Calibri"/>
                <w:b/>
                <w:color w:val="4F46E5"/>
                <w:sz w:val="22"/>
              </w:rPr>
              <w:t>📌 PRECAUCIÓN OPERATIVA - APACHE BENCH</w:t>
              <w:br/>
            </w:r>
            <w:r>
              <w:rPr>
                <w:rFonts w:ascii="Calibri" w:hAnsi="Calibri"/>
                <w:color w:val="1E293B"/>
                <w:sz w:val="21"/>
              </w:rPr>
              <w:t>Se debe tener extremo cuidado con los parámetros -n y -c durante las pruebas para no generar involuntariamente una Denegación de Servicio (DoS) sobre servidores en producción.</w:t>
            </w:r>
          </w:p>
        </w:tc>
      </w:tr>
    </w:tbl>
    <w:p>
      <w:pPr>
        <w:spacing w:after="80"/>
      </w:pPr>
    </w:p>
    <w:p>
      <w:pPr>
        <w:keepNext/>
        <w:spacing w:before="240" w:after="80"/>
      </w:pPr>
      <w:r>
        <w:rPr>
          <w:rFonts w:ascii="Calibri" w:hAnsi="Calibri"/>
          <w:b/>
          <w:color w:val="4F46E5"/>
          <w:sz w:val="26"/>
        </w:rPr>
        <w:t>4.2 iperf / iperf3 - Medición de Rendimiento de Capa de Transporte</w:t>
      </w:r>
    </w:p>
    <w:p>
      <w:pPr>
        <w:spacing w:after="80" w:line="276" w:lineRule="auto"/>
      </w:pPr>
      <w:r>
        <w:rPr>
          <w:rFonts w:ascii="Calibri" w:hAnsi="Calibri"/>
          <w:color w:val="334155"/>
          <w:sz w:val="22"/>
        </w:rPr>
        <w:t>iperf / iperf3 es la herramienta estándar de CLI para medir el rendimiento máximo de ancho de banda en redes IP sobre los protocolos TCP y UDP.</w:t>
      </w:r>
    </w:p>
    <w:p>
      <w:pPr>
        <w:pStyle w:val="ListBullet"/>
        <w:spacing w:after="60" w:line="276" w:lineRule="auto"/>
      </w:pPr>
      <w:r>
        <w:rPr>
          <w:rFonts w:ascii="Calibri" w:hAnsi="Calibri"/>
          <w:b/>
          <w:color w:val="0F172A"/>
          <w:sz w:val="22"/>
        </w:rPr>
        <w:t xml:space="preserve">Modo Servidor: </w:t>
      </w:r>
      <w:r>
        <w:rPr>
          <w:rFonts w:ascii="Calibri" w:hAnsi="Calibri"/>
          <w:color w:val="334155"/>
          <w:sz w:val="22"/>
        </w:rPr>
        <w:t xml:space="preserve"> Se ejecuta en el equipo destino escuchando peticiones en el puerto 5201: iperf3 -s</w:t>
      </w:r>
    </w:p>
    <w:p>
      <w:pPr>
        <w:pStyle w:val="ListBullet"/>
        <w:spacing w:after="60" w:line="276" w:lineRule="auto"/>
      </w:pPr>
      <w:r>
        <w:rPr>
          <w:rFonts w:ascii="Calibri" w:hAnsi="Calibri"/>
          <w:b/>
          <w:color w:val="0F172A"/>
          <w:sz w:val="22"/>
        </w:rPr>
        <w:t xml:space="preserve">Modo Cliente: </w:t>
      </w:r>
      <w:r>
        <w:rPr>
          <w:rFonts w:ascii="Calibri" w:hAnsi="Calibri"/>
          <w:color w:val="334155"/>
          <w:sz w:val="22"/>
        </w:rPr>
        <w:t xml:space="preserve"> Conecta al servidor y realiza la prueba de velocidad: iperf3 -c &lt;SERVER_IP&gt; -P 4 -t 30</w:t>
      </w:r>
    </w:p>
    <w:p>
      <w:pPr>
        <w:pStyle w:val="ListBullet"/>
        <w:spacing w:after="60" w:line="276" w:lineRule="auto"/>
      </w:pPr>
      <w:r>
        <w:rPr>
          <w:rFonts w:ascii="Calibri" w:hAnsi="Calibri"/>
          <w:b/>
          <w:color w:val="0F172A"/>
          <w:sz w:val="22"/>
        </w:rPr>
        <w:t xml:space="preserve">Parámetro -P (Hilos Paralelos): </w:t>
      </w:r>
      <w:r>
        <w:rPr>
          <w:rFonts w:ascii="Calibri" w:hAnsi="Calibri"/>
          <w:color w:val="334155"/>
          <w:sz w:val="22"/>
        </w:rPr>
        <w:t xml:space="preserve"> Abre 4 hilos TCP paralelos simultáneos. Es crítico para saturar enlaces de 1 Gbps+, superando las limitaciones de tamaño de ventana de socket de una sola conexión TCP.</w:t>
      </w:r>
    </w:p>
    <w:p>
      <w:pPr>
        <w:pStyle w:val="ListBullet"/>
        <w:spacing w:after="60" w:line="276" w:lineRule="auto"/>
      </w:pPr>
      <w:r>
        <w:rPr>
          <w:rFonts w:ascii="Calibri" w:hAnsi="Calibri"/>
          <w:b/>
          <w:color w:val="0F172A"/>
          <w:sz w:val="22"/>
        </w:rPr>
        <w:t xml:space="preserve">Parámetro -u (Modo UDP): </w:t>
      </w:r>
      <w:r>
        <w:rPr>
          <w:rFonts w:ascii="Calibri" w:hAnsi="Calibri"/>
          <w:color w:val="334155"/>
          <w:sz w:val="22"/>
        </w:rPr>
        <w:t xml:space="preserve"> Conmuta la prueba a protocolo UDP.</w:t>
      </w:r>
    </w:p>
    <w:p>
      <w:pPr>
        <w:pStyle w:val="ListBullet"/>
        <w:spacing w:after="60" w:line="276" w:lineRule="auto"/>
      </w:pPr>
      <w:r>
        <w:rPr>
          <w:rFonts w:ascii="Calibri" w:hAnsi="Calibri"/>
          <w:b/>
          <w:color w:val="0F172A"/>
          <w:sz w:val="22"/>
        </w:rPr>
        <w:t xml:space="preserve">Métrica Jitter: </w:t>
      </w:r>
      <w:r>
        <w:rPr>
          <w:rFonts w:ascii="Calibri" w:hAnsi="Calibri"/>
          <w:color w:val="334155"/>
          <w:sz w:val="22"/>
        </w:rPr>
        <w:t xml:space="preserve"> Mide la variación en los tiempos de llegada de los paquetes UDP.</w:t>
      </w:r>
    </w:p>
    <w:p>
      <w:pPr>
        <w:pStyle w:val="ListBullet"/>
        <w:spacing w:after="60" w:line="276" w:lineRule="auto"/>
      </w:pPr>
      <w:r>
        <w:rPr>
          <w:rFonts w:ascii="Calibri" w:hAnsi="Calibri"/>
          <w:b/>
          <w:color w:val="0F172A"/>
          <w:sz w:val="22"/>
        </w:rPr>
        <w:t xml:space="preserve">Métrica Pérdida de Paquetes (Packet Loss): </w:t>
      </w:r>
      <w:r>
        <w:rPr>
          <w:rFonts w:ascii="Calibri" w:hAnsi="Calibri"/>
          <w:color w:val="334155"/>
          <w:sz w:val="22"/>
        </w:rPr>
        <w:t xml:space="preserve"> Porcentaje de datagramas UDP caídos en tránsito.</w:t>
      </w:r>
    </w:p>
    <w:p>
      <w:pPr>
        <w:keepNext/>
        <w:spacing w:before="160" w:after="40"/>
      </w:pPr>
      <w:r>
        <w:rPr>
          <w:rFonts w:ascii="Calibri" w:hAnsi="Calibri"/>
          <w:b/>
          <w:color w:val="0F172A"/>
          <w:sz w:val="22"/>
        </w:rPr>
        <w:t>Comparativa iperf 2 vs iperf 3</w:t>
      </w:r>
    </w:p>
    <w:p>
      <w:pPr>
        <w:pStyle w:val="ListBullet"/>
        <w:spacing w:after="60" w:line="276" w:lineRule="auto"/>
      </w:pPr>
      <w:r>
        <w:rPr>
          <w:rFonts w:ascii="Calibri" w:hAnsi="Calibri"/>
          <w:b/>
          <w:color w:val="0F172A"/>
          <w:sz w:val="22"/>
        </w:rPr>
        <w:t xml:space="preserve">iperf 2: </w:t>
      </w:r>
      <w:r>
        <w:rPr>
          <w:rFonts w:ascii="Calibri" w:hAnsi="Calibri"/>
          <w:color w:val="334155"/>
          <w:sz w:val="22"/>
        </w:rPr>
        <w:t xml:space="preserve"> Soporta multicast, hilos múltiples tradicionales y compatibilidad con dispositivos antiguos.</w:t>
      </w:r>
    </w:p>
    <w:p>
      <w:pPr>
        <w:pStyle w:val="ListBullet"/>
        <w:spacing w:after="60" w:line="276" w:lineRule="auto"/>
      </w:pPr>
      <w:r>
        <w:rPr>
          <w:rFonts w:ascii="Calibri" w:hAnsi="Calibri"/>
          <w:b/>
          <w:color w:val="0F172A"/>
          <w:sz w:val="22"/>
        </w:rPr>
        <w:t xml:space="preserve">iperf 3: </w:t>
      </w:r>
      <w:r>
        <w:rPr>
          <w:rFonts w:ascii="Calibri" w:hAnsi="Calibri"/>
          <w:color w:val="334155"/>
          <w:sz w:val="22"/>
        </w:rPr>
        <w:t xml:space="preserve"> Versión moderna, motor simplificado, soporte para salida estructurada en JSON (--json) y mejor manejo de librerías.</w:t>
      </w:r>
    </w:p>
    <w:p>
      <w:pPr>
        <w:keepNext/>
        <w:spacing w:before="160" w:after="40"/>
      </w:pPr>
      <w:r>
        <w:rPr>
          <w:rFonts w:ascii="Calibri" w:hAnsi="Calibri"/>
          <w:b/>
          <w:color w:val="0F172A"/>
          <w:sz w:val="22"/>
        </w:rPr>
        <w:t>Guía de Troubleshooting de Red (Si la velocidad es baja)</w:t>
      </w:r>
    </w:p>
    <w:p>
      <w:pPr>
        <w:pStyle w:val="ListBullet"/>
        <w:spacing w:after="60" w:line="276" w:lineRule="auto"/>
      </w:pPr>
      <w:r>
        <w:rPr>
          <w:rFonts w:ascii="Calibri" w:hAnsi="Calibri"/>
          <w:b/>
          <w:color w:val="0F172A"/>
          <w:sz w:val="22"/>
        </w:rPr>
        <w:t xml:space="preserve">Revisar uso de CPU: </w:t>
      </w:r>
      <w:r>
        <w:rPr>
          <w:rFonts w:ascii="Calibri" w:hAnsi="Calibri"/>
          <w:color w:val="334155"/>
          <w:sz w:val="22"/>
        </w:rPr>
        <w:t xml:space="preserve"> Verificar si el procesador alcanzó el 100% de uso.</w:t>
      </w:r>
    </w:p>
    <w:p>
      <w:pPr>
        <w:pStyle w:val="ListBullet"/>
        <w:spacing w:after="60" w:line="276" w:lineRule="auto"/>
      </w:pPr>
      <w:r>
        <w:rPr>
          <w:rFonts w:ascii="Calibri" w:hAnsi="Calibri"/>
          <w:b/>
          <w:color w:val="0F172A"/>
          <w:sz w:val="22"/>
        </w:rPr>
        <w:t xml:space="preserve">Verificar congestión en el switch: </w:t>
      </w:r>
      <w:r>
        <w:rPr>
          <w:rFonts w:ascii="Calibri" w:hAnsi="Calibri"/>
          <w:color w:val="334155"/>
          <w:sz w:val="22"/>
        </w:rPr>
        <w:t xml:space="preserve"> Comprobar si hay saturación o descarte de tramas en los conmutadores.</w:t>
      </w:r>
    </w:p>
    <w:p>
      <w:pPr>
        <w:pStyle w:val="ListBullet"/>
        <w:spacing w:after="60" w:line="276" w:lineRule="auto"/>
      </w:pPr>
      <w:r>
        <w:rPr>
          <w:rFonts w:ascii="Calibri" w:hAnsi="Calibri"/>
          <w:b/>
          <w:color w:val="0F172A"/>
          <w:sz w:val="22"/>
        </w:rPr>
        <w:t xml:space="preserve">Pruebas cruzadas de interfaz: </w:t>
      </w:r>
      <w:r>
        <w:rPr>
          <w:rFonts w:ascii="Calibri" w:hAnsi="Calibri"/>
          <w:color w:val="334155"/>
          <w:sz w:val="22"/>
        </w:rPr>
        <w:t xml:space="preserve"> Probar con otras tarjetas o adaptadores de red.</w:t>
      </w:r>
    </w:p>
    <w:p>
      <w:pPr>
        <w:keepNext/>
        <w:spacing w:before="360" w:after="120"/>
      </w:pPr>
      <w:r>
        <w:rPr>
          <w:rFonts w:ascii="Calibri" w:hAnsi="Calibri"/>
          <w:b/>
          <w:color w:val="1E293B"/>
          <w:sz w:val="32"/>
        </w:rPr>
        <w:t>5. Gestor de Despliegue en GCP (Deployment Manager) y Marketplace</w:t>
      </w:r>
    </w:p>
    <w:p>
      <w:pPr>
        <w:keepNext/>
        <w:spacing w:before="240" w:after="80"/>
      </w:pPr>
      <w:r>
        <w:rPr>
          <w:rFonts w:ascii="Calibri" w:hAnsi="Calibri"/>
          <w:b/>
          <w:color w:val="4F46E5"/>
          <w:sz w:val="26"/>
        </w:rPr>
        <w:t>5.1 GCP Deployment Manager (Infraestructura como Código - IaC)</w:t>
      </w:r>
    </w:p>
    <w:p>
      <w:pPr>
        <w:spacing w:after="80" w:line="276" w:lineRule="auto"/>
      </w:pPr>
      <w:r>
        <w:rPr>
          <w:rFonts w:ascii="Calibri" w:hAnsi="Calibri"/>
          <w:color w:val="334155"/>
          <w:sz w:val="22"/>
        </w:rPr>
        <w:t>Deployment Manager es un servicio de implementación de infraestructura que automatiza la creación y administración de recursos de GCP. El usuario especifica todos los recursos necesarios en un formato declarativo (YAML, Jinja2 o Python) y luego despliega la configuración de forma automatizada.</w:t>
      </w:r>
    </w:p>
    <w:p>
      <w:pPr>
        <w:pStyle w:val="ListBullet"/>
        <w:spacing w:after="60" w:line="276" w:lineRule="auto"/>
      </w:pPr>
      <w:r>
        <w:rPr>
          <w:rFonts w:ascii="Calibri" w:hAnsi="Calibri"/>
          <w:b/>
          <w:color w:val="0F172A"/>
          <w:sz w:val="22"/>
        </w:rPr>
        <w:t xml:space="preserve">Comparación con Cloud Shell: </w:t>
      </w:r>
      <w:r>
        <w:rPr>
          <w:rFonts w:ascii="Calibri" w:hAnsi="Calibri"/>
          <w:color w:val="334155"/>
          <w:sz w:val="22"/>
        </w:rPr>
        <w:t xml:space="preserve"> A diferencia de la ejecución manual de comandos en Cloud Shell, Deployment Manager garantiza despliegues repetibles, versionables y libres de errores manuales.</w:t>
      </w:r>
    </w:p>
    <w:p>
      <w:pPr>
        <w:keepNext/>
        <w:spacing w:before="240" w:after="80"/>
      </w:pPr>
      <w:r>
        <w:rPr>
          <w:rFonts w:ascii="Calibri" w:hAnsi="Calibri"/>
          <w:b/>
          <w:color w:val="4F46E5"/>
          <w:sz w:val="26"/>
        </w:rPr>
        <w:t>5.2 GCP Marketplace</w:t>
      </w:r>
    </w:p>
    <w:p>
      <w:pPr>
        <w:spacing w:after="80" w:line="276" w:lineRule="auto"/>
      </w:pPr>
      <w:r>
        <w:rPr>
          <w:rFonts w:ascii="Calibri" w:hAnsi="Calibri"/>
          <w:color w:val="334155"/>
          <w:sz w:val="22"/>
        </w:rPr>
        <w:t>Google Cloud Platform Marketplace es un catálogo que permite aprovisionar rápidamente soluciones de software listas para usar (ej. InfluxDB Enterprise, PostgreSQL, Nginx, Redis) sobre Compute Engine mediante licencias BYOL (Bring Your Own License) o pago por uso, utilizando plantillas integradas de Deployment Manager.</w:t>
      </w:r>
    </w:p>
    <w:p>
      <w:pPr>
        <w:keepNext/>
        <w:spacing w:before="360" w:after="120"/>
      </w:pPr>
      <w:r>
        <w:rPr>
          <w:rFonts w:ascii="Calibri" w:hAnsi="Calibri"/>
          <w:b/>
          <w:color w:val="1E293B"/>
          <w:sz w:val="32"/>
        </w:rPr>
        <w:t>6. Síntesis de Integración en el Código y Despliegue del Proyecto</w:t>
      </w:r>
    </w:p>
    <w:p>
      <w:pPr>
        <w:spacing w:after="80" w:line="276" w:lineRule="auto"/>
      </w:pPr>
      <w:r>
        <w:rPr>
          <w:rFonts w:ascii="Calibri" w:hAnsi="Calibri"/>
          <w:color w:val="334155"/>
          <w:sz w:val="22"/>
        </w:rPr>
        <w:t>Todos los temas de la carpeta informacion han sido integrados tanto en el código fuente de la aplicación web como en los manifiestos de despliegue:</w:t>
      </w:r>
    </w:p>
    <w:p>
      <w:pPr>
        <w:pStyle w:val="ListBullet"/>
        <w:spacing w:after="60" w:line="276" w:lineRule="auto"/>
      </w:pPr>
      <w:r>
        <w:rPr>
          <w:rFonts w:ascii="Calibri" w:hAnsi="Calibri"/>
          <w:b/>
          <w:color w:val="0F172A"/>
          <w:sz w:val="22"/>
        </w:rPr>
        <w:t xml:space="preserve">Contenedores y Orquestación: </w:t>
      </w:r>
      <w:r>
        <w:rPr>
          <w:rFonts w:ascii="Calibri" w:hAnsi="Calibri"/>
          <w:color w:val="334155"/>
          <w:sz w:val="22"/>
        </w:rPr>
        <w:t xml:space="preserve"> En docker-compose.yml y manifiestos de Kubernetes se configuran los servicios de PostgreSQL, Redis, FastAPI y Backend .NET bajo una arquitectura de contenedores aislados.</w:t>
      </w:r>
    </w:p>
    <w:p>
      <w:pPr>
        <w:pStyle w:val="ListBullet"/>
        <w:spacing w:after="60" w:line="276" w:lineRule="auto"/>
      </w:pPr>
      <w:r>
        <w:rPr>
          <w:rFonts w:ascii="Calibri" w:hAnsi="Calibri"/>
          <w:b/>
          <w:color w:val="0F172A"/>
          <w:sz w:val="22"/>
        </w:rPr>
        <w:t xml:space="preserve">Herramientas de Benchmarking: </w:t>
      </w:r>
      <w:r>
        <w:rPr>
          <w:rFonts w:ascii="Calibri" w:hAnsi="Calibri"/>
          <w:color w:val="334155"/>
          <w:sz w:val="22"/>
        </w:rPr>
        <w:t xml:space="preserve"> El módulo de Referencia de Puertos incorpora el simulador de escaneo Nmap y la documentación de métricas de red iperf3 y Apache Bench.</w:t>
      </w:r>
    </w:p>
    <w:p>
      <w:pPr>
        <w:pStyle w:val="ListBullet"/>
        <w:spacing w:after="60" w:line="276" w:lineRule="auto"/>
      </w:pPr>
      <w:r>
        <w:rPr>
          <w:rFonts w:ascii="Calibri" w:hAnsi="Calibri"/>
          <w:b/>
          <w:color w:val="0F172A"/>
          <w:sz w:val="22"/>
        </w:rPr>
        <w:t xml:space="preserve">Temario Interactivo: </w:t>
      </w:r>
      <w:r>
        <w:rPr>
          <w:rFonts w:ascii="Calibri" w:hAnsi="Calibri"/>
          <w:color w:val="334155"/>
          <w:sz w:val="22"/>
        </w:rPr>
        <w:t xml:space="preserve"> El componente de Temario OIT 1 (Syllabus) incluye cuadros explicativos interactivos, fórmulas, percentiles y la conexión directa con arquitecturas AWS / GCP.</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