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3C3C3B"/>
          <w:sz w:val="22"/>
          <w:szCs w:val="22"/>
        </w:rPr>
        <w:t xml:space="preserve">MAVERICK CUSTOMERCONNECT</w:t>
      </w:r>
    </w:p>
    <w:p>
      <w:pPr>
        <w:spacing w:after="100"/>
        <w:jc w:val="center"/>
      </w:pPr>
      <w:r>
        <w:rPr>
          <w:b/>
          <w:bCs/>
          <w:color w:val="3C3C3B"/>
          <w:sz w:val="38"/>
          <w:szCs w:val="38"/>
        </w:rPr>
        <w:t xml:space="preserve">TypeScript Error Findings Report</w:t>
      </w:r>
    </w:p>
    <w:p>
      <w:pPr>
        <w:spacing w:after="360"/>
        <w:jc w:val="center"/>
      </w:pPr>
      <w:r>
        <w:rPr>
          <w:color w:val="666666"/>
          <w:sz w:val="20"/>
          <w:szCs w:val="20"/>
        </w:rPr>
        <w:t xml:space="preserve">Prepared 27 August 2026</w:t>
      </w:r>
    </w:p>
    <w:p>
      <w:pPr>
        <w:pStyle w:val="Heading1"/>
        <w:spacing w:after="100" w:before="240"/>
      </w:pPr>
      <w:r>
        <w:rPr>
          <w:b/>
          <w:bCs/>
          <w:color w:val="3C3C3B"/>
        </w:rPr>
        <w:t xml:space="preserve">Executive Summary</w:t>
      </w:r>
    </w:p>
    <w:p>
      <w:pPr>
        <w:spacing w:after="100"/>
      </w:pPr>
      <w:r>
        <w:rPr>
          <w:color w:val="333333"/>
          <w:sz w:val="22"/>
          <w:szCs w:val="22"/>
        </w:rPr>
        <w:t xml:space="preserve">A read-only TypeScript validation check was performed using npm run check. The check failed with 26 errors across 11 files. No application code or database data was changed while preparing these findings.</w:t>
      </w:r>
    </w:p>
    <w:p>
      <w:pPr>
        <w:spacing w:after="100"/>
      </w:pPr>
      <w:r>
        <w:rPr>
          <w:color w:val="333333"/>
          <w:sz w:val="22"/>
          <w:szCs w:val="22"/>
        </w:rPr>
        <w:t xml:space="preserve">The development application can still run, but the failed validation reduces confidence in production reliability and may hide defects affecting dashboards, rewards, profiles, transaction simulation, email delivery, and security configuration.</w:t>
      </w:r>
    </w:p>
    <w:p>
      <w:pPr>
        <w:pStyle w:val="Heading1"/>
        <w:spacing w:after="100" w:before="240"/>
      </w:pPr>
      <w:r>
        <w:rPr>
          <w:b/>
          <w:bCs/>
          <w:color w:val="3C3C3B"/>
        </w:rPr>
        <w:t xml:space="preserve">Results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DC800" w:val="clear"/>
            <w:tcMar>
              <w:top w:type="dxa" w:w="100"/>
              <w:left w:type="dxa" w:w="120"/>
              <w:bottom w:type="dxa" w:w="100"/>
              <w:right w:type="dxa" w:w="120"/>
            </w:tcMar>
          </w:tcPr>
          <w:p>
            <w:r>
              <w:rPr>
                <w:b/>
                <w:bCs/>
                <w:color w:val="3C3C3B"/>
                <w:sz w:val="20"/>
                <w:szCs w:val="20"/>
              </w:rPr>
              <w:t xml:space="preserve">Category</w:t>
            </w:r>
          </w:p>
        </w:tc>
        <w:tc>
          <w:tcPr>
            <w:shd w:fill="FDC800" w:val="clear"/>
            <w:tcMar>
              <w:top w:type="dxa" w:w="100"/>
              <w:left w:type="dxa" w:w="120"/>
              <w:bottom w:type="dxa" w:w="100"/>
              <w:right w:type="dxa" w:w="120"/>
            </w:tcMar>
          </w:tcPr>
          <w:p>
            <w:r>
              <w:rPr>
                <w:b/>
                <w:bCs/>
                <w:color w:val="3C3C3B"/>
                <w:sz w:val="20"/>
                <w:szCs w:val="20"/>
              </w:rPr>
              <w:t xml:space="preserve">Errors</w:t>
            </w:r>
          </w:p>
        </w:tc>
        <w:tc>
          <w:tcPr>
            <w:shd w:fill="FDC800" w:val="clear"/>
            <w:tcMar>
              <w:top w:type="dxa" w:w="100"/>
              <w:left w:type="dxa" w:w="120"/>
              <w:bottom w:type="dxa" w:w="100"/>
              <w:right w:type="dxa" w:w="120"/>
            </w:tcMar>
          </w:tcPr>
          <w:p>
            <w:r>
              <w:rPr>
                <w:b/>
                <w:bCs/>
                <w:color w:val="3C3C3B"/>
                <w:sz w:val="20"/>
                <w:szCs w:val="20"/>
              </w:rPr>
              <w:t xml:space="preserve">Risk</w:t>
            </w:r>
          </w:p>
        </w:tc>
      </w:tr>
      <w:tr>
        <w:tc>
          <w:tcPr>
            <w:tcMar>
              <w:top w:type="dxa" w:w="100"/>
              <w:left w:type="dxa" w:w="120"/>
              <w:bottom w:type="dxa" w:w="100"/>
              <w:right w:type="dxa" w:w="120"/>
            </w:tcMar>
          </w:tcPr>
          <w:p>
            <w:r>
              <w:rPr>
                <w:b w:val="false"/>
                <w:bCs w:val="false"/>
                <w:color w:val="3C3C3B"/>
                <w:sz w:val="20"/>
                <w:szCs w:val="20"/>
              </w:rPr>
              <w:t xml:space="preserve">API data has no defined type</w:t>
            </w:r>
          </w:p>
        </w:tc>
        <w:tc>
          <w:tcPr>
            <w:tcMar>
              <w:top w:type="dxa" w:w="100"/>
              <w:left w:type="dxa" w:w="120"/>
              <w:bottom w:type="dxa" w:w="100"/>
              <w:right w:type="dxa" w:w="120"/>
            </w:tcMar>
          </w:tcPr>
          <w:p>
            <w:r>
              <w:rPr>
                <w:b w:val="false"/>
                <w:bCs w:val="false"/>
                <w:color w:val="3C3C3B"/>
                <w:sz w:val="20"/>
                <w:szCs w:val="20"/>
              </w:rPr>
              <w:t xml:space="preserve">15</w:t>
            </w:r>
          </w:p>
        </w:tc>
        <w:tc>
          <w:tcPr>
            <w:tcMar>
              <w:top w:type="dxa" w:w="100"/>
              <w:left w:type="dxa" w:w="120"/>
              <w:bottom w:type="dxa" w:w="100"/>
              <w:right w:type="dxa" w:w="120"/>
            </w:tcMar>
          </w:tcPr>
          <w:p>
            <w:r>
              <w:rPr>
                <w:b w:val="false"/>
                <w:bCs w:val="false"/>
                <w:color w:val="3C3C3B"/>
                <w:sz w:val="20"/>
                <w:szCs w:val="20"/>
              </w:rPr>
              <w:t xml:space="preserve">Dashboard and admin data may be handled incorrectly</w:t>
            </w:r>
          </w:p>
        </w:tc>
      </w:tr>
      <w:tr>
        <w:tc>
          <w:tcPr>
            <w:tcMar>
              <w:top w:type="dxa" w:w="100"/>
              <w:left w:type="dxa" w:w="120"/>
              <w:bottom w:type="dxa" w:w="100"/>
              <w:right w:type="dxa" w:w="120"/>
            </w:tcMar>
          </w:tcPr>
          <w:p>
            <w:r>
              <w:rPr>
                <w:b w:val="false"/>
                <w:bCs w:val="false"/>
                <w:color w:val="3C3C3B"/>
                <w:sz w:val="20"/>
                <w:szCs w:val="20"/>
              </w:rPr>
              <w:t xml:space="preserve">Nullable points balance</w:t>
            </w:r>
          </w:p>
        </w:tc>
        <w:tc>
          <w:tcPr>
            <w:tcMar>
              <w:top w:type="dxa" w:w="100"/>
              <w:left w:type="dxa" w:w="120"/>
              <w:bottom w:type="dxa" w:w="100"/>
              <w:right w:type="dxa" w:w="120"/>
            </w:tcMar>
          </w:tcPr>
          <w:p>
            <w:r>
              <w:rPr>
                <w:b w:val="false"/>
                <w:bCs w:val="false"/>
                <w:color w:val="3C3C3B"/>
                <w:sz w:val="20"/>
                <w:szCs w:val="20"/>
              </w:rPr>
              <w:t xml:space="preserve">4</w:t>
            </w:r>
          </w:p>
        </w:tc>
        <w:tc>
          <w:tcPr>
            <w:tcMar>
              <w:top w:type="dxa" w:w="100"/>
              <w:left w:type="dxa" w:w="120"/>
              <w:bottom w:type="dxa" w:w="100"/>
              <w:right w:type="dxa" w:w="120"/>
            </w:tcMar>
          </w:tcPr>
          <w:p>
            <w:r>
              <w:rPr>
                <w:b w:val="false"/>
                <w:bCs w:val="false"/>
                <w:color w:val="3C3C3B"/>
                <w:sz w:val="20"/>
                <w:szCs w:val="20"/>
              </w:rPr>
              <w:t xml:space="preserve">Rewards calculations may fail for empty balances</w:t>
            </w:r>
          </w:p>
        </w:tc>
      </w:tr>
      <w:tr>
        <w:tc>
          <w:tcPr>
            <w:tcMar>
              <w:top w:type="dxa" w:w="100"/>
              <w:left w:type="dxa" w:w="120"/>
              <w:bottom w:type="dxa" w:w="100"/>
              <w:right w:type="dxa" w:w="120"/>
            </w:tcMar>
          </w:tcPr>
          <w:p>
            <w:r>
              <w:rPr>
                <w:b w:val="false"/>
                <w:bCs w:val="false"/>
                <w:color w:val="3C3C3B"/>
                <w:sz w:val="20"/>
                <w:szCs w:val="20"/>
              </w:rPr>
              <w:t xml:space="preserve">Incorrect API helper usage</w:t>
            </w:r>
          </w:p>
        </w:tc>
        <w:tc>
          <w:tcPr>
            <w:tcMar>
              <w:top w:type="dxa" w:w="100"/>
              <w:left w:type="dxa" w:w="120"/>
              <w:bottom w:type="dxa" w:w="100"/>
              <w:right w:type="dxa" w:w="120"/>
            </w:tcMar>
          </w:tcPr>
          <w:p>
            <w:r>
              <w:rPr>
                <w:b w:val="false"/>
                <w:bCs w:val="false"/>
                <w:color w:val="3C3C3B"/>
                <w:sz w:val="20"/>
                <w:szCs w:val="20"/>
              </w:rPr>
              <w:t xml:space="preserve">1</w:t>
            </w:r>
          </w:p>
        </w:tc>
        <w:tc>
          <w:tcPr>
            <w:tcMar>
              <w:top w:type="dxa" w:w="100"/>
              <w:left w:type="dxa" w:w="120"/>
              <w:bottom w:type="dxa" w:w="100"/>
              <w:right w:type="dxa" w:w="120"/>
            </w:tcMar>
          </w:tcPr>
          <w:p>
            <w:r>
              <w:rPr>
                <w:b w:val="false"/>
                <w:bCs w:val="false"/>
                <w:color w:val="3C3C3B"/>
                <w:sz w:val="20"/>
                <w:szCs w:val="20"/>
              </w:rPr>
              <w:t xml:space="preserve">Transaction simulator may not submit correctly</w:t>
            </w:r>
          </w:p>
        </w:tc>
      </w:tr>
      <w:tr>
        <w:tc>
          <w:tcPr>
            <w:tcMar>
              <w:top w:type="dxa" w:w="100"/>
              <w:left w:type="dxa" w:w="120"/>
              <w:bottom w:type="dxa" w:w="100"/>
              <w:right w:type="dxa" w:w="120"/>
            </w:tcMar>
          </w:tcPr>
          <w:p>
            <w:r>
              <w:rPr>
                <w:b w:val="false"/>
                <w:bCs w:val="false"/>
                <w:color w:val="3C3C3B"/>
                <w:sz w:val="20"/>
                <w:szCs w:val="20"/>
              </w:rPr>
              <w:t xml:space="preserve">Incorrect response handling</w:t>
            </w:r>
          </w:p>
        </w:tc>
        <w:tc>
          <w:tcPr>
            <w:tcMar>
              <w:top w:type="dxa" w:w="100"/>
              <w:left w:type="dxa" w:w="120"/>
              <w:bottom w:type="dxa" w:w="100"/>
              <w:right w:type="dxa" w:w="120"/>
            </w:tcMar>
          </w:tcPr>
          <w:p>
            <w:r>
              <w:rPr>
                <w:b w:val="false"/>
                <w:bCs w:val="false"/>
                <w:color w:val="3C3C3B"/>
                <w:sz w:val="20"/>
                <w:szCs w:val="20"/>
              </w:rPr>
              <w:t xml:space="preserve">1</w:t>
            </w:r>
          </w:p>
        </w:tc>
        <w:tc>
          <w:tcPr>
            <w:tcMar>
              <w:top w:type="dxa" w:w="100"/>
              <w:left w:type="dxa" w:w="120"/>
              <w:bottom w:type="dxa" w:w="100"/>
              <w:right w:type="dxa" w:w="120"/>
            </w:tcMar>
          </w:tcPr>
          <w:p>
            <w:r>
              <w:rPr>
                <w:b w:val="false"/>
                <w:bCs w:val="false"/>
                <w:color w:val="3C3C3B"/>
                <w:sz w:val="20"/>
                <w:szCs w:val="20"/>
              </w:rPr>
              <w:t xml:space="preserve">Plan-upgrade errors may not display</w:t>
            </w:r>
          </w:p>
        </w:tc>
      </w:tr>
      <w:tr>
        <w:tc>
          <w:tcPr>
            <w:tcMar>
              <w:top w:type="dxa" w:w="100"/>
              <w:left w:type="dxa" w:w="120"/>
              <w:bottom w:type="dxa" w:w="100"/>
              <w:right w:type="dxa" w:w="120"/>
            </w:tcMar>
          </w:tcPr>
          <w:p>
            <w:r>
              <w:rPr>
                <w:b w:val="false"/>
                <w:bCs w:val="false"/>
                <w:color w:val="3C3C3B"/>
                <w:sz w:val="20"/>
                <w:szCs w:val="20"/>
              </w:rPr>
              <w:t xml:space="preserve">Incorrect profile property</w:t>
            </w:r>
          </w:p>
        </w:tc>
        <w:tc>
          <w:tcPr>
            <w:tcMar>
              <w:top w:type="dxa" w:w="100"/>
              <w:left w:type="dxa" w:w="120"/>
              <w:bottom w:type="dxa" w:w="100"/>
              <w:right w:type="dxa" w:w="120"/>
            </w:tcMar>
          </w:tcPr>
          <w:p>
            <w:r>
              <w:rPr>
                <w:b w:val="false"/>
                <w:bCs w:val="false"/>
                <w:color w:val="3C3C3B"/>
                <w:sz w:val="20"/>
                <w:szCs w:val="20"/>
              </w:rPr>
              <w:t xml:space="preserve">1</w:t>
            </w:r>
          </w:p>
        </w:tc>
        <w:tc>
          <w:tcPr>
            <w:tcMar>
              <w:top w:type="dxa" w:w="100"/>
              <w:left w:type="dxa" w:w="120"/>
              <w:bottom w:type="dxa" w:w="100"/>
              <w:right w:type="dxa" w:w="120"/>
            </w:tcMar>
          </w:tcPr>
          <w:p>
            <w:r>
              <w:rPr>
                <w:b w:val="false"/>
                <w:bCs w:val="false"/>
                <w:color w:val="3C3C3B"/>
                <w:sz w:val="20"/>
                <w:szCs w:val="20"/>
              </w:rPr>
              <w:t xml:space="preserve">Phone number may not populate</w:t>
            </w:r>
          </w:p>
        </w:tc>
      </w:tr>
      <w:tr>
        <w:tc>
          <w:tcPr>
            <w:tcMar>
              <w:top w:type="dxa" w:w="100"/>
              <w:left w:type="dxa" w:w="120"/>
              <w:bottom w:type="dxa" w:w="100"/>
              <w:right w:type="dxa" w:w="120"/>
            </w:tcMar>
          </w:tcPr>
          <w:p>
            <w:r>
              <w:rPr>
                <w:b w:val="false"/>
                <w:bCs w:val="false"/>
                <w:color w:val="3C3C3B"/>
                <w:sz w:val="20"/>
                <w:szCs w:val="20"/>
              </w:rPr>
              <w:t xml:space="preserve">SendGrid package missing</w:t>
            </w:r>
          </w:p>
        </w:tc>
        <w:tc>
          <w:tcPr>
            <w:tcMar>
              <w:top w:type="dxa" w:w="100"/>
              <w:left w:type="dxa" w:w="120"/>
              <w:bottom w:type="dxa" w:w="100"/>
              <w:right w:type="dxa" w:w="120"/>
            </w:tcMar>
          </w:tcPr>
          <w:p>
            <w:r>
              <w:rPr>
                <w:b w:val="false"/>
                <w:bCs w:val="false"/>
                <w:color w:val="3C3C3B"/>
                <w:sz w:val="20"/>
                <w:szCs w:val="20"/>
              </w:rPr>
              <w:t xml:space="preserve">1</w:t>
            </w:r>
          </w:p>
        </w:tc>
        <w:tc>
          <w:tcPr>
            <w:tcMar>
              <w:top w:type="dxa" w:w="100"/>
              <w:left w:type="dxa" w:w="120"/>
              <w:bottom w:type="dxa" w:w="100"/>
              <w:right w:type="dxa" w:w="120"/>
            </w:tcMar>
          </w:tcPr>
          <w:p>
            <w:r>
              <w:rPr>
                <w:b w:val="false"/>
                <w:bCs w:val="false"/>
                <w:color w:val="3C3C3B"/>
                <w:sz w:val="20"/>
                <w:szCs w:val="20"/>
              </w:rPr>
              <w:t xml:space="preserve">SendGrid email delivery is unavailable</w:t>
            </w:r>
          </w:p>
        </w:tc>
      </w:tr>
      <w:tr>
        <w:tc>
          <w:tcPr>
            <w:tcMar>
              <w:top w:type="dxa" w:w="100"/>
              <w:left w:type="dxa" w:w="120"/>
              <w:bottom w:type="dxa" w:w="100"/>
              <w:right w:type="dxa" w:w="120"/>
            </w:tcMar>
          </w:tcPr>
          <w:p>
            <w:r>
              <w:rPr>
                <w:b w:val="false"/>
                <w:bCs w:val="false"/>
                <w:color w:val="3C3C3B"/>
                <w:sz w:val="20"/>
                <w:szCs w:val="20"/>
              </w:rPr>
              <w:t xml:space="preserve">CSRF configuration mismatch</w:t>
            </w:r>
          </w:p>
        </w:tc>
        <w:tc>
          <w:tcPr>
            <w:tcMar>
              <w:top w:type="dxa" w:w="100"/>
              <w:left w:type="dxa" w:w="120"/>
              <w:bottom w:type="dxa" w:w="100"/>
              <w:right w:type="dxa" w:w="120"/>
            </w:tcMar>
          </w:tcPr>
          <w:p>
            <w:r>
              <w:rPr>
                <w:b w:val="false"/>
                <w:bCs w:val="false"/>
                <w:color w:val="3C3C3B"/>
                <w:sz w:val="20"/>
                <w:szCs w:val="20"/>
              </w:rPr>
              <w:t xml:space="preserve">2</w:t>
            </w:r>
          </w:p>
        </w:tc>
        <w:tc>
          <w:tcPr>
            <w:tcMar>
              <w:top w:type="dxa" w:w="100"/>
              <w:left w:type="dxa" w:w="120"/>
              <w:bottom w:type="dxa" w:w="100"/>
              <w:right w:type="dxa" w:w="120"/>
            </w:tcMar>
          </w:tcPr>
          <w:p>
            <w:r>
              <w:rPr>
                <w:b w:val="false"/>
                <w:bCs w:val="false"/>
                <w:color w:val="3C3C3B"/>
                <w:sz w:val="20"/>
                <w:szCs w:val="20"/>
              </w:rPr>
              <w:t xml:space="preserve">Security configuration may not work as intended</w:t>
            </w:r>
          </w:p>
        </w:tc>
      </w:tr>
      <w:tr>
        <w:tc>
          <w:tcPr>
            <w:tcMar>
              <w:top w:type="dxa" w:w="100"/>
              <w:left w:type="dxa" w:w="120"/>
              <w:bottom w:type="dxa" w:w="100"/>
              <w:right w:type="dxa" w:w="120"/>
            </w:tcMar>
          </w:tcPr>
          <w:p>
            <w:r>
              <w:rPr>
                <w:b w:val="false"/>
                <w:bCs w:val="false"/>
                <w:color w:val="3C3C3B"/>
                <w:sz w:val="20"/>
                <w:szCs w:val="20"/>
              </w:rPr>
              <w:t xml:space="preserve">Total</w:t>
            </w:r>
          </w:p>
        </w:tc>
        <w:tc>
          <w:tcPr>
            <w:tcMar>
              <w:top w:type="dxa" w:w="100"/>
              <w:left w:type="dxa" w:w="120"/>
              <w:bottom w:type="dxa" w:w="100"/>
              <w:right w:type="dxa" w:w="120"/>
            </w:tcMar>
          </w:tcPr>
          <w:p>
            <w:r>
              <w:rPr>
                <w:b w:val="false"/>
                <w:bCs w:val="false"/>
                <w:color w:val="3C3C3B"/>
                <w:sz w:val="20"/>
                <w:szCs w:val="20"/>
              </w:rPr>
              <w:t xml:space="preserve">26</w:t>
            </w:r>
          </w:p>
        </w:tc>
        <w:tc>
          <w:tcPr>
            <w:tcMar>
              <w:top w:type="dxa" w:w="100"/>
              <w:left w:type="dxa" w:w="120"/>
              <w:bottom w:type="dxa" w:w="100"/>
              <w:right w:type="dxa" w:w="120"/>
            </w:tcMar>
          </w:tcPr>
          <w:p>
            <w:r>
              <w:rPr>
                <w:b w:val="false"/>
                <w:bCs w:val="false"/>
                <w:color w:val="3C3C3B"/>
                <w:sz w:val="20"/>
                <w:szCs w:val="20"/>
              </w:rPr>
              <w:t xml:space="preserve">Validation fails</w:t>
            </w:r>
          </w:p>
        </w:tc>
      </w:tr>
    </w:tbl>
    <w:p>
      <w:pPr>
        <w:pStyle w:val="Heading1"/>
        <w:spacing w:after="100" w:before="240"/>
      </w:pPr>
      <w:r>
        <w:rPr>
          <w:b/>
          <w:bCs/>
          <w:color w:val="3C3C3B"/>
        </w:rPr>
        <w:t xml:space="preserve">Detailed Findings</w:t>
      </w:r>
    </w:p>
    <w:p>
      <w:pPr>
        <w:pStyle w:val="Heading2"/>
        <w:spacing w:after="100" w:before="240"/>
      </w:pPr>
      <w:r>
        <w:rPr>
          <w:b/>
          <w:bCs/>
          <w:color w:val="3C3C3B"/>
        </w:rPr>
        <w:t xml:space="preserve">1. Dashboard reward data — 6 errors</w:t>
      </w:r>
    </w:p>
    <w:p>
      <w:pPr>
        <w:pStyle w:val="ListParagraph"/>
        <w:numPr>
          <w:ilvl w:val="0"/>
          <w:numId w:val="1"/>
        </w:numPr>
        <w:spacing w:after="70"/>
      </w:pPr>
      <w:r>
        <w:rPr>
          <w:sz w:val="21"/>
          <w:szCs w:val="21"/>
        </w:rPr>
        <w:t xml:space="preserve">MobileOptimizedDashboard.tsx: featuredRewards is treated as an array, but its inferred type is unknown (2 errors).</w:t>
      </w:r>
    </w:p>
    <w:p>
      <w:pPr>
        <w:pStyle w:val="ListParagraph"/>
        <w:numPr>
          <w:ilvl w:val="0"/>
          <w:numId w:val="1"/>
        </w:numPr>
        <w:spacing w:after="70"/>
      </w:pPr>
      <w:r>
        <w:rPr>
          <w:sz w:val="21"/>
          <w:szCs w:val="21"/>
        </w:rPr>
        <w:t xml:space="preserve">dashboard.tsx: personalizedOffers and featuredRewards have unknown inferred types (4 errors).</w:t>
      </w:r>
    </w:p>
    <w:p>
      <w:pPr>
        <w:spacing w:after="100"/>
      </w:pPr>
      <w:r>
        <w:rPr>
          <w:color w:val="333333"/>
          <w:sz w:val="22"/>
          <w:szCs w:val="22"/>
        </w:rPr>
        <w:t xml:space="preserve">Impact: TypeScript cannot confirm that the API returned arrays. Unexpected responses could cause dashboard rendering errors.</w:t>
      </w:r>
    </w:p>
    <w:p>
      <w:pPr>
        <w:pStyle w:val="Heading2"/>
        <w:spacing w:after="100" w:before="240"/>
      </w:pPr>
      <w:r>
        <w:rPr>
          <w:b/>
          <w:bCs/>
          <w:color w:val="3C3C3B"/>
        </w:rPr>
        <w:t xml:space="preserve">2. Admin dashboard data — 6 errors</w:t>
      </w:r>
    </w:p>
    <w:p>
      <w:pPr>
        <w:pStyle w:val="ListParagraph"/>
        <w:numPr>
          <w:ilvl w:val="0"/>
          <w:numId w:val="1"/>
        </w:numPr>
        <w:spacing w:after="70"/>
      </w:pPr>
      <w:r>
        <w:rPr>
          <w:sz w:val="21"/>
          <w:szCs w:val="21"/>
        </w:rPr>
        <w:t xml:space="preserve">admin.tsx: allUsers and allRewards have unknown inferred types.</w:t>
      </w:r>
    </w:p>
    <w:p>
      <w:pPr>
        <w:pStyle w:val="ListParagraph"/>
        <w:numPr>
          <w:ilvl w:val="0"/>
          <w:numId w:val="1"/>
        </w:numPr>
        <w:spacing w:after="70"/>
      </w:pPr>
      <w:r>
        <w:rPr>
          <w:sz w:val="21"/>
          <w:szCs w:val="21"/>
        </w:rPr>
        <w:t xml:space="preserve">admin.tsx: totalCustomers, activeRewards, totalPointsRedeemed, and monthlyRevenue are missing from the inferred statistics response type.</w:t>
      </w:r>
    </w:p>
    <w:p>
      <w:pPr>
        <w:spacing w:after="100"/>
      </w:pPr>
      <w:r>
        <w:rPr>
          <w:color w:val="333333"/>
          <w:sz w:val="22"/>
          <w:szCs w:val="22"/>
        </w:rPr>
        <w:t xml:space="preserve">Impact: Customer lists, reward lists, and management statistics are not type-safe and may fail or show incorrect information if an API response changes.</w:t>
      </w:r>
    </w:p>
    <w:p>
      <w:pPr>
        <w:pStyle w:val="Heading2"/>
        <w:spacing w:after="100" w:before="240"/>
      </w:pPr>
      <w:r>
        <w:rPr>
          <w:b/>
          <w:bCs/>
          <w:color w:val="3C3C3B"/>
        </w:rPr>
        <w:t xml:space="preserve">3. Campaign and transaction-history data — 4 errors</w:t>
      </w:r>
    </w:p>
    <w:p>
      <w:pPr>
        <w:pStyle w:val="ListParagraph"/>
        <w:numPr>
          <w:ilvl w:val="0"/>
          <w:numId w:val="1"/>
        </w:numPr>
        <w:spacing w:after="70"/>
      </w:pPr>
      <w:r>
        <w:rPr>
          <w:sz w:val="21"/>
          <w:szCs w:val="21"/>
        </w:rPr>
        <w:t xml:space="preserve">campaigns.tsx: campaigns is missing from the inferred API response type.</w:t>
      </w:r>
    </w:p>
    <w:p>
      <w:pPr>
        <w:pStyle w:val="ListParagraph"/>
        <w:numPr>
          <w:ilvl w:val="0"/>
          <w:numId w:val="1"/>
        </w:numPr>
        <w:spacing w:after="70"/>
      </w:pPr>
      <w:r>
        <w:rPr>
          <w:sz w:val="21"/>
          <w:szCs w:val="21"/>
        </w:rPr>
        <w:t xml:space="preserve">history.tsx: totalPurchases, totalSpent, and totalPointsEarned are missing from the inferred statistics type.</w:t>
      </w:r>
    </w:p>
    <w:p>
      <w:pPr>
        <w:spacing w:after="100"/>
      </w:pPr>
      <w:r>
        <w:rPr>
          <w:color w:val="333333"/>
          <w:sz w:val="22"/>
          <w:szCs w:val="22"/>
        </w:rPr>
        <w:t xml:space="preserve">Impact: Campaign information and customer history statistics may not be handled reliably.</w:t>
      </w:r>
    </w:p>
    <w:p>
      <w:pPr>
        <w:pStyle w:val="Heading2"/>
        <w:spacing w:after="100" w:before="240"/>
      </w:pPr>
      <w:r>
        <w:rPr>
          <w:b/>
          <w:bCs/>
          <w:color w:val="3C3C3B"/>
        </w:rPr>
        <w:t xml:space="preserve">4. Rewards points balance — 4 errors</w:t>
      </w:r>
    </w:p>
    <w:p>
      <w:pPr>
        <w:pStyle w:val="ListParagraph"/>
        <w:numPr>
          <w:ilvl w:val="0"/>
          <w:numId w:val="1"/>
        </w:numPr>
        <w:spacing w:after="70"/>
      </w:pPr>
      <w:r>
        <w:rPr>
          <w:sz w:val="21"/>
          <w:szCs w:val="21"/>
        </w:rPr>
        <w:t xml:space="preserve">rewards.tsx: user.totalPoints may be null when compared with reward costs or used in calculations.</w:t>
      </w:r>
    </w:p>
    <w:p>
      <w:pPr>
        <w:spacing w:after="100"/>
      </w:pPr>
      <w:r>
        <w:rPr>
          <w:color w:val="333333"/>
          <w:sz w:val="22"/>
          <w:szCs w:val="22"/>
        </w:rPr>
        <w:t xml:space="preserve">Impact: New users or users without an initialized balance could encounter incorrect reward availability or calculations. A missing balance should be treated as zero.</w:t>
      </w:r>
    </w:p>
    <w:p>
      <w:pPr>
        <w:pStyle w:val="Heading2"/>
        <w:spacing w:after="100" w:before="240"/>
      </w:pPr>
      <w:r>
        <w:rPr>
          <w:b/>
          <w:bCs/>
          <w:color w:val="3C3C3B"/>
        </w:rPr>
        <w:t xml:space="preserve">5. Profile phone number — 1 error</w:t>
      </w:r>
    </w:p>
    <w:p>
      <w:pPr>
        <w:pStyle w:val="ListParagraph"/>
        <w:numPr>
          <w:ilvl w:val="0"/>
          <w:numId w:val="1"/>
        </w:numPr>
        <w:spacing w:after="70"/>
      </w:pPr>
      <w:r>
        <w:rPr>
          <w:sz w:val="21"/>
          <w:szCs w:val="21"/>
        </w:rPr>
        <w:t xml:space="preserve">profile.tsx uses user.phone, while the user record supplies user.phoneNumber.</w:t>
      </w:r>
    </w:p>
    <w:p>
      <w:pPr>
        <w:spacing w:after="100"/>
      </w:pPr>
      <w:r>
        <w:rPr>
          <w:color w:val="333333"/>
          <w:sz w:val="22"/>
          <w:szCs w:val="22"/>
        </w:rPr>
        <w:t xml:space="preserve">Impact: The customer's phone number may not populate correctly in the profile form.</w:t>
      </w:r>
    </w:p>
    <w:p>
      <w:pPr>
        <w:pStyle w:val="Heading2"/>
        <w:spacing w:after="100" w:before="240"/>
      </w:pPr>
      <w:r>
        <w:rPr>
          <w:b/>
          <w:bCs/>
          <w:color w:val="3C3C3B"/>
        </w:rPr>
        <w:t xml:space="preserve">6. Transaction simulator request — 1 error</w:t>
      </w:r>
    </w:p>
    <w:p>
      <w:pPr>
        <w:pStyle w:val="ListParagraph"/>
        <w:numPr>
          <w:ilvl w:val="0"/>
          <w:numId w:val="1"/>
        </w:numPr>
        <w:spacing w:after="70"/>
      </w:pPr>
      <w:r>
        <w:rPr>
          <w:sz w:val="21"/>
          <w:szCs w:val="21"/>
        </w:rPr>
        <w:t xml:space="preserve">TransactionSimulator.tsx calls the project's API request helper with arguments in the wrong format.</w:t>
      </w:r>
    </w:p>
    <w:p>
      <w:pPr>
        <w:spacing w:after="100"/>
      </w:pPr>
      <w:r>
        <w:rPr>
          <w:color w:val="333333"/>
          <w:sz w:val="22"/>
          <w:szCs w:val="22"/>
        </w:rPr>
        <w:t xml:space="preserve">Impact: Simulated transactions may fail to submit.</w:t>
      </w:r>
    </w:p>
    <w:p>
      <w:pPr>
        <w:pStyle w:val="Heading2"/>
        <w:spacing w:after="100" w:before="240"/>
      </w:pPr>
      <w:r>
        <w:rPr>
          <w:b/>
          <w:bCs/>
          <w:color w:val="3C3C3B"/>
        </w:rPr>
        <w:t xml:space="preserve">7. Plan-upgrade response handling — 1 error</w:t>
      </w:r>
    </w:p>
    <w:p>
      <w:pPr>
        <w:pStyle w:val="ListParagraph"/>
        <w:numPr>
          <w:ilvl w:val="0"/>
          <w:numId w:val="1"/>
        </w:numPr>
        <w:spacing w:after="70"/>
      </w:pPr>
      <w:r>
        <w:rPr>
          <w:sz w:val="21"/>
          <w:szCs w:val="21"/>
        </w:rPr>
        <w:t xml:space="preserve">PlanUpgrade.tsx attempts to read a message property directly from an unparsed browser Response object.</w:t>
      </w:r>
    </w:p>
    <w:p>
      <w:pPr>
        <w:spacing w:after="100"/>
      </w:pPr>
      <w:r>
        <w:rPr>
          <w:color w:val="333333"/>
          <w:sz w:val="22"/>
          <w:szCs w:val="22"/>
        </w:rPr>
        <w:t xml:space="preserve">Impact: The app may fail to show the server's error message when a plan upgrade is unsuccessful.</w:t>
      </w:r>
    </w:p>
    <w:p>
      <w:pPr>
        <w:pStyle w:val="Heading2"/>
        <w:spacing w:after="100" w:before="240"/>
      </w:pPr>
      <w:r>
        <w:rPr>
          <w:b/>
          <w:bCs/>
          <w:color w:val="3C3C3B"/>
        </w:rPr>
        <w:t xml:space="preserve">8. SendGrid dependency — 1 error</w:t>
      </w:r>
    </w:p>
    <w:p>
      <w:pPr>
        <w:pStyle w:val="ListParagraph"/>
        <w:numPr>
          <w:ilvl w:val="0"/>
          <w:numId w:val="1"/>
        </w:numPr>
        <w:spacing w:after="70"/>
      </w:pPr>
      <w:r>
        <w:rPr>
          <w:sz w:val="21"/>
          <w:szCs w:val="21"/>
        </w:rPr>
        <w:t xml:space="preserve">emailService.ts imports @sendgrid/mail, but that package is not installed.</w:t>
      </w:r>
    </w:p>
    <w:p>
      <w:pPr>
        <w:spacing w:after="100"/>
      </w:pPr>
      <w:r>
        <w:rPr>
          <w:color w:val="333333"/>
          <w:sz w:val="22"/>
          <w:szCs w:val="22"/>
        </w:rPr>
        <w:t xml:space="preserve">Impact: Verification emails cannot be delivered through SendGrid. The application currently falls back to development logging.</w:t>
      </w:r>
    </w:p>
    <w:p>
      <w:pPr>
        <w:pStyle w:val="Heading2"/>
        <w:spacing w:after="100" w:before="240"/>
      </w:pPr>
      <w:r>
        <w:rPr>
          <w:b/>
          <w:bCs/>
          <w:color w:val="3C3C3B"/>
        </w:rPr>
        <w:t xml:space="preserve">9. CSRF security configuration — 2 errors</w:t>
      </w:r>
    </w:p>
    <w:p>
      <w:pPr>
        <w:pStyle w:val="ListParagraph"/>
        <w:numPr>
          <w:ilvl w:val="0"/>
          <w:numId w:val="1"/>
        </w:numPr>
        <w:spacing w:after="70"/>
      </w:pPr>
      <w:r>
        <w:rPr>
          <w:sz w:val="21"/>
          <w:szCs w:val="21"/>
        </w:rPr>
        <w:t xml:space="preserve">server/index.ts uses getTokenFromRequest, which is not supported by the installed CSRF library version; the library expects getCsrfTokenFromRequest.</w:t>
      </w:r>
    </w:p>
    <w:p>
      <w:pPr>
        <w:pStyle w:val="ListParagraph"/>
        <w:numPr>
          <w:ilvl w:val="0"/>
          <w:numId w:val="1"/>
        </w:numPr>
        <w:spacing w:after="70"/>
      </w:pPr>
      <w:r>
        <w:rPr>
          <w:sz w:val="21"/>
          <w:szCs w:val="21"/>
        </w:rPr>
        <w:t xml:space="preserve">The request parameter in the same callback has no defined TypeScript type.</w:t>
      </w:r>
    </w:p>
    <w:p>
      <w:pPr>
        <w:spacing w:after="100"/>
      </w:pPr>
      <w:r>
        <w:rPr>
          <w:color w:val="333333"/>
          <w:sz w:val="22"/>
          <w:szCs w:val="22"/>
        </w:rPr>
        <w:t xml:space="preserve">Impact: This is the most security-sensitive finding. The CSRF token configuration may not behave as intended and should be corrected before production deployment.</w:t>
      </w:r>
    </w:p>
    <w:p>
      <w:pPr>
        <w:pStyle w:val="Heading1"/>
        <w:spacing w:after="100" w:before="240"/>
      </w:pPr>
      <w:r>
        <w:rPr>
          <w:b/>
          <w:bCs/>
          <w:color w:val="3C3C3B"/>
        </w:rPr>
        <w:t xml:space="preserve">Recommended Remediation Priority</w:t>
      </w:r>
    </w:p>
    <w:p>
      <w:pPr>
        <w:pStyle w:val="ListParagraph"/>
        <w:numPr>
          <w:ilvl w:val="0"/>
          <w:numId w:val="1"/>
        </w:numPr>
        <w:spacing w:after="70"/>
      </w:pPr>
      <w:r>
        <w:rPr>
          <w:sz w:val="21"/>
          <w:szCs w:val="21"/>
        </w:rPr>
        <w:t xml:space="preserve">Priority 1: Correct and verify the CSRF security configuration.</w:t>
      </w:r>
    </w:p>
    <w:p>
      <w:pPr>
        <w:pStyle w:val="ListParagraph"/>
        <w:numPr>
          <w:ilvl w:val="0"/>
          <w:numId w:val="1"/>
        </w:numPr>
        <w:spacing w:after="70"/>
      </w:pPr>
      <w:r>
        <w:rPr>
          <w:sz w:val="21"/>
          <w:szCs w:val="21"/>
        </w:rPr>
        <w:t xml:space="preserve">Priority 2: Correct the profile field and transaction request usage.</w:t>
      </w:r>
    </w:p>
    <w:p>
      <w:pPr>
        <w:pStyle w:val="ListParagraph"/>
        <w:numPr>
          <w:ilvl w:val="0"/>
          <w:numId w:val="1"/>
        </w:numPr>
        <w:spacing w:after="70"/>
      </w:pPr>
      <w:r>
        <w:rPr>
          <w:sz w:val="21"/>
          <w:szCs w:val="21"/>
        </w:rPr>
        <w:t xml:space="preserve">Priority 3: Handle nullable reward-point balances safely.</w:t>
      </w:r>
    </w:p>
    <w:p>
      <w:pPr>
        <w:pStyle w:val="ListParagraph"/>
        <w:numPr>
          <w:ilvl w:val="0"/>
          <w:numId w:val="1"/>
        </w:numPr>
        <w:spacing w:after="70"/>
      </w:pPr>
      <w:r>
        <w:rPr>
          <w:sz w:val="21"/>
          <w:szCs w:val="21"/>
        </w:rPr>
        <w:t xml:space="preserve">Priority 4: Add explicit types for admin, dashboard, campaign, and history API responses.</w:t>
      </w:r>
    </w:p>
    <w:p>
      <w:pPr>
        <w:pStyle w:val="ListParagraph"/>
        <w:numPr>
          <w:ilvl w:val="0"/>
          <w:numId w:val="1"/>
        </w:numPr>
        <w:spacing w:after="70"/>
      </w:pPr>
      <w:r>
        <w:rPr>
          <w:sz w:val="21"/>
          <w:szCs w:val="21"/>
        </w:rPr>
        <w:t xml:space="preserve">Priority 5: Complete the SendGrid dependency and secure configuration during email setup.</w:t>
      </w:r>
    </w:p>
    <w:p>
      <w:pPr>
        <w:pStyle w:val="Heading1"/>
        <w:spacing w:after="100" w:before="240"/>
      </w:pPr>
      <w:r>
        <w:rPr>
          <w:b/>
          <w:bCs/>
          <w:color w:val="3C3C3B"/>
        </w:rPr>
        <w:t xml:space="preserve">Completion Criterion</w:t>
      </w:r>
    </w:p>
    <w:p>
      <w:pPr>
        <w:spacing w:after="100"/>
      </w:pPr>
      <w:r>
        <w:rPr>
          <w:color w:val="333333"/>
          <w:sz w:val="22"/>
          <w:szCs w:val="22"/>
        </w:rPr>
        <w:t xml:space="preserve">Remediation is complete when npm run check finishes successfully with zero TypeScript errors and the affected user flows have been tested.</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CustomerConnect TypeScript Error Findings Report</dc:title>
  <dc:creator>Maverick CustomerConnect</dc:creator>
  <dc:description>Current TypeScript validation findings and recommended remediation priorities.</dc:description>
  <cp:lastModifiedBy>Un-named</cp:lastModifiedBy>
  <cp:revision>1</cp:revision>
  <dcterms:created xsi:type="dcterms:W3CDTF">2026-08-27T09:19:12.588Z</dcterms:created>
  <dcterms:modified xsi:type="dcterms:W3CDTF">2026-08-27T09:19:12.588Z</dcterms:modified>
</cp:coreProperties>
</file>

<file path=docProps/custom.xml><?xml version="1.0" encoding="utf-8"?>
<Properties xmlns="http://schemas.openxmlformats.org/officeDocument/2006/custom-properties" xmlns:vt="http://schemas.openxmlformats.org/officeDocument/2006/docPropsVTypes"/>
</file>