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Política de Seguridad de la Información</w:t>
      </w:r>
    </w:p>
    <w:p>
      <w:pPr>
        <w:jc w:val="center"/>
      </w:pPr>
      <w:r>
        <w:rPr>
          <w:b/>
        </w:rPr>
        <w:t>Plataforma Corporativa de Gestión del Conocimiento</w:t>
      </w:r>
    </w:p>
    <w:p/>
    <w:p>
      <w:pPr>
        <w:jc w:val="center"/>
      </w:pPr>
      <w:r>
        <w:t>Versión: 3.2  |  Fecha de aprobación: Enero 2026  |  Clasificación: INTERNO</w:t>
        <w:br/>
        <w:t>Responsable: Departamento de Seguridad de la Información (CISO)</w:t>
        <w:br/>
        <w:t>Revisión periódica: Anual</w:t>
      </w:r>
    </w:p>
    <w:p>
      <w:r>
        <w:br w:type="page"/>
      </w:r>
    </w:p>
    <w:p>
      <w:pPr>
        <w:pStyle w:val="Heading1"/>
      </w:pPr>
      <w:r>
        <w:t>1. Objetivo y Alcance</w:t>
      </w:r>
    </w:p>
    <w:p>
      <w:r>
        <w:t>El presente documento establece la política de seguridad de la información aplicable a la Plataforma Corporativa de Gestión del Conocimiento. Su objetivo es definir los principios, requisitos y controles que deben aplicarse para proteger la confidencialidad, integridad y disponibilidad de la información gestionada por la plataforma.</w:t>
      </w:r>
    </w:p>
    <w:p>
      <w:r>
        <w:t>Esta política es de obligado cumplimiento para todos los empleados, colaboradores externos, proveedores y cualquier persona que acceda a la plataforma o a los datos que esta gestiona. El incumplimiento de esta política puede tener consecuencias disciplinarias y, en su caso, consecuencias legales.</w:t>
      </w:r>
    </w:p>
    <w:p>
      <w:pPr>
        <w:pStyle w:val="Heading2"/>
      </w:pPr>
      <w:r>
        <w:t>1.1 Sistemas en el Alcance</w:t>
      </w:r>
    </w:p>
    <w:p>
      <w:r>
        <w:t>Esta política aplica a los siguientes sistemas y componentes:</w:t>
      </w:r>
    </w:p>
    <w:p>
      <w:pPr>
        <w:pStyle w:val="ListBullet"/>
      </w:pPr>
      <w:r>
        <w:t>Plataforma web de consulta (interfaz de usuario).</w:t>
      </w:r>
    </w:p>
    <w:p>
      <w:pPr>
        <w:pStyle w:val="ListBullet"/>
      </w:pPr>
      <w:r>
        <w:t>API REST de la plataforma y sus integraciones.</w:t>
      </w:r>
    </w:p>
    <w:p>
      <w:pPr>
        <w:pStyle w:val="ListBullet"/>
      </w:pPr>
      <w:r>
        <w:t>Base de datos vectorial (ChromaDB / Qdrant).</w:t>
      </w:r>
    </w:p>
    <w:p>
      <w:pPr>
        <w:pStyle w:val="ListBullet"/>
      </w:pPr>
      <w:r>
        <w:t>Sistema de almacenamiento de documentos originales (MinIO).</w:t>
      </w:r>
    </w:p>
    <w:p>
      <w:pPr>
        <w:pStyle w:val="ListBullet"/>
      </w:pPr>
      <w:r>
        <w:t>Base de datos relacional (PostgreSQL).</w:t>
      </w:r>
    </w:p>
    <w:p>
      <w:pPr>
        <w:pStyle w:val="ListBullet"/>
      </w:pPr>
      <w:r>
        <w:t>Modelos de lenguaje y de embeddings ejecutados localmente (Ollama).</w:t>
      </w:r>
    </w:p>
    <w:p>
      <w:pPr>
        <w:pStyle w:val="ListBullet"/>
      </w:pPr>
      <w:r>
        <w:t>Infraestructura de contenedores (Docker / Kubernetes).</w:t>
      </w:r>
    </w:p>
    <w:p>
      <w:pPr>
        <w:pStyle w:val="ListBullet"/>
      </w:pPr>
      <w:r>
        <w:t>Sistema de monitorización y logging.</w:t>
      </w:r>
    </w:p>
    <w:p>
      <w:pPr>
        <w:pStyle w:val="Heading1"/>
      </w:pPr>
      <w:r>
        <w:t>2. Marco Normativo de Referencia</w:t>
      </w:r>
    </w:p>
    <w:p>
      <w:r>
        <w:t>La política se alinea con los siguientes estándares y regulaciones: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Norma / Regulación</w:t>
            </w:r>
          </w:p>
        </w:tc>
        <w:tc>
          <w:tcPr>
            <w:tcW w:type="dxa" w:w="2880"/>
          </w:tcPr>
          <w:p>
            <w:r>
              <w:rPr>
                <w:b/>
              </w:rPr>
              <w:t>Ámbito</w:t>
            </w:r>
          </w:p>
        </w:tc>
        <w:tc>
          <w:tcPr>
            <w:tcW w:type="dxa" w:w="2880"/>
          </w:tcPr>
          <w:p>
            <w:r>
              <w:rPr>
                <w:b/>
              </w:rPr>
              <w:t>Aplicación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ISO/IEC 27001:2022</w:t>
            </w:r>
          </w:p>
        </w:tc>
        <w:tc>
          <w:tcPr>
            <w:tcW w:type="dxa" w:w="2880"/>
          </w:tcPr>
          <w:p>
            <w:r>
              <w:t>SGSI — Sistema de Gestión de Seguridad de la Información</w:t>
            </w:r>
          </w:p>
        </w:tc>
        <w:tc>
          <w:tcPr>
            <w:tcW w:type="dxa" w:w="2880"/>
          </w:tcPr>
          <w:p>
            <w:r>
              <w:t>Marco general de controles</w:t>
            </w:r>
          </w:p>
        </w:tc>
      </w:tr>
      <w:tr>
        <w:tc>
          <w:tcPr>
            <w:tcW w:type="dxa" w:w="2880"/>
          </w:tcPr>
          <w:p>
            <w:r>
              <w:t>ISO/IEC 27002:2022</w:t>
            </w:r>
          </w:p>
        </w:tc>
        <w:tc>
          <w:tcPr>
            <w:tcW w:type="dxa" w:w="2880"/>
          </w:tcPr>
          <w:p>
            <w:r>
              <w:t>Controles de seguridad de la información</w:t>
            </w:r>
          </w:p>
        </w:tc>
        <w:tc>
          <w:tcPr>
            <w:tcW w:type="dxa" w:w="2880"/>
          </w:tcPr>
          <w:p>
            <w:r>
              <w:t>Guía de controles técnicos y organizativos</w:t>
            </w:r>
          </w:p>
        </w:tc>
      </w:tr>
      <w:tr>
        <w:tc>
          <w:tcPr>
            <w:tcW w:type="dxa" w:w="2880"/>
          </w:tcPr>
          <w:p>
            <w:r>
              <w:t>RGPD (Reglamento UE 2016/679)</w:t>
            </w:r>
          </w:p>
        </w:tc>
        <w:tc>
          <w:tcPr>
            <w:tcW w:type="dxa" w:w="2880"/>
          </w:tcPr>
          <w:p>
            <w:r>
              <w:t>Protección de datos personales en la UE</w:t>
            </w:r>
          </w:p>
        </w:tc>
        <w:tc>
          <w:tcPr>
            <w:tcW w:type="dxa" w:w="2880"/>
          </w:tcPr>
          <w:p>
            <w:r>
              <w:t>Datos de usuarios y empleados</w:t>
            </w:r>
          </w:p>
        </w:tc>
      </w:tr>
      <w:tr>
        <w:tc>
          <w:tcPr>
            <w:tcW w:type="dxa" w:w="2880"/>
          </w:tcPr>
          <w:p>
            <w:r>
              <w:t>ENS (Real Decreto 311/2022)</w:t>
            </w:r>
          </w:p>
        </w:tc>
        <w:tc>
          <w:tcPr>
            <w:tcW w:type="dxa" w:w="2880"/>
          </w:tcPr>
          <w:p>
            <w:r>
              <w:t>Esquema Nacional de Seguridad</w:t>
            </w:r>
          </w:p>
        </w:tc>
        <w:tc>
          <w:tcPr>
            <w:tcW w:type="dxa" w:w="2880"/>
          </w:tcPr>
          <w:p>
            <w:r>
              <w:t>Sistemas de información públicos y privados con datos sensibles</w:t>
            </w:r>
          </w:p>
        </w:tc>
      </w:tr>
      <w:tr>
        <w:tc>
          <w:tcPr>
            <w:tcW w:type="dxa" w:w="2880"/>
          </w:tcPr>
          <w:p>
            <w:r>
              <w:t>NIST Cybersecurity Framework</w:t>
            </w:r>
          </w:p>
        </w:tc>
        <w:tc>
          <w:tcPr>
            <w:tcW w:type="dxa" w:w="2880"/>
          </w:tcPr>
          <w:p>
            <w:r>
              <w:t>Marco de ciberseguridad</w:t>
            </w:r>
          </w:p>
        </w:tc>
        <w:tc>
          <w:tcPr>
            <w:tcW w:type="dxa" w:w="2880"/>
          </w:tcPr>
          <w:p>
            <w:r>
              <w:t>Referencia para identificar, proteger, detectar, responder y recuperar</w:t>
            </w:r>
          </w:p>
        </w:tc>
      </w:tr>
      <w:tr>
        <w:tc>
          <w:tcPr>
            <w:tcW w:type="dxa" w:w="2880"/>
          </w:tcPr>
          <w:p>
            <w:r>
              <w:t>OWASP Top 10</w:t>
            </w:r>
          </w:p>
        </w:tc>
        <w:tc>
          <w:tcPr>
            <w:tcW w:type="dxa" w:w="2880"/>
          </w:tcPr>
          <w:p>
            <w:r>
              <w:t>Seguridad de aplicaciones web</w:t>
            </w:r>
          </w:p>
        </w:tc>
        <w:tc>
          <w:tcPr>
            <w:tcW w:type="dxa" w:w="2880"/>
          </w:tcPr>
          <w:p>
            <w:r>
              <w:t>Desarrollo seguro de la plataforma</w:t>
            </w:r>
          </w:p>
        </w:tc>
      </w:tr>
    </w:tbl>
    <w:p/>
    <w:p>
      <w:pPr>
        <w:pStyle w:val="Heading1"/>
      </w:pPr>
      <w:r>
        <w:t>3. Clasificación de la Información</w:t>
      </w:r>
    </w:p>
    <w:p>
      <w:r>
        <w:t>Toda la información almacenada y procesada por la plataforma debe ser clasificada en uno de los siguientes niveles. La clasificación determina los controles de acceso, el cifrado requerido y las condiciones de compartición.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Nivel</w:t>
            </w:r>
          </w:p>
        </w:tc>
        <w:tc>
          <w:tcPr>
            <w:tcW w:type="dxa" w:w="2160"/>
          </w:tcPr>
          <w:p>
            <w:r>
              <w:rPr>
                <w:b/>
              </w:rPr>
              <w:t>Descripción</w:t>
            </w:r>
          </w:p>
        </w:tc>
        <w:tc>
          <w:tcPr>
            <w:tcW w:type="dxa" w:w="2160"/>
          </w:tcPr>
          <w:p>
            <w:r>
              <w:rPr>
                <w:b/>
              </w:rPr>
              <w:t>Ejemplos</w:t>
            </w:r>
          </w:p>
        </w:tc>
        <w:tc>
          <w:tcPr>
            <w:tcW w:type="dxa" w:w="2160"/>
          </w:tcPr>
          <w:p>
            <w:r>
              <w:rPr>
                <w:b/>
              </w:rPr>
              <w:t>Controles mínimos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PÚBLICO</w:t>
            </w:r>
          </w:p>
        </w:tc>
        <w:tc>
          <w:tcPr>
            <w:tcW w:type="dxa" w:w="2160"/>
          </w:tcPr>
          <w:p>
            <w:r>
              <w:t>Información sin restricciones, puede compartirse externamente.</w:t>
            </w:r>
          </w:p>
        </w:tc>
        <w:tc>
          <w:tcPr>
            <w:tcW w:type="dxa" w:w="2160"/>
          </w:tcPr>
          <w:p>
            <w:r>
              <w:t>Comunicados de prensa, documentación pública de productos.</w:t>
            </w:r>
          </w:p>
        </w:tc>
        <w:tc>
          <w:tcPr>
            <w:tcW w:type="dxa" w:w="2160"/>
          </w:tcPr>
          <w:p>
            <w:r>
              <w:t>Integridad garantizada. Sin restricciones de acceso.</w:t>
            </w:r>
          </w:p>
        </w:tc>
      </w:tr>
      <w:tr>
        <w:tc>
          <w:tcPr>
            <w:tcW w:type="dxa" w:w="2160"/>
          </w:tcPr>
          <w:p>
            <w:r>
              <w:t>INTERNO</w:t>
            </w:r>
          </w:p>
        </w:tc>
        <w:tc>
          <w:tcPr>
            <w:tcW w:type="dxa" w:w="2160"/>
          </w:tcPr>
          <w:p>
            <w:r>
              <w:t>Información de uso interno de la organización.</w:t>
            </w:r>
          </w:p>
        </w:tc>
        <w:tc>
          <w:tcPr>
            <w:tcW w:type="dxa" w:w="2160"/>
          </w:tcPr>
          <w:p>
            <w:r>
              <w:t>Guías de desarrollo, manuales de usuario, FAQ interna.</w:t>
            </w:r>
          </w:p>
        </w:tc>
        <w:tc>
          <w:tcPr>
            <w:tcW w:type="dxa" w:w="2160"/>
          </w:tcPr>
          <w:p>
            <w:r>
              <w:t>Acceso autenticado. No compartir externamente sin autorización.</w:t>
            </w:r>
          </w:p>
        </w:tc>
      </w:tr>
      <w:tr>
        <w:tc>
          <w:tcPr>
            <w:tcW w:type="dxa" w:w="2160"/>
          </w:tcPr>
          <w:p>
            <w:r>
              <w:t>CONFIDENCIAL</w:t>
            </w:r>
          </w:p>
        </w:tc>
        <w:tc>
          <w:tcPr>
            <w:tcW w:type="dxa" w:w="2160"/>
          </w:tcPr>
          <w:p>
            <w:r>
              <w:t>Información sensible con acceso restringido a grupos específicos.</w:t>
            </w:r>
          </w:p>
        </w:tc>
        <w:tc>
          <w:tcPr>
            <w:tcW w:type="dxa" w:w="2160"/>
          </w:tcPr>
          <w:p>
            <w:r>
              <w:t>Contratos, datos de clientes, arquitecturas de sistemas críticos.</w:t>
            </w:r>
          </w:p>
        </w:tc>
        <w:tc>
          <w:tcPr>
            <w:tcW w:type="dxa" w:w="2160"/>
          </w:tcPr>
          <w:p>
            <w:r>
              <w:t>Acceso por rol. Cifrado en tránsito y en reposo. Auditoría de accesos.</w:t>
            </w:r>
          </w:p>
        </w:tc>
      </w:tr>
      <w:tr>
        <w:tc>
          <w:tcPr>
            <w:tcW w:type="dxa" w:w="2160"/>
          </w:tcPr>
          <w:p>
            <w:r>
              <w:t>SECRETO</w:t>
            </w:r>
          </w:p>
        </w:tc>
        <w:tc>
          <w:tcPr>
            <w:tcW w:type="dxa" w:w="2160"/>
          </w:tcPr>
          <w:p>
            <w:r>
              <w:t>Información altamente sensible cuya divulgación causaría daño grave.</w:t>
            </w:r>
          </w:p>
        </w:tc>
        <w:tc>
          <w:tcPr>
            <w:tcW w:type="dxa" w:w="2160"/>
          </w:tcPr>
          <w:p>
            <w:r>
              <w:t>Claves de cifrado maestras, datos de investigación de incidentes.</w:t>
            </w:r>
          </w:p>
        </w:tc>
        <w:tc>
          <w:tcPr>
            <w:tcW w:type="dxa" w:w="2160"/>
          </w:tcPr>
          <w:p>
            <w:r>
              <w:t>Need-to-know estricto. Cifrado E2E. Registro de auditoría exhaustivo.</w:t>
            </w:r>
          </w:p>
        </w:tc>
      </w:tr>
    </w:tbl>
    <w:p/>
    <w:p>
      <w:r>
        <w:t>Por defecto, cualquier documento subido a la plataforma sin clasificación explícita se tratará como CONFIDENCIAL hasta que sea revisado y reclasificado por el propietario del documento o el administrador de la colección.</w:t>
      </w:r>
    </w:p>
    <w:p>
      <w:pPr>
        <w:pStyle w:val="Heading1"/>
      </w:pPr>
      <w:r>
        <w:t>4. Control de Acceso</w:t>
      </w:r>
    </w:p>
    <w:p>
      <w:pPr>
        <w:pStyle w:val="Heading2"/>
      </w:pPr>
      <w:r>
        <w:t>4.1 Principios de control de acceso</w:t>
      </w:r>
    </w:p>
    <w:p>
      <w:pPr>
        <w:pStyle w:val="ListBullet"/>
      </w:pPr>
      <w:r>
        <w:t>Mínimo privilegio: los usuarios reciben únicamente los permisos necesarios para realizar sus funciones.</w:t>
      </w:r>
    </w:p>
    <w:p>
      <w:pPr>
        <w:pStyle w:val="ListBullet"/>
      </w:pPr>
      <w:r>
        <w:t>Separación de funciones: las tareas críticas requieren la intervención de más de un usuario.</w:t>
      </w:r>
    </w:p>
    <w:p>
      <w:pPr>
        <w:pStyle w:val="ListBullet"/>
      </w:pPr>
      <w:r>
        <w:t>Necesidad de conocer (need-to-know): el acceso a información confidencial solo se concede si existe una justificación de negocio.</w:t>
      </w:r>
    </w:p>
    <w:p>
      <w:pPr>
        <w:pStyle w:val="ListBullet"/>
      </w:pPr>
      <w:r>
        <w:t>Revisión periódica: los permisos se revisan trimestralmente. Los accesos innecesarios se revocan.</w:t>
      </w:r>
    </w:p>
    <w:p>
      <w:pPr>
        <w:pStyle w:val="ListBullet"/>
      </w:pPr>
      <w:r>
        <w:t>Trazabilidad: todas las operaciones de acceso se registran en el log de auditoría.</w:t>
      </w:r>
    </w:p>
    <w:p>
      <w:pPr>
        <w:pStyle w:val="Heading2"/>
      </w:pPr>
      <w:r>
        <w:t>4.2 Roles y permisos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Permisos</w:t>
            </w:r>
          </w:p>
        </w:tc>
        <w:tc>
          <w:tcPr>
            <w:tcW w:type="dxa" w:w="2880"/>
          </w:tcPr>
          <w:p>
            <w:r>
              <w:rPr>
                <w:b/>
              </w:rPr>
              <w:t>Asignado por</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Usuario estándar</w:t>
            </w:r>
          </w:p>
        </w:tc>
        <w:tc>
          <w:tcPr>
            <w:tcW w:type="dxa" w:w="2880"/>
          </w:tcPr>
          <w:p>
            <w:r>
              <w:t>Consulta y búsqueda en colecciones asignadas. Historial propio.</w:t>
            </w:r>
          </w:p>
        </w:tc>
        <w:tc>
          <w:tcPr>
            <w:tcW w:type="dxa" w:w="2880"/>
          </w:tcPr>
          <w:p>
            <w:r>
              <w:t>IT / RRHH (alta automática)</w:t>
            </w:r>
          </w:p>
        </w:tc>
      </w:tr>
      <w:tr>
        <w:tc>
          <w:tcPr>
            <w:tcW w:type="dxa" w:w="2880"/>
          </w:tcPr>
          <w:p>
            <w:r>
              <w:t>Editor</w:t>
            </w:r>
          </w:p>
        </w:tc>
        <w:tc>
          <w:tcPr>
            <w:tcW w:type="dxa" w:w="2880"/>
          </w:tcPr>
          <w:p>
            <w:r>
              <w:t>Subida, actualización y eliminación de documentos en colecciones asignadas.</w:t>
            </w:r>
          </w:p>
        </w:tc>
        <w:tc>
          <w:tcPr>
            <w:tcW w:type="dxa" w:w="2880"/>
          </w:tcPr>
          <w:p>
            <w:r>
              <w:t>Tech Lead o responsable de área</w:t>
            </w:r>
          </w:p>
        </w:tc>
      </w:tr>
      <w:tr>
        <w:tc>
          <w:tcPr>
            <w:tcW w:type="dxa" w:w="2880"/>
          </w:tcPr>
          <w:p>
            <w:r>
              <w:t>Administrador de colección</w:t>
            </w:r>
          </w:p>
        </w:tc>
        <w:tc>
          <w:tcPr>
            <w:tcW w:type="dxa" w:w="2880"/>
          </w:tcPr>
          <w:p>
            <w:r>
              <w:t>Gestión completa de colecciones: permisos, miembros, configuración.</w:t>
            </w:r>
          </w:p>
        </w:tc>
        <w:tc>
          <w:tcPr>
            <w:tcW w:type="dxa" w:w="2880"/>
          </w:tcPr>
          <w:p>
            <w:r>
              <w:t>Administrador de plataforma</w:t>
            </w:r>
          </w:p>
        </w:tc>
      </w:tr>
      <w:tr>
        <w:tc>
          <w:tcPr>
            <w:tcW w:type="dxa" w:w="2880"/>
          </w:tcPr>
          <w:p>
            <w:r>
              <w:t>Administrador de plataforma</w:t>
            </w:r>
          </w:p>
        </w:tc>
        <w:tc>
          <w:tcPr>
            <w:tcW w:type="dxa" w:w="2880"/>
          </w:tcPr>
          <w:p>
            <w:r>
              <w:t>Acceso completo a la plataforma. Gestión de usuarios, roles y configuración global.</w:t>
            </w:r>
          </w:p>
        </w:tc>
        <w:tc>
          <w:tcPr>
            <w:tcW w:type="dxa" w:w="2880"/>
          </w:tcPr>
          <w:p>
            <w:r>
              <w:t>CISO o Director de IT</w:t>
            </w:r>
          </w:p>
        </w:tc>
      </w:tr>
      <w:tr>
        <w:tc>
          <w:tcPr>
            <w:tcW w:type="dxa" w:w="2880"/>
          </w:tcPr>
          <w:p>
            <w:r>
              <w:t>API consumer</w:t>
            </w:r>
          </w:p>
        </w:tc>
        <w:tc>
          <w:tcPr>
            <w:tcW w:type="dxa" w:w="2880"/>
          </w:tcPr>
          <w:p>
            <w:r>
              <w:t>Acceso programático mediante API Key con scopes limitados.</w:t>
            </w:r>
          </w:p>
        </w:tc>
        <w:tc>
          <w:tcPr>
            <w:tcW w:type="dxa" w:w="2880"/>
          </w:tcPr>
          <w:p>
            <w:r>
              <w:t>Administrador de plataforma</w:t>
            </w:r>
          </w:p>
        </w:tc>
      </w:tr>
      <w:tr>
        <w:tc>
          <w:tcPr>
            <w:tcW w:type="dxa" w:w="2880"/>
          </w:tcPr>
          <w:p>
            <w:r>
              <w:t>Auditor</w:t>
            </w:r>
          </w:p>
        </w:tc>
        <w:tc>
          <w:tcPr>
            <w:tcW w:type="dxa" w:w="2880"/>
          </w:tcPr>
          <w:p>
            <w:r>
              <w:t>Acceso de solo lectura al log de auditoría y métricas de uso.</w:t>
            </w:r>
          </w:p>
        </w:tc>
        <w:tc>
          <w:tcPr>
            <w:tcW w:type="dxa" w:w="2880"/>
          </w:tcPr>
          <w:p>
            <w:r>
              <w:t>CISO</w:t>
            </w:r>
          </w:p>
        </w:tc>
      </w:tr>
    </w:tbl>
    <w:p/>
    <w:p>
      <w:pPr>
        <w:pStyle w:val="Heading2"/>
      </w:pPr>
      <w:r>
        <w:t>4.3 Gestión del ciclo de vida de cuentas</w:t>
      </w:r>
    </w:p>
    <w:p>
      <w:r>
        <w:t>Alta:</w:t>
      </w:r>
    </w:p>
    <w:p>
      <w:r>
        <w:t>Las cuentas se crean automáticamente al dar de alta al empleado en el directorio corporativo (Active Directory / LDAP). El rol inicial es siempre 'Usuario estándar'. Cualquier rol adicional debe solicitarse mediante el formulario de petición de acceso (portal IT, categoría 'Plataforma Conocimiento').</w:t>
      </w:r>
    </w:p>
    <w:p>
      <w:r>
        <w:t>Baja:</w:t>
      </w:r>
    </w:p>
    <w:p>
      <w:r>
        <w:t>Cuando un empleado abandona la organización, su cuenta debe desactivarse en un plazo máximo de 24 horas desde la comunicación oficial de baja. Los documentos del usuario pasan a custodia del responsable de departamento durante 90 días. Transcurrido ese plazo se aplica la política de retención de datos correspondiente.</w:t>
      </w:r>
    </w:p>
    <w:p>
      <w:r>
        <w:t>Revisión trimestral de accesos: IT genera un informe trimestral de cuentas activas con sus roles. Los responsables de departamento validan o revocan los accesos de sus colaboradores en un plazo de 10 días laborables.</w:t>
      </w:r>
    </w:p>
    <w:p>
      <w:pPr>
        <w:pStyle w:val="Heading1"/>
      </w:pPr>
      <w:r>
        <w:t>5. Política de Autenticación</w:t>
      </w:r>
    </w:p>
    <w:p>
      <w:pPr>
        <w:pStyle w:val="Heading2"/>
      </w:pPr>
      <w:r>
        <w:t>5.1 Contraseñas</w:t>
      </w:r>
    </w:p>
    <w:p>
      <w:r>
        <w:t>Todos los usuarios están sujetos a los siguientes requisitos de contraseña:</w:t>
      </w:r>
    </w:p>
    <w:tbl>
      <w:tblPr>
        <w:tblStyle w:val="TableGrid"/>
        <w:tblW w:type="auto" w:w="0"/>
        <w:tblLook w:firstColumn="1" w:firstRow="1" w:lastColumn="0" w:lastRow="0" w:noHBand="0" w:noVBand="1" w:val="04A0"/>
      </w:tblPr>
      <w:tblGrid>
        <w:gridCol w:w="4320"/>
        <w:gridCol w:w="4320"/>
      </w:tblGrid>
      <w:tr>
        <w:tc>
          <w:tcPr>
            <w:tcW w:type="dxa" w:w="4320"/>
          </w:tcPr>
          <w:p>
            <w:r>
              <w:rPr>
                <w:b/>
              </w:rPr>
              <w:t>Requisito</w:t>
            </w:r>
          </w:p>
        </w:tc>
        <w:tc>
          <w:tcPr>
            <w:tcW w:type="dxa" w:w="4320"/>
          </w:tcPr>
          <w:p>
            <w:r>
              <w:rPr>
                <w:b/>
              </w:rPr>
              <w:t>Valor</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Longitud mínima</w:t>
            </w:r>
          </w:p>
        </w:tc>
        <w:tc>
          <w:tcPr>
            <w:tcW w:type="dxa" w:w="4320"/>
          </w:tcPr>
          <w:p>
            <w:r>
              <w:t>12 caracteres</w:t>
            </w:r>
          </w:p>
        </w:tc>
      </w:tr>
      <w:tr>
        <w:tc>
          <w:tcPr>
            <w:tcW w:type="dxa" w:w="4320"/>
          </w:tcPr>
          <w:p>
            <w:r>
              <w:t>Complejidad</w:t>
            </w:r>
          </w:p>
        </w:tc>
        <w:tc>
          <w:tcPr>
            <w:tcW w:type="dxa" w:w="4320"/>
          </w:tcPr>
          <w:p>
            <w:r>
              <w:t>Al menos 1 mayúscula, 1 minúscula, 1 número y 1 carácter especial</w:t>
            </w:r>
          </w:p>
        </w:tc>
      </w:tr>
      <w:tr>
        <w:tc>
          <w:tcPr>
            <w:tcW w:type="dxa" w:w="4320"/>
          </w:tcPr>
          <w:p>
            <w:r>
              <w:t>Historial</w:t>
            </w:r>
          </w:p>
        </w:tc>
        <w:tc>
          <w:tcPr>
            <w:tcW w:type="dxa" w:w="4320"/>
          </w:tcPr>
          <w:p>
            <w:r>
              <w:t>No reutilizar las últimas 12 contraseñas</w:t>
            </w:r>
          </w:p>
        </w:tc>
      </w:tr>
      <w:tr>
        <w:tc>
          <w:tcPr>
            <w:tcW w:type="dxa" w:w="4320"/>
          </w:tcPr>
          <w:p>
            <w:r>
              <w:t>Vigencia máxima</w:t>
            </w:r>
          </w:p>
        </w:tc>
        <w:tc>
          <w:tcPr>
            <w:tcW w:type="dxa" w:w="4320"/>
          </w:tcPr>
          <w:p>
            <w:r>
              <w:t>180 días (se fuerza cambio)</w:t>
            </w:r>
          </w:p>
        </w:tc>
      </w:tr>
      <w:tr>
        <w:tc>
          <w:tcPr>
            <w:tcW w:type="dxa" w:w="4320"/>
          </w:tcPr>
          <w:p>
            <w:r>
              <w:t>Bloqueo por intentos fallidos</w:t>
            </w:r>
          </w:p>
        </w:tc>
        <w:tc>
          <w:tcPr>
            <w:tcW w:type="dxa" w:w="4320"/>
          </w:tcPr>
          <w:p>
            <w:r>
              <w:t>Bloqueo tras 5 intentos consecutivos fallidos</w:t>
            </w:r>
          </w:p>
        </w:tc>
      </w:tr>
      <w:tr>
        <w:tc>
          <w:tcPr>
            <w:tcW w:type="dxa" w:w="4320"/>
          </w:tcPr>
          <w:p>
            <w:r>
              <w:t>Tiempo de desbloqueo automático</w:t>
            </w:r>
          </w:p>
        </w:tc>
        <w:tc>
          <w:tcPr>
            <w:tcW w:type="dxa" w:w="4320"/>
          </w:tcPr>
          <w:p>
            <w:r>
              <w:t>30 minutos (o desbloqueo manual por IT)</w:t>
            </w:r>
          </w:p>
        </w:tc>
      </w:tr>
      <w:tr>
        <w:tc>
          <w:tcPr>
            <w:tcW w:type="dxa" w:w="4320"/>
          </w:tcPr>
          <w:p>
            <w:r>
              <w:t>Almacenamiento</w:t>
            </w:r>
          </w:p>
        </w:tc>
        <w:tc>
          <w:tcPr>
            <w:tcW w:type="dxa" w:w="4320"/>
          </w:tcPr>
          <w:p>
            <w:r>
              <w:t>Nunca en texto plano. Hash bcrypt (factor de coste ≥ 12) o Argon2id</w:t>
            </w:r>
          </w:p>
        </w:tc>
      </w:tr>
    </w:tbl>
    <w:p/>
    <w:p>
      <w:pPr>
        <w:pStyle w:val="Heading2"/>
      </w:pPr>
      <w:r>
        <w:t>5.2 Autenticación multifactor (MFA)</w:t>
      </w:r>
    </w:p>
    <w:p>
      <w:r>
        <w:t>La MFA es obligatoria para:</w:t>
      </w:r>
    </w:p>
    <w:p>
      <w:pPr>
        <w:pStyle w:val="ListBullet"/>
      </w:pPr>
      <w:r>
        <w:t>Todos los usuarios con rol Editor, Administrador o Auditor.</w:t>
      </w:r>
    </w:p>
    <w:p>
      <w:pPr>
        <w:pStyle w:val="ListBullet"/>
      </w:pPr>
      <w:r>
        <w:t>Cualquier acceso desde fuera de la red corporativa.</w:t>
      </w:r>
    </w:p>
    <w:p>
      <w:pPr>
        <w:pStyle w:val="ListBullet"/>
      </w:pPr>
      <w:r>
        <w:t>Operaciones sensibles: eliminación masiva de documentos, cambios de permisos de colección, generación de API Keys.</w:t>
      </w:r>
    </w:p>
    <w:p>
      <w:r>
        <w:t>Métodos de MFA aceptados (por orden de preferencia): (1) Aplicación TOTP (Google Authenticator, Authy, Microsoft Authenticator). (2) Clave de seguridad FIDO2/WebAuthn. (3) SMS al número corporativo (solo como fallback, no recomendado como método principal por vulnerabilidad a SIM swapping).</w:t>
      </w:r>
    </w:p>
    <w:p>
      <w:pPr>
        <w:pStyle w:val="Heading2"/>
      </w:pPr>
      <w:r>
        <w:t>5.3 Gestión de API Keys</w:t>
      </w:r>
    </w:p>
    <w:p>
      <w:r>
        <w:t>Las API Keys deben seguir las siguientes normas:</w:t>
      </w:r>
    </w:p>
    <w:p>
      <w:pPr>
        <w:pStyle w:val="ListBullet"/>
      </w:pPr>
      <w:r>
        <w:t>Cada API Key debe tener un propósito y scope mínimos definidos.</w:t>
      </w:r>
    </w:p>
    <w:p>
      <w:pPr>
        <w:pStyle w:val="ListBullet"/>
      </w:pPr>
      <w:r>
        <w:t>Las claves no deben almacenarse en repositorios de código. Usar variables de entorno o sistemas de secretos (Vault).</w:t>
      </w:r>
    </w:p>
    <w:p>
      <w:pPr>
        <w:pStyle w:val="ListBullet"/>
      </w:pPr>
      <w:r>
        <w:t>Rotación obligatoria cada 90 días para scopes de escritura; cada 180 días para scopes de solo lectura.</w:t>
      </w:r>
    </w:p>
    <w:p>
      <w:pPr>
        <w:pStyle w:val="ListBullet"/>
      </w:pPr>
      <w:r>
        <w:t>Una API Key comprometida debe revocarse inmediatamente y reportarse al equipo de seguridad.</w:t>
      </w:r>
    </w:p>
    <w:p>
      <w:pPr>
        <w:pStyle w:val="ListBullet"/>
      </w:pPr>
      <w:r>
        <w:t>Las API Keys inactivas durante más de 60 días se revocan automáticamente.</w:t>
      </w:r>
    </w:p>
    <w:p>
      <w:pPr>
        <w:pStyle w:val="Heading1"/>
      </w:pPr>
      <w:r>
        <w:t>6. Cifrado</w:t>
      </w:r>
    </w:p>
    <w:p>
      <w:pPr>
        <w:pStyle w:val="Heading2"/>
      </w:pPr>
      <w:r>
        <w:t>6.1 Datos en tránsito</w:t>
      </w:r>
    </w:p>
    <w:p>
      <w:r>
        <w:t>Toda comunicación entre el cliente y la plataforma, y entre los microservicios internos, debe estar cifrada:</w:t>
      </w:r>
    </w:p>
    <w:p>
      <w:pPr>
        <w:pStyle w:val="ListBullet"/>
      </w:pPr>
      <w:r>
        <w:t>Comunicaciones externas: TLS 1.3 obligatorio. TLS 1.2 como versión mínima aceptada (con configuración reforzada). TLS 1.0 y 1.1 deshabilitados.</w:t>
      </w:r>
    </w:p>
    <w:p>
      <w:pPr>
        <w:pStyle w:val="ListBullet"/>
      </w:pPr>
      <w:r>
        <w:t>Comunicaciones internas entre microservicios: mTLS (mutual TLS) gestionado por el service mesh (Linkerd) en producción.</w:t>
      </w:r>
    </w:p>
    <w:p>
      <w:pPr>
        <w:pStyle w:val="ListBullet"/>
      </w:pPr>
      <w:r>
        <w:t>Certificados TLS: emitidos por la PKI corporativa o Let's Encrypt. Renovación automática. Vigencia máxima: 90 días.</w:t>
      </w:r>
    </w:p>
    <w:p>
      <w:pPr>
        <w:pStyle w:val="ListBullet"/>
      </w:pPr>
      <w:r>
        <w:t>Suites de cifrado permitidas: TLS_AES_256_GCM_SHA384, TLS_CHACHA20_POLY1305_SHA256, TLS_AES_128_GCM_SHA256.</w:t>
      </w:r>
    </w:p>
    <w:p>
      <w:pPr>
        <w:pStyle w:val="Heading2"/>
      </w:pPr>
      <w:r>
        <w:t>6.2 Datos en reposo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Sistema</w:t>
            </w:r>
          </w:p>
        </w:tc>
        <w:tc>
          <w:tcPr>
            <w:tcW w:type="dxa" w:w="2880"/>
          </w:tcPr>
          <w:p>
            <w:r>
              <w:rPr>
                <w:b/>
              </w:rPr>
              <w:t>Algoritmo</w:t>
            </w:r>
          </w:p>
        </w:tc>
        <w:tc>
          <w:tcPr>
            <w:tcW w:type="dxa" w:w="2880"/>
          </w:tcPr>
          <w:p>
            <w:r>
              <w:rPr>
                <w:b/>
              </w:rPr>
              <w:t>Gestión de claves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PostgreSQL</w:t>
            </w:r>
          </w:p>
        </w:tc>
        <w:tc>
          <w:tcPr>
            <w:tcW w:type="dxa" w:w="2880"/>
          </w:tcPr>
          <w:p>
            <w:r>
              <w:t>AES-256 (cifrado a nivel de volumen)</w:t>
            </w:r>
          </w:p>
        </w:tc>
        <w:tc>
          <w:tcPr>
            <w:tcW w:type="dxa" w:w="2880"/>
          </w:tcPr>
          <w:p>
            <w:r>
              <w:t>Clave gestionada por Vault</w:t>
            </w:r>
          </w:p>
        </w:tc>
      </w:tr>
      <w:tr>
        <w:tc>
          <w:tcPr>
            <w:tcW w:type="dxa" w:w="2880"/>
          </w:tcPr>
          <w:p>
            <w:r>
              <w:t>MinIO (Object Store)</w:t>
            </w:r>
          </w:p>
        </w:tc>
        <w:tc>
          <w:tcPr>
            <w:tcW w:type="dxa" w:w="2880"/>
          </w:tcPr>
          <w:p>
            <w:r>
              <w:t>SSE-S3 con AES-256</w:t>
            </w:r>
          </w:p>
        </w:tc>
        <w:tc>
          <w:tcPr>
            <w:tcW w:type="dxa" w:w="2880"/>
          </w:tcPr>
          <w:p>
            <w:r>
              <w:t>Clave gestionada por Vault</w:t>
            </w:r>
          </w:p>
        </w:tc>
      </w:tr>
      <w:tr>
        <w:tc>
          <w:tcPr>
            <w:tcW w:type="dxa" w:w="2880"/>
          </w:tcPr>
          <w:p>
            <w:r>
              <w:t>ChromaDB / Qdrant</w:t>
            </w:r>
          </w:p>
        </w:tc>
        <w:tc>
          <w:tcPr>
            <w:tcW w:type="dxa" w:w="2880"/>
          </w:tcPr>
          <w:p>
            <w:r>
              <w:t>Cifrado de volumen LUKS (entorno Kubernetes)</w:t>
            </w:r>
          </w:p>
        </w:tc>
        <w:tc>
          <w:tcPr>
            <w:tcW w:type="dxa" w:w="2880"/>
          </w:tcPr>
          <w:p>
            <w:r>
              <w:t>Clave gestionada por infraestructura</w:t>
            </w:r>
          </w:p>
        </w:tc>
      </w:tr>
      <w:tr>
        <w:tc>
          <w:tcPr>
            <w:tcW w:type="dxa" w:w="2880"/>
          </w:tcPr>
          <w:p>
            <w:r>
              <w:t>Backups</w:t>
            </w:r>
          </w:p>
        </w:tc>
        <w:tc>
          <w:tcPr>
            <w:tcW w:type="dxa" w:w="2880"/>
          </w:tcPr>
          <w:p>
            <w:r>
              <w:t>AES-256-GCM</w:t>
            </w:r>
          </w:p>
        </w:tc>
        <w:tc>
          <w:tcPr>
            <w:tcW w:type="dxa" w:w="2880"/>
          </w:tcPr>
          <w:p>
            <w:r>
              <w:t>Clave separada, rotación mensual</w:t>
            </w:r>
          </w:p>
        </w:tc>
      </w:tr>
    </w:tbl>
    <w:p/>
    <w:p>
      <w:pPr>
        <w:pStyle w:val="Heading1"/>
      </w:pPr>
      <w:r>
        <w:t>7. Gestión de Vulnerabilidades</w:t>
      </w:r>
    </w:p>
    <w:p>
      <w:r>
        <w:t>El equipo de seguridad realiza revisiones periódicas del estado de vulnerabilidades conocidas en los componentes de la plataforma.</w:t>
      </w:r>
    </w:p>
    <w:p>
      <w:pPr>
        <w:pStyle w:val="Heading2"/>
      </w:pPr>
      <w:r>
        <w:t>7.1 Análisis de código estático (SAST)</w:t>
      </w:r>
    </w:p>
    <w:p>
      <w:r>
        <w:t>Todas las ramas de código sometidas a PR deben superar el análisis SAST integrado en el pipeline CI/CD (Semgrep + Bandit para Python). Los hallazgos de severidad CRÍTICA o ALTA bloquean el merge del PR hasta ser resueltos o aceptados con riesgo documentado.</w:t>
      </w:r>
    </w:p>
    <w:p>
      <w:pPr>
        <w:pStyle w:val="Heading2"/>
      </w:pPr>
      <w:r>
        <w:t>7.2 Análisis de dependencias (SCA)</w:t>
      </w:r>
    </w:p>
    <w:p>
      <w:r>
        <w:t>Dependabot está configurado para escanear dependencias de los repositorios diariamente. Los plazos de remediación son:</w:t>
      </w:r>
    </w:p>
    <w:tbl>
      <w:tblPr>
        <w:tblStyle w:val="TableGrid"/>
        <w:tblW w:type="auto" w:w="0"/>
        <w:tblLook w:firstColumn="1" w:firstRow="1" w:lastColumn="0" w:lastRow="0" w:noHBand="0" w:noVBand="1" w:val="04A0"/>
      </w:tblPr>
      <w:tblGrid>
        <w:gridCol w:w="4320"/>
        <w:gridCol w:w="4320"/>
      </w:tblGrid>
      <w:tr>
        <w:tc>
          <w:tcPr>
            <w:tcW w:type="dxa" w:w="4320"/>
          </w:tcPr>
          <w:p>
            <w:r>
              <w:rPr>
                <w:b/>
              </w:rPr>
              <w:t>Severidad CVSS</w:t>
            </w:r>
          </w:p>
        </w:tc>
        <w:tc>
          <w:tcPr>
            <w:tcW w:type="dxa" w:w="4320"/>
          </w:tcPr>
          <w:p>
            <w:r>
              <w:rPr>
                <w:b/>
              </w:rPr>
              <w:t>Plazo de remediación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Crítica (9.0–10.0)</w:t>
            </w:r>
          </w:p>
        </w:tc>
        <w:tc>
          <w:tcPr>
            <w:tcW w:type="dxa" w:w="4320"/>
          </w:tcPr>
          <w:p>
            <w:r>
              <w:t>72 horas</w:t>
            </w:r>
          </w:p>
        </w:tc>
      </w:tr>
      <w:tr>
        <w:tc>
          <w:tcPr>
            <w:tcW w:type="dxa" w:w="4320"/>
          </w:tcPr>
          <w:p>
            <w:r>
              <w:t>Alta (7.0–8.9)</w:t>
            </w:r>
          </w:p>
        </w:tc>
        <w:tc>
          <w:tcPr>
            <w:tcW w:type="dxa" w:w="4320"/>
          </w:tcPr>
          <w:p>
            <w:r>
              <w:t>7 días</w:t>
            </w:r>
          </w:p>
        </w:tc>
      </w:tr>
      <w:tr>
        <w:tc>
          <w:tcPr>
            <w:tcW w:type="dxa" w:w="4320"/>
          </w:tcPr>
          <w:p>
            <w:r>
              <w:t>Media (4.0–6.9)</w:t>
            </w:r>
          </w:p>
        </w:tc>
        <w:tc>
          <w:tcPr>
            <w:tcW w:type="dxa" w:w="4320"/>
          </w:tcPr>
          <w:p>
            <w:r>
              <w:t>30 días</w:t>
            </w:r>
          </w:p>
        </w:tc>
      </w:tr>
      <w:tr>
        <w:tc>
          <w:tcPr>
            <w:tcW w:type="dxa" w:w="4320"/>
          </w:tcPr>
          <w:p>
            <w:r>
              <w:t>Baja (0.1–3.9)</w:t>
            </w:r>
          </w:p>
        </w:tc>
        <w:tc>
          <w:tcPr>
            <w:tcW w:type="dxa" w:w="4320"/>
          </w:tcPr>
          <w:p>
            <w:r>
              <w:t>90 días o en el siguiente ciclo de releases</w:t>
            </w:r>
          </w:p>
        </w:tc>
      </w:tr>
    </w:tbl>
    <w:p/>
    <w:p>
      <w:pPr>
        <w:pStyle w:val="Heading2"/>
      </w:pPr>
      <w:r>
        <w:t>7.3 Pentesting</w:t>
      </w:r>
    </w:p>
    <w:p>
      <w:r>
        <w:t>Se realizará un pentest externo al menos una vez al año, o tras cambios arquitectónicos significativos. Los hallazgos se gestionan como vulnerabilidades según la tabla de plazos anterior. El informe de pentest tiene clasificación CONFIDENCIAL.</w:t>
      </w:r>
    </w:p>
    <w:p>
      <w:pPr>
        <w:pStyle w:val="Heading1"/>
      </w:pPr>
      <w:r>
        <w:t>8. Monitorización y Respuesta a Incidentes</w:t>
      </w:r>
    </w:p>
    <w:p>
      <w:pPr>
        <w:pStyle w:val="Heading2"/>
      </w:pPr>
      <w:r>
        <w:t>8.1 Logging y auditoría</w:t>
      </w:r>
    </w:p>
    <w:p>
      <w:r>
        <w:t>La plataforma registra los siguientes eventos en el log de auditoría:</w:t>
      </w:r>
    </w:p>
    <w:p>
      <w:pPr>
        <w:pStyle w:val="ListBullet"/>
      </w:pPr>
      <w:r>
        <w:t>Inicio y cierre de sesión (incluyendo intentos fallidos).</w:t>
      </w:r>
    </w:p>
    <w:p>
      <w:pPr>
        <w:pStyle w:val="ListBullet"/>
      </w:pPr>
      <w:r>
        <w:t>Acceso a documentos clasificados como CONFIDENCIAL o SECRETO.</w:t>
      </w:r>
    </w:p>
    <w:p>
      <w:pPr>
        <w:pStyle w:val="ListBullet"/>
      </w:pPr>
      <w:r>
        <w:t>Modificaciones de permisos de usuarios o colecciones.</w:t>
      </w:r>
    </w:p>
    <w:p>
      <w:pPr>
        <w:pStyle w:val="ListBullet"/>
      </w:pPr>
      <w:r>
        <w:t>Subida, actualización y eliminación de documentos.</w:t>
      </w:r>
    </w:p>
    <w:p>
      <w:pPr>
        <w:pStyle w:val="ListBullet"/>
      </w:pPr>
      <w:r>
        <w:t>Generación y revocación de API Keys.</w:t>
      </w:r>
    </w:p>
    <w:p>
      <w:pPr>
        <w:pStyle w:val="ListBullet"/>
      </w:pPr>
      <w:r>
        <w:t>Cambios en la configuración de la plataforma.</w:t>
      </w:r>
    </w:p>
    <w:p>
      <w:pPr>
        <w:pStyle w:val="ListBullet"/>
      </w:pPr>
      <w:r>
        <w:t>Exportaciones masivas de datos.</w:t>
      </w:r>
    </w:p>
    <w:p>
      <w:r>
        <w:t>Los logs de auditoría se almacenan en Loki con retención mínima de 12 meses. No pueden ser modificados ni eliminados por usuarios, incluyendo administradores de la plataforma. La integridad de los logs se verifica mediante hash encadenado.</w:t>
      </w:r>
    </w:p>
    <w:p>
      <w:pPr>
        <w:pStyle w:val="Heading2"/>
      </w:pPr>
      <w:r>
        <w:t>8.2 Clasificación de incidentes de seguridad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Categoría</w:t>
            </w:r>
          </w:p>
        </w:tc>
        <w:tc>
          <w:tcPr>
            <w:tcW w:type="dxa" w:w="2160"/>
          </w:tcPr>
          <w:p>
            <w:r>
              <w:rPr>
                <w:b/>
              </w:rPr>
              <w:t>Descripción</w:t>
            </w:r>
          </w:p>
        </w:tc>
        <w:tc>
          <w:tcPr>
            <w:tcW w:type="dxa" w:w="2160"/>
          </w:tcPr>
          <w:p>
            <w:r>
              <w:rPr>
                <w:b/>
              </w:rPr>
              <w:t>Tiempo de respuesta</w:t>
            </w:r>
          </w:p>
        </w:tc>
        <w:tc>
          <w:tcPr>
            <w:tcW w:type="dxa" w:w="2160"/>
          </w:tcPr>
          <w:p>
            <w:r>
              <w:rPr>
                <w:b/>
              </w:rPr>
              <w:t>Escalado</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P1 — Crítico</w:t>
            </w:r>
          </w:p>
        </w:tc>
        <w:tc>
          <w:tcPr>
            <w:tcW w:type="dxa" w:w="2160"/>
          </w:tcPr>
          <w:p>
            <w:r>
              <w:t>Brecha de datos activa, sistema comprometido, datos exfiltrados.</w:t>
            </w:r>
          </w:p>
        </w:tc>
        <w:tc>
          <w:tcPr>
            <w:tcW w:type="dxa" w:w="2160"/>
          </w:tcPr>
          <w:p>
            <w:r>
              <w:t>15 minutos</w:t>
            </w:r>
          </w:p>
        </w:tc>
        <w:tc>
          <w:tcPr>
            <w:tcW w:type="dxa" w:w="2160"/>
          </w:tcPr>
          <w:p>
            <w:r>
              <w:t>CISO + Dirección + Asesoría legal</w:t>
            </w:r>
          </w:p>
        </w:tc>
      </w:tr>
      <w:tr>
        <w:tc>
          <w:tcPr>
            <w:tcW w:type="dxa" w:w="2160"/>
          </w:tcPr>
          <w:p>
            <w:r>
              <w:t>P2 — Alto</w:t>
            </w:r>
          </w:p>
        </w:tc>
        <w:tc>
          <w:tcPr>
            <w:tcW w:type="dxa" w:w="2160"/>
          </w:tcPr>
          <w:p>
            <w:r>
              <w:t>Acceso no autorizado detectado, cuenta comprometida, DDoS activo.</w:t>
            </w:r>
          </w:p>
        </w:tc>
        <w:tc>
          <w:tcPr>
            <w:tcW w:type="dxa" w:w="2160"/>
          </w:tcPr>
          <w:p>
            <w:r>
              <w:t>1 hora</w:t>
            </w:r>
          </w:p>
        </w:tc>
        <w:tc>
          <w:tcPr>
            <w:tcW w:type="dxa" w:w="2160"/>
          </w:tcPr>
          <w:p>
            <w:r>
              <w:t>CISO + Responsable de IT</w:t>
            </w:r>
          </w:p>
        </w:tc>
      </w:tr>
      <w:tr>
        <w:tc>
          <w:tcPr>
            <w:tcW w:type="dxa" w:w="2160"/>
          </w:tcPr>
          <w:p>
            <w:r>
              <w:t>P3 — Medio</w:t>
            </w:r>
          </w:p>
        </w:tc>
        <w:tc>
          <w:tcPr>
            <w:tcW w:type="dxa" w:w="2160"/>
          </w:tcPr>
          <w:p>
            <w:r>
              <w:t>Intento de intrusión fallido, anomalía en logs de acceso.</w:t>
            </w:r>
          </w:p>
        </w:tc>
        <w:tc>
          <w:tcPr>
            <w:tcW w:type="dxa" w:w="2160"/>
          </w:tcPr>
          <w:p>
            <w:r>
              <w:t>4 horas</w:t>
            </w:r>
          </w:p>
        </w:tc>
        <w:tc>
          <w:tcPr>
            <w:tcW w:type="dxa" w:w="2160"/>
          </w:tcPr>
          <w:p>
            <w:r>
              <w:t>Equipo de seguridad</w:t>
            </w:r>
          </w:p>
        </w:tc>
      </w:tr>
      <w:tr>
        <w:tc>
          <w:tcPr>
            <w:tcW w:type="dxa" w:w="2160"/>
          </w:tcPr>
          <w:p>
            <w:r>
              <w:t>P4 — Bajo</w:t>
            </w:r>
          </w:p>
        </w:tc>
        <w:tc>
          <w:tcPr>
            <w:tcW w:type="dxa" w:w="2160"/>
          </w:tcPr>
          <w:p>
            <w:r>
              <w:t>Vulnerabilidad detectada sin explotación activa, configuración incorrecta.</w:t>
            </w:r>
          </w:p>
        </w:tc>
        <w:tc>
          <w:tcPr>
            <w:tcW w:type="dxa" w:w="2160"/>
          </w:tcPr>
          <w:p>
            <w:r>
              <w:t>24 horas</w:t>
            </w:r>
          </w:p>
        </w:tc>
        <w:tc>
          <w:tcPr>
            <w:tcW w:type="dxa" w:w="2160"/>
          </w:tcPr>
          <w:p>
            <w:r>
              <w:t>Equipo de seguridad</w:t>
            </w:r>
          </w:p>
        </w:tc>
      </w:tr>
    </w:tbl>
    <w:p/>
    <w:p>
      <w:pPr>
        <w:pStyle w:val="Heading2"/>
      </w:pPr>
      <w:r>
        <w:t>8.3 Procedimiento ante brecha de datos</w:t>
      </w:r>
    </w:p>
    <w:p>
      <w:r>
        <w:t>En caso de brecha de datos confirmada o sospechada con datos personales:</w:t>
      </w:r>
    </w:p>
    <w:p>
      <w:pPr>
        <w:pStyle w:val="ListNumber"/>
      </w:pPr>
      <w:r>
        <w:t>Paso 1: Contención inmediata: aislar el sistema afectado, revocar credenciales comprometidas.</w:t>
      </w:r>
    </w:p>
    <w:p>
      <w:pPr>
        <w:pStyle w:val="ListNumber"/>
      </w:pPr>
      <w:r>
        <w:t>Paso 2: Notificación interna: informar al CISO en máximo 1 hora.</w:t>
      </w:r>
    </w:p>
    <w:p>
      <w:pPr>
        <w:pStyle w:val="ListNumber"/>
      </w:pPr>
      <w:r>
        <w:t>Paso 3: Evaluación de impacto: determinar qué datos se han visto afectados, cuántos titulares y qué riesgos conlleva.</w:t>
      </w:r>
    </w:p>
    <w:p>
      <w:pPr>
        <w:pStyle w:val="ListNumber"/>
      </w:pPr>
      <w:r>
        <w:t>Paso 4: Notificación a la AEPD: si los datos personales afectados implican riesgo para los derechos de las personas, notificar en máximo 72 horas desde la detección (obligación RGPD Art. 33).</w:t>
      </w:r>
    </w:p>
    <w:p>
      <w:pPr>
        <w:pStyle w:val="ListNumber"/>
      </w:pPr>
      <w:r>
        <w:t>Paso 5: Notificación a los afectados: si existe alto riesgo para los derechos individuales, notificar sin dilación indebida (Art. 34 RGPD).</w:t>
      </w:r>
    </w:p>
    <w:p>
      <w:pPr>
        <w:pStyle w:val="ListNumber"/>
      </w:pPr>
      <w:r>
        <w:t>Paso 6: Postmortem y mejora: documentar el incidente, causa raíz, acciones tomadas y mejoras preventivas.</w:t>
      </w:r>
    </w:p>
    <w:p>
      <w:pPr>
        <w:pStyle w:val="Heading1"/>
      </w:pPr>
      <w:r>
        <w:t>9. Privacidad y Protección de Datos</w:t>
      </w:r>
    </w:p>
    <w:p>
      <w:r>
        <w:t>La plataforma procesa datos personales de empleados y colaboradores (nombre, correo electrónico, historial de consultas). Este tratamiento se realiza bajo las siguientes premisas:</w:t>
      </w:r>
    </w:p>
    <w:p>
      <w:pPr>
        <w:pStyle w:val="ListBullet"/>
      </w:pPr>
      <w:r>
        <w:t>Base jurídica: interés legítimo de la empresa en la gestión eficiente del conocimiento corporativo (Art. 6.1.f RGPD).</w:t>
      </w:r>
    </w:p>
    <w:p>
      <w:pPr>
        <w:pStyle w:val="ListBullet"/>
      </w:pPr>
      <w:r>
        <w:t>Minimización de datos: solo se recogen y almacenan los datos estrictamente necesarios para el funcionamiento de la plataforma.</w:t>
      </w:r>
    </w:p>
    <w:p>
      <w:pPr>
        <w:pStyle w:val="ListBullet"/>
      </w:pPr>
      <w:r>
        <w:t>Limitación de la finalidad: los datos no se utilizan para fines distintos de los indicados en esta política.</w:t>
      </w:r>
    </w:p>
    <w:p>
      <w:pPr>
        <w:pStyle w:val="ListBullet"/>
      </w:pPr>
      <w:r>
        <w:t>Exactitud: los datos se mantienen actualizados. Los errores pueden reportarse al DPD.</w:t>
      </w:r>
    </w:p>
    <w:p>
      <w:pPr>
        <w:pStyle w:val="ListBullet"/>
      </w:pPr>
      <w:r>
        <w:t>Limitación del plazo de conservación: los datos de uso (historial de consultas) se conservan 12 meses. Los datos de cuenta se conservan durante la vigencia del contrato laboral más 5 años (obligación legal).</w:t>
      </w:r>
    </w:p>
    <w:p>
      <w:pPr>
        <w:pStyle w:val="ListBullet"/>
      </w:pPr>
      <w:r>
        <w:t>Seguridad: se aplican las medidas técnicas y organizativas descritas en esta política.</w:t>
      </w:r>
    </w:p>
    <w:p>
      <w:r>
        <w:t>Los empleados pueden ejercer sus derechos de acceso, rectificación, supresión, portabilidad y oposición contactando con el Delegado de Protección de Datos (DPD) a través del formulario disponible en la intranet o mediante correo electrónico a dpd@empresa.com.</w:t>
      </w:r>
    </w:p>
    <w:p>
      <w:pPr>
        <w:pStyle w:val="Heading1"/>
      </w:pPr>
      <w:r>
        <w:t>10. Roles y Responsabilidades</w:t>
      </w:r>
    </w:p>
    <w:tbl>
      <w:tblPr>
        <w:tblStyle w:val="TableGrid"/>
        <w:tblW w:type="auto" w:w="0"/>
        <w:tblLook w:firstColumn="1" w:firstRow="1" w:lastColumn="0" w:lastRow="0" w:noHBand="0" w:noVBand="1" w:val="04A0"/>
      </w:tblPr>
      <w:tblGrid>
        <w:gridCol w:w="4320"/>
        <w:gridCol w:w="4320"/>
      </w:tblGrid>
      <w:tr>
        <w:tc>
          <w:tcPr>
            <w:tcW w:type="dxa" w:w="4320"/>
          </w:tcPr>
          <w:p>
            <w:r>
              <w:rPr>
                <w:b/>
              </w:rPr>
              <w:t>Rol / Departamento</w:t>
            </w:r>
          </w:p>
        </w:tc>
        <w:tc>
          <w:tcPr>
            <w:tcW w:type="dxa" w:w="4320"/>
          </w:tcPr>
          <w:p>
            <w:r>
              <w:rPr>
                <w:b/>
              </w:rPr>
              <w:t>Responsabilidades en seguridad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CISO (Chief Information Security Officer)</w:t>
            </w:r>
          </w:p>
        </w:tc>
        <w:tc>
          <w:tcPr>
            <w:tcW w:type="dxa" w:w="4320"/>
          </w:tcPr>
          <w:p>
            <w:r>
              <w:t>Propietario de esta política. Aprueba excepciones. Coordina respuesta a incidentes graves. Reporta al Comité de Dirección.</w:t>
            </w:r>
          </w:p>
        </w:tc>
      </w:tr>
      <w:tr>
        <w:tc>
          <w:tcPr>
            <w:tcW w:type="dxa" w:w="4320"/>
          </w:tcPr>
          <w:p>
            <w:r>
              <w:t>Departamento de IT</w:t>
            </w:r>
          </w:p>
        </w:tc>
        <w:tc>
          <w:tcPr>
            <w:tcW w:type="dxa" w:w="4320"/>
          </w:tcPr>
          <w:p>
            <w:r>
              <w:t>Implementa los controles técnicos. Gestiona identidades y accesos. Mantiene la infraestructura segura. Ejecuta el plan de respaldo.</w:t>
            </w:r>
          </w:p>
        </w:tc>
      </w:tr>
      <w:tr>
        <w:tc>
          <w:tcPr>
            <w:tcW w:type="dxa" w:w="4320"/>
          </w:tcPr>
          <w:p>
            <w:r>
              <w:t>Equipo de Desarrollo</w:t>
            </w:r>
          </w:p>
        </w:tc>
        <w:tc>
          <w:tcPr>
            <w:tcW w:type="dxa" w:w="4320"/>
          </w:tcPr>
          <w:p>
            <w:r>
              <w:t>Desarrolla código seguro siguiendo OWASP. Corrige vulnerabilidades en los plazos establecidos. Participa en revisiones de código con enfoque de seguridad.</w:t>
            </w:r>
          </w:p>
        </w:tc>
      </w:tr>
      <w:tr>
        <w:tc>
          <w:tcPr>
            <w:tcW w:type="dxa" w:w="4320"/>
          </w:tcPr>
          <w:p>
            <w:r>
              <w:t>Responsables de área / Tech Leads</w:t>
            </w:r>
          </w:p>
        </w:tc>
        <w:tc>
          <w:tcPr>
            <w:tcW w:type="dxa" w:w="4320"/>
          </w:tcPr>
          <w:p>
            <w:r>
              <w:t>Validan revisiones periódicas de accesos de su equipo. Clasifican los documentos que gestionan. Reportan incidentes sospechosos.</w:t>
            </w:r>
          </w:p>
        </w:tc>
      </w:tr>
      <w:tr>
        <w:tc>
          <w:tcPr>
            <w:tcW w:type="dxa" w:w="4320"/>
          </w:tcPr>
          <w:p>
            <w:r>
              <w:t>Todos los empleados y colaboradores</w:t>
            </w:r>
          </w:p>
        </w:tc>
        <w:tc>
          <w:tcPr>
            <w:tcW w:type="dxa" w:w="4320"/>
          </w:tcPr>
          <w:p>
            <w:r>
              <w:t>Cumplir esta política. Proteger sus credenciales. Reportar cualquier incidente o sospecha de incidente de seguridad.</w:t>
            </w:r>
          </w:p>
        </w:tc>
      </w:tr>
      <w:tr>
        <w:tc>
          <w:tcPr>
            <w:tcW w:type="dxa" w:w="4320"/>
          </w:tcPr>
          <w:p>
            <w:r>
              <w:t>Delegado de Protección de Datos (DPD)</w:t>
            </w:r>
          </w:p>
        </w:tc>
        <w:tc>
          <w:tcPr>
            <w:tcW w:type="dxa" w:w="4320"/>
          </w:tcPr>
          <w:p>
            <w:r>
              <w:t>Supervisa el cumplimiento del RGPD. Atiende ejercicio de derechos de los interesados. Asesora en tratamientos de alto riesgo.</w:t>
            </w:r>
          </w:p>
        </w:tc>
      </w:tr>
    </w:tbl>
    <w:p/>
    <w:p>
      <w:pPr>
        <w:pStyle w:val="Heading1"/>
      </w:pPr>
      <w:r>
        <w:t>11. Excepciones y Revisión de la Política</w:t>
      </w:r>
    </w:p>
    <w:p>
      <w:r>
        <w:t>Cualquier excepción a los controles establecidos en esta política debe ser solicitada formalmente al CISO, justificando la necesidad de negocio, el riesgo residual asumido y las medidas compensatorias adoptadas. Las excepciones aprobadas tienen una vigencia máxima de 6 meses y deben renovarse formalmente.</w:t>
      </w:r>
    </w:p>
    <w:p>
      <w:r>
        <w:t>Esta política se revisa anualmente o cuando se produzcan cambios significativos en la plataforma, en la legislación aplicable o en el panorama de amenazas. La versión vigente siempre está disponible en la Plataforma de Gestión del Conocimiento (colección: Políticas Corporativas).</w:t>
      </w:r>
    </w:p>
    <w:p>
      <w:pPr>
        <w:pStyle w:val="Heading1"/>
      </w:pPr>
      <w:r>
        <w:t>Control de Versiones del Documento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Versión</w:t>
            </w:r>
          </w:p>
        </w:tc>
        <w:tc>
          <w:tcPr>
            <w:tcW w:type="dxa" w:w="2160"/>
          </w:tcPr>
          <w:p>
            <w:r>
              <w:rPr>
                <w:b/>
              </w:rPr>
              <w:t>Fecha</w:t>
            </w:r>
          </w:p>
        </w:tc>
        <w:tc>
          <w:tcPr>
            <w:tcW w:type="dxa" w:w="2160"/>
          </w:tcPr>
          <w:p>
            <w:r>
              <w:rPr>
                <w:b/>
              </w:rPr>
              <w:t>Autor</w:t>
            </w:r>
          </w:p>
        </w:tc>
        <w:tc>
          <w:tcPr>
            <w:tcW w:type="dxa" w:w="2160"/>
          </w:tcPr>
          <w:p>
            <w:r>
              <w:rPr>
                <w:b/>
              </w:rPr>
              <w:t>Cambios principales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1.0</w:t>
            </w:r>
          </w:p>
        </w:tc>
        <w:tc>
          <w:tcPr>
            <w:tcW w:type="dxa" w:w="2160"/>
          </w:tcPr>
          <w:p>
            <w:r>
              <w:t>2023-03</w:t>
            </w:r>
          </w:p>
        </w:tc>
        <w:tc>
          <w:tcPr>
            <w:tcW w:type="dxa" w:w="2160"/>
          </w:tcPr>
          <w:p>
            <w:r>
              <w:t>Equipo Seguridad</w:t>
            </w:r>
          </w:p>
        </w:tc>
        <w:tc>
          <w:tcPr>
            <w:tcW w:type="dxa" w:w="2160"/>
          </w:tcPr>
          <w:p>
            <w:r>
              <w:t>Versión inicial</w:t>
            </w:r>
          </w:p>
        </w:tc>
      </w:tr>
      <w:tr>
        <w:tc>
          <w:tcPr>
            <w:tcW w:type="dxa" w:w="2160"/>
          </w:tcPr>
          <w:p>
            <w:r>
              <w:t>2.0</w:t>
            </w:r>
          </w:p>
        </w:tc>
        <w:tc>
          <w:tcPr>
            <w:tcW w:type="dxa" w:w="2160"/>
          </w:tcPr>
          <w:p>
            <w:r>
              <w:t>2024-01</w:t>
            </w:r>
          </w:p>
        </w:tc>
        <w:tc>
          <w:tcPr>
            <w:tcW w:type="dxa" w:w="2160"/>
          </w:tcPr>
          <w:p>
            <w:r>
              <w:t>CISO</w:t>
            </w:r>
          </w:p>
        </w:tc>
        <w:tc>
          <w:tcPr>
            <w:tcW w:type="dxa" w:w="2160"/>
          </w:tcPr>
          <w:p>
            <w:r>
              <w:t>Añadido marco RGPD y clasificación de datos</w:t>
            </w:r>
          </w:p>
        </w:tc>
      </w:tr>
      <w:tr>
        <w:tc>
          <w:tcPr>
            <w:tcW w:type="dxa" w:w="2160"/>
          </w:tcPr>
          <w:p>
            <w:r>
              <w:t>2.1</w:t>
            </w:r>
          </w:p>
        </w:tc>
        <w:tc>
          <w:tcPr>
            <w:tcW w:type="dxa" w:w="2160"/>
          </w:tcPr>
          <w:p>
            <w:r>
              <w:t>2024-06</w:t>
            </w:r>
          </w:p>
        </w:tc>
        <w:tc>
          <w:tcPr>
            <w:tcW w:type="dxa" w:w="2160"/>
          </w:tcPr>
          <w:p>
            <w:r>
              <w:t>Equipo Seguridad</w:t>
            </w:r>
          </w:p>
        </w:tc>
        <w:tc>
          <w:tcPr>
            <w:tcW w:type="dxa" w:w="2160"/>
          </w:tcPr>
          <w:p>
            <w:r>
              <w:t>Actualización plazos remediación vulnerabilidades (CVSS)</w:t>
            </w:r>
          </w:p>
        </w:tc>
      </w:tr>
      <w:tr>
        <w:tc>
          <w:tcPr>
            <w:tcW w:type="dxa" w:w="2160"/>
          </w:tcPr>
          <w:p>
            <w:r>
              <w:t>3.0</w:t>
            </w:r>
          </w:p>
        </w:tc>
        <w:tc>
          <w:tcPr>
            <w:tcW w:type="dxa" w:w="2160"/>
          </w:tcPr>
          <w:p>
            <w:r>
              <w:t>2025-01</w:t>
            </w:r>
          </w:p>
        </w:tc>
        <w:tc>
          <w:tcPr>
            <w:tcW w:type="dxa" w:w="2160"/>
          </w:tcPr>
          <w:p>
            <w:r>
              <w:t>CISO</w:t>
            </w:r>
          </w:p>
        </w:tc>
        <w:tc>
          <w:tcPr>
            <w:tcW w:type="dxa" w:w="2160"/>
          </w:tcPr>
          <w:p>
            <w:r>
              <w:t>Reestructuración completa. Añadido mTLS, SAST/SCA, gestión de API Keys</w:t>
            </w:r>
          </w:p>
        </w:tc>
      </w:tr>
      <w:tr>
        <w:tc>
          <w:tcPr>
            <w:tcW w:type="dxa" w:w="2160"/>
          </w:tcPr>
          <w:p>
            <w:r>
              <w:t>3.1</w:t>
            </w:r>
          </w:p>
        </w:tc>
        <w:tc>
          <w:tcPr>
            <w:tcW w:type="dxa" w:w="2160"/>
          </w:tcPr>
          <w:p>
            <w:r>
              <w:t>2025-07</w:t>
            </w:r>
          </w:p>
        </w:tc>
        <w:tc>
          <w:tcPr>
            <w:tcW w:type="dxa" w:w="2160"/>
          </w:tcPr>
          <w:p>
            <w:r>
              <w:t>Equipo Seguridad</w:t>
            </w:r>
          </w:p>
        </w:tc>
        <w:tc>
          <w:tcPr>
            <w:tcW w:type="dxa" w:w="2160"/>
          </w:tcPr>
          <w:p>
            <w:r>
              <w:t>Añadido procedimiento de brecha de datos (Art. 33-34 RGPD)</w:t>
            </w:r>
          </w:p>
        </w:tc>
      </w:tr>
      <w:tr>
        <w:tc>
          <w:tcPr>
            <w:tcW w:type="dxa" w:w="2160"/>
          </w:tcPr>
          <w:p>
            <w:r>
              <w:t>3.2</w:t>
            </w:r>
          </w:p>
        </w:tc>
        <w:tc>
          <w:tcPr>
            <w:tcW w:type="dxa" w:w="2160"/>
          </w:tcPr>
          <w:p>
            <w:r>
              <w:t>2026-01</w:t>
            </w:r>
          </w:p>
        </w:tc>
        <w:tc>
          <w:tcPr>
            <w:tcW w:type="dxa" w:w="2160"/>
          </w:tcPr>
          <w:p>
            <w:r>
              <w:t>CISO</w:t>
            </w:r>
          </w:p>
        </w:tc>
        <w:tc>
          <w:tcPr>
            <w:tcW w:type="dxa" w:w="2160"/>
          </w:tcPr>
          <w:p>
            <w:r>
              <w:t>Revisión anual. Actualización suites TLS. Sin cambios estructurales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