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pPr>
      <w:commentRangeStart w:id="0"/>
      <w:r>
        <w:rPr/>
      </w:r>
    </w:p>
    <w:p>
      <w:pPr>
        <w:pStyle w:val="Heading2"/>
        <w:numPr>
          <w:ilvl w:val="1"/>
          <w:numId w:val="1"/>
        </w:numPr>
        <w:rPr/>
      </w:pPr>
      <w:r>
        <w:rPr/>
        <w:t>A Low-Level Center-of-Gravity Effect</w:t>
      </w:r>
    </w:p>
    <w:p>
      <w:pPr>
        <w:pStyle w:val="TextBody"/>
        <w:rPr/>
      </w:pPr>
      <w:commentRangeStart w:id="0"/>
      <w:r>
        <w:rPr/>
        <w:t>In</w:t>
      </w:r>
      <w:commentRangeEnd w:id="0"/>
      <w:r>
        <w:rPr/>
      </w:r>
      <w:r>
        <w:rPr/>
        <w:commentReference w:id="0"/>
      </w:r>
      <w:r>
        <w:rPr/>
        <w:t xml:space="preserve"> visual displays containing two simple shapes, saccades typically reveal a so-called global effect: Even though participants aim for one of the two stimuli, their eyes deviate towards the other stimulus, and land on a location in between the two </w:t>
      </w:r>
      <w:bookmarkStart w:id="0" w:name="__UnoMark__39971_1431238061"/>
      <w:bookmarkStart w:id="1" w:name="__UnoMark__36626_1431238061"/>
      <w:bookmarkStart w:id="2" w:name="__UnoMark__30520_1431238061"/>
      <w:bookmarkStart w:id="3" w:name="__UnoMark__29045_1431238061"/>
      <w:bookmarkStart w:id="4" w:name="__UnoMark__26443_1431238061"/>
      <w:bookmarkStart w:id="5" w:name="__UnoMark__22748_1431238061"/>
      <w:bookmarkStart w:id="6" w:name="__UnoMark__13171_1431238061"/>
      <w:bookmarkStart w:id="7" w:name="__UnoMark__12067_1431238061"/>
      <w:bookmarkStart w:id="8" w:name="__UnoMark__11005_1431238061"/>
      <w:r>
        <w:rPr/>
        <w:t>(Coren &amp; Hoenig, 1972; Findlay, 1982)</w:t>
      </w:r>
      <w:bookmarkEnd w:id="0"/>
      <w:bookmarkEnd w:id="1"/>
      <w:bookmarkEnd w:id="2"/>
      <w:bookmarkEnd w:id="3"/>
      <w:bookmarkEnd w:id="4"/>
      <w:bookmarkEnd w:id="5"/>
      <w:bookmarkEnd w:id="6"/>
      <w:bookmarkEnd w:id="7"/>
      <w:bookmarkEnd w:id="8"/>
      <w:r>
        <w:rPr/>
        <w:t xml:space="preserve">. This systematic landing error is typically interpreted as a tendency of the eyes to land on the center of gravity (CoG) of the visual field. For example, Findlay </w:t>
      </w:r>
      <w:bookmarkStart w:id="9" w:name="__UnoMark__39967_1431238061"/>
      <w:bookmarkStart w:id="10" w:name="__UnoMark__36622_1431238061"/>
      <w:bookmarkStart w:id="11" w:name="__UnoMark__30516_1431238061"/>
      <w:bookmarkStart w:id="12" w:name="__UnoMark__29041_1431238061"/>
      <w:bookmarkStart w:id="13" w:name="__UnoMark__26439_1431238061"/>
      <w:bookmarkStart w:id="14" w:name="__UnoMark__22744_1431238061"/>
      <w:bookmarkStart w:id="15" w:name="__UnoMark__13172_1431238061"/>
      <w:bookmarkStart w:id="16" w:name="__UnoMark__12068_1431238061"/>
      <w:bookmarkStart w:id="17" w:name="__UnoMark__11006_1431238061"/>
      <w:r>
        <w:rPr/>
        <w:t>(1982)</w:t>
      </w:r>
      <w:bookmarkEnd w:id="9"/>
      <w:bookmarkEnd w:id="10"/>
      <w:bookmarkEnd w:id="11"/>
      <w:bookmarkEnd w:id="12"/>
      <w:bookmarkEnd w:id="13"/>
      <w:bookmarkEnd w:id="14"/>
      <w:bookmarkEnd w:id="15"/>
      <w:bookmarkEnd w:id="16"/>
      <w:bookmarkEnd w:id="17"/>
      <w:r>
        <w:rPr/>
        <w:t xml:space="preserve"> demonstrated that when two targets differ in size, the eyes do not land exactly at the midpoint between the two, but deviate towards the largest target. Likewise, the deviation from the midpoint is stronger for brighter stimuli </w:t>
      </w:r>
      <w:bookmarkStart w:id="18" w:name="__UnoMark__39968_1431238061"/>
      <w:bookmarkStart w:id="19" w:name="__UnoMark__36623_1431238061"/>
      <w:bookmarkStart w:id="20" w:name="__UnoMark__30517_1431238061"/>
      <w:bookmarkStart w:id="21" w:name="__UnoMark__29042_1431238061"/>
      <w:bookmarkStart w:id="22" w:name="__UnoMark__26440_1431238061"/>
      <w:bookmarkStart w:id="23" w:name="__UnoMark__22745_1431238061"/>
      <w:bookmarkStart w:id="24" w:name="__UnoMark__13173_1431238061"/>
      <w:bookmarkStart w:id="25" w:name="__UnoMark__12069_1431238061"/>
      <w:bookmarkStart w:id="26" w:name="__UnoMark__11007_1431238061"/>
      <w:r>
        <w:rPr/>
        <w:t>(Deubel, Findlay, Jacobs, &amp; Brogan, 1988; for reviews see Vitu, 2008; and Van der Stigchel &amp; Nijboer, 2011)</w:t>
      </w:r>
      <w:bookmarkEnd w:id="18"/>
      <w:bookmarkEnd w:id="19"/>
      <w:bookmarkEnd w:id="20"/>
      <w:bookmarkEnd w:id="21"/>
      <w:bookmarkEnd w:id="22"/>
      <w:bookmarkEnd w:id="23"/>
      <w:bookmarkEnd w:id="24"/>
      <w:bookmarkEnd w:id="25"/>
      <w:bookmarkEnd w:id="26"/>
      <w:r>
        <w:rPr/>
        <w:t>.</w:t>
      </w:r>
    </w:p>
    <w:p>
      <w:pPr>
        <w:pStyle w:val="TextBody"/>
        <w:rPr/>
      </w:pPr>
      <w:commentRangeStart w:id="1"/>
      <w:r>
        <w:rPr/>
        <w:t>The</w:t>
      </w:r>
      <w:commentRangeEnd w:id="1"/>
      <w:r>
        <w:rPr/>
      </w:r>
      <w:r>
        <w:rPr/>
        <w:commentReference w:id="1"/>
      </w:r>
      <w:r>
        <w:rPr/>
        <w:t xml:space="preserve"> neural basis of the global effect is assumed to be the superior colliculus, a brainstem region involved in saccade generation. The superior colliculus contains retinotopically organized motor maps, of which the neurons have large and overlapping receptive fields. As a consequence, activity stemming from two proximally presented visual stimuli combines into one central peak of activity. If this peak of activity subsequently triggers a saccade, the eyes land in between the two stimuli </w:t>
      </w:r>
      <w:bookmarkStart w:id="27" w:name="__UnoMark__39969_1431238061"/>
      <w:bookmarkStart w:id="28" w:name="__UnoMark__36624_1431238061"/>
      <w:bookmarkStart w:id="29" w:name="__UnoMark__30518_1431238061"/>
      <w:bookmarkStart w:id="30" w:name="__UnoMark__29043_1431238061"/>
      <w:bookmarkStart w:id="31" w:name="__UnoMark__26441_1431238061"/>
      <w:bookmarkStart w:id="32" w:name="__UnoMark__22746_1431238061"/>
      <w:bookmarkStart w:id="33" w:name="__UnoMark__13174_1431238061"/>
      <w:bookmarkStart w:id="34" w:name="__UnoMark__12070_1431238061"/>
      <w:bookmarkStart w:id="35" w:name="__UnoMark__11008_1431238061"/>
      <w:r>
        <w:rPr/>
        <w:t>(Findlay &amp; Walker, 1999; Van Opstal &amp; Van Gisbergen, 1989)</w:t>
      </w:r>
      <w:bookmarkEnd w:id="27"/>
      <w:bookmarkEnd w:id="28"/>
      <w:bookmarkEnd w:id="29"/>
      <w:bookmarkEnd w:id="30"/>
      <w:bookmarkEnd w:id="31"/>
      <w:bookmarkEnd w:id="32"/>
      <w:bookmarkEnd w:id="33"/>
      <w:bookmarkEnd w:id="34"/>
      <w:bookmarkEnd w:id="35"/>
      <w:r>
        <w:rPr/>
        <w:t xml:space="preserve">. It has been suggested that such saccadic averaging is the 'default mode' of the visual system </w:t>
      </w:r>
      <w:bookmarkStart w:id="36" w:name="__UnoMark__39970_1431238061"/>
      <w:bookmarkStart w:id="37" w:name="__UnoMark__36625_1431238061"/>
      <w:bookmarkStart w:id="38" w:name="__UnoMark__30519_1431238061"/>
      <w:bookmarkStart w:id="39" w:name="__UnoMark__29044_1431238061"/>
      <w:bookmarkStart w:id="40" w:name="__UnoMark__26442_1431238061"/>
      <w:bookmarkStart w:id="41" w:name="__UnoMark__22747_1431238061"/>
      <w:bookmarkStart w:id="42" w:name="__UnoMark__13175_1431238061"/>
      <w:bookmarkStart w:id="43" w:name="__UnoMark__12071_1431238061"/>
      <w:bookmarkStart w:id="44" w:name="__UnoMark__11009_1431238061"/>
      <w:r>
        <w:rPr/>
        <w:t>(Vitu, 2008)</w:t>
      </w:r>
      <w:bookmarkEnd w:id="36"/>
      <w:bookmarkEnd w:id="37"/>
      <w:bookmarkEnd w:id="38"/>
      <w:bookmarkEnd w:id="39"/>
      <w:bookmarkEnd w:id="40"/>
      <w:bookmarkEnd w:id="41"/>
      <w:bookmarkEnd w:id="42"/>
      <w:bookmarkEnd w:id="43"/>
      <w:bookmarkEnd w:id="44"/>
      <w:r>
        <w:rPr/>
        <w:t xml:space="preserve">, which can only be overcome if saccadic programming time is sufficiently long (such that competition between two stimuli is resolved in favor of one of them). In line with this idea, the global effect is particularly likely to occur for saccades that are executed very quickly. When latencies increase, saccades become more accurate and less susceptible to the global effect </w:t>
      </w:r>
      <w:bookmarkStart w:id="45" w:name="__UnoMark__40017_1431238061"/>
      <w:bookmarkStart w:id="46" w:name="__UnoMark__36671_1431238061"/>
      <w:bookmarkStart w:id="47" w:name="__UnoMark__30569_1431238061"/>
      <w:bookmarkStart w:id="48" w:name="__UnoMark__29094_1431238061"/>
      <w:bookmarkStart w:id="49" w:name="__UnoMark__26490_1431238061"/>
      <w:r>
        <w:rPr/>
        <w:t>(Coëffé &amp; O’Regan, 1987; Vitu, Lancelin, Jean, &amp; Farioli, 2006)</w:t>
      </w:r>
      <w:bookmarkStart w:id="50" w:name="__UnoMark__13228_1431238061"/>
      <w:bookmarkStart w:id="51" w:name="__UnoMark__11218_1431238061"/>
      <w:bookmarkEnd w:id="45"/>
      <w:bookmarkEnd w:id="46"/>
      <w:bookmarkEnd w:id="47"/>
      <w:bookmarkEnd w:id="48"/>
      <w:bookmarkEnd w:id="49"/>
      <w:bookmarkEnd w:id="50"/>
      <w:bookmarkEnd w:id="51"/>
      <w:r>
        <w:rPr/>
        <w:t>.</w:t>
      </w:r>
    </w:p>
    <w:p>
      <w:pPr>
        <w:pStyle w:val="TextBody"/>
        <w:rPr/>
      </w:pPr>
      <w:commentRangeStart w:id="2"/>
      <w:r>
        <w:rPr/>
        <w:t xml:space="preserve">If the global effect is indeed a universal phenomenon </w:t>
      </w:r>
      <w:bookmarkStart w:id="52" w:name="__UnoMark__39972_1431238061"/>
      <w:bookmarkStart w:id="53" w:name="__UnoMark__36627_1431238061"/>
      <w:bookmarkStart w:id="54" w:name="__UnoMark__30521_1431238061"/>
      <w:bookmarkStart w:id="55" w:name="__UnoMark__29046_1431238061"/>
      <w:bookmarkStart w:id="56" w:name="__UnoMark__26444_1431238061"/>
      <w:bookmarkStart w:id="57" w:name="__UnoMark__22749_1431238061"/>
      <w:bookmarkStart w:id="58" w:name="__UnoMark__13176_1431238061"/>
      <w:bookmarkStart w:id="59" w:name="__UnoMark__12072_1431238061"/>
      <w:bookmarkStart w:id="60" w:name="__UnoMark__11011_1431238061"/>
      <w:r>
        <w:rPr/>
        <w:t>(Vitu, 2008)</w:t>
      </w:r>
      <w:bookmarkEnd w:id="52"/>
      <w:bookmarkEnd w:id="53"/>
      <w:bookmarkEnd w:id="54"/>
      <w:bookmarkEnd w:id="55"/>
      <w:bookmarkEnd w:id="56"/>
      <w:bookmarkEnd w:id="57"/>
      <w:bookmarkEnd w:id="58"/>
      <w:bookmarkEnd w:id="59"/>
      <w:bookmarkEnd w:id="60"/>
      <w:r>
        <w:rPr/>
        <w:t xml:space="preserve">, its occurrence should not be limited to displays containing two simple stimuli. </w:t>
      </w:r>
      <w:commentRangeEnd w:id="2"/>
      <w:r>
        <w:rPr/>
      </w:r>
      <w:r>
        <w:rPr/>
        <w:commentReference w:id="2"/>
      </w:r>
      <w:r>
        <w:rPr/>
        <w:t xml:space="preserve">In agreement with this idea, several studies have shown that the CoG of a visual display even predicts where the eyes land during more natural behavior such as reading </w:t>
      </w:r>
      <w:bookmarkStart w:id="61" w:name="__UnoMark__39973_1431238061"/>
      <w:bookmarkStart w:id="62" w:name="__UnoMark__36628_1431238061"/>
      <w:bookmarkStart w:id="63" w:name="__UnoMark__30522_1431238061"/>
      <w:bookmarkStart w:id="64" w:name="__UnoMark__29047_1431238061"/>
      <w:bookmarkStart w:id="65" w:name="__UnoMark__26445_1431238061"/>
      <w:bookmarkStart w:id="66" w:name="__UnoMark__22750_1431238061"/>
      <w:bookmarkStart w:id="67" w:name="__UnoMark__13177_1431238061"/>
      <w:bookmarkStart w:id="68" w:name="__UnoMark__12073_1431238061"/>
      <w:bookmarkStart w:id="69" w:name="__UnoMark__11012_1431238061"/>
      <w:r>
        <w:rPr/>
        <w:t>(Vitu, 1991)</w:t>
      </w:r>
      <w:bookmarkEnd w:id="61"/>
      <w:bookmarkEnd w:id="62"/>
      <w:bookmarkEnd w:id="63"/>
      <w:bookmarkEnd w:id="64"/>
      <w:bookmarkEnd w:id="65"/>
      <w:bookmarkEnd w:id="66"/>
      <w:bookmarkEnd w:id="67"/>
      <w:bookmarkEnd w:id="68"/>
      <w:bookmarkEnd w:id="69"/>
      <w:r>
        <w:rPr/>
        <w:t xml:space="preserve">, visual search </w:t>
      </w:r>
      <w:bookmarkStart w:id="70" w:name="__UnoMark__39974_1431238061"/>
      <w:bookmarkStart w:id="71" w:name="__UnoMark__36629_1431238061"/>
      <w:bookmarkStart w:id="72" w:name="__UnoMark__30523_1431238061"/>
      <w:bookmarkStart w:id="73" w:name="__UnoMark__29048_1431238061"/>
      <w:bookmarkStart w:id="74" w:name="__UnoMark__26446_1431238061"/>
      <w:bookmarkStart w:id="75" w:name="__UnoMark__22751_1431238061"/>
      <w:bookmarkStart w:id="76" w:name="__UnoMark__13178_1431238061"/>
      <w:bookmarkStart w:id="77" w:name="__UnoMark__12074_1431238061"/>
      <w:bookmarkStart w:id="78" w:name="__UnoMark__11013_1431238061"/>
      <w:r>
        <w:rPr/>
        <w:t>(Zelinsky, 2008; Zelinsky, Rao, Hayhoe, &amp; Ballard, 1997)</w:t>
      </w:r>
      <w:bookmarkEnd w:id="70"/>
      <w:bookmarkEnd w:id="71"/>
      <w:bookmarkEnd w:id="72"/>
      <w:bookmarkEnd w:id="73"/>
      <w:bookmarkEnd w:id="74"/>
      <w:bookmarkEnd w:id="75"/>
      <w:bookmarkEnd w:id="76"/>
      <w:bookmarkEnd w:id="77"/>
      <w:bookmarkEnd w:id="78"/>
      <w:r>
        <w:rPr/>
        <w:t xml:space="preserve">, and scene viewing </w:t>
      </w:r>
      <w:bookmarkStart w:id="79" w:name="__UnoMark__39975_1431238061"/>
      <w:bookmarkStart w:id="80" w:name="__UnoMark__36630_1431238061"/>
      <w:bookmarkStart w:id="81" w:name="__UnoMark__30524_1431238061"/>
      <w:bookmarkStart w:id="82" w:name="__UnoMark__29049_1431238061"/>
      <w:bookmarkStart w:id="83" w:name="__UnoMark__26447_1431238061"/>
      <w:bookmarkStart w:id="84" w:name="__UnoMark__22752_1431238061"/>
      <w:bookmarkStart w:id="85" w:name="__UnoMark__13179_1431238061"/>
      <w:bookmarkStart w:id="86" w:name="__UnoMark__12075_1431238061"/>
      <w:bookmarkStart w:id="87" w:name="__UnoMark__11014_1431238061"/>
      <w:r>
        <w:rPr/>
        <w:t>(Findlay &amp; Brown, 2006; Melcher &amp; Kowler, 2001)</w:t>
      </w:r>
      <w:bookmarkEnd w:id="79"/>
      <w:bookmarkEnd w:id="80"/>
      <w:bookmarkEnd w:id="81"/>
      <w:bookmarkEnd w:id="82"/>
      <w:bookmarkEnd w:id="83"/>
      <w:bookmarkEnd w:id="84"/>
      <w:bookmarkEnd w:id="85"/>
      <w:bookmarkEnd w:id="86"/>
      <w:bookmarkEnd w:id="87"/>
      <w:r>
        <w:rPr/>
        <w:t>. However, of most interest for the current study is whether the eyes are also drawn towards a display's CoG, when the display only contains a single</w:t>
      </w:r>
      <w:r>
        <w:rPr>
          <w:i/>
          <w:iCs/>
        </w:rPr>
        <w:t xml:space="preserve"> </w:t>
      </w:r>
      <w:r>
        <w:rPr/>
        <w:t xml:space="preserve">stimulus. (Note that here the CoG account predicts an on-stimulus landing position instead of an in-between-stimuli landing position). Several studies demonstrated that this is indeed the case: When participants were asked to move their eyes towards a line drawing of a simple shape, their eyes landed at the stimulus' CoG </w:t>
      </w:r>
      <w:bookmarkStart w:id="88" w:name="__UnoMark__39976_1431238061"/>
      <w:bookmarkStart w:id="89" w:name="__UnoMark__36631_1431238061"/>
      <w:bookmarkStart w:id="90" w:name="__UnoMark__30525_1431238061"/>
      <w:bookmarkStart w:id="91" w:name="__UnoMark__29050_1431238061"/>
      <w:bookmarkStart w:id="92" w:name="__UnoMark__26448_1431238061"/>
      <w:bookmarkStart w:id="93" w:name="__UnoMark__22753_1431238061"/>
      <w:bookmarkStart w:id="94" w:name="__UnoMark__13180_1431238061"/>
      <w:bookmarkStart w:id="95" w:name="__UnoMark__12076_1431238061"/>
      <w:bookmarkStart w:id="96" w:name="__UnoMark__11015_1431238061"/>
      <w:r>
        <w:rPr/>
        <w:t>(He &amp; Kowler, 1991; Kaufman &amp; Richards, 1969; Kowler &amp; Blaser, 1995; Richards &amp; Kaufman, 1969)</w:t>
      </w:r>
      <w:bookmarkEnd w:id="88"/>
      <w:bookmarkEnd w:id="89"/>
      <w:bookmarkEnd w:id="90"/>
      <w:bookmarkEnd w:id="91"/>
      <w:bookmarkEnd w:id="92"/>
      <w:bookmarkEnd w:id="93"/>
      <w:bookmarkEnd w:id="94"/>
      <w:bookmarkEnd w:id="95"/>
      <w:bookmarkEnd w:id="96"/>
      <w:r>
        <w:rPr/>
        <w:t>. Strikingly, however, to the best of our knowledge it has never been investigated whether the same is true for eye movements that are made towards isolated daily-life objects rather than simple shapes.</w:t>
      </w:r>
    </w:p>
    <w:p>
      <w:pPr>
        <w:pStyle w:val="TextBody"/>
        <w:rPr/>
      </w:pPr>
      <w:r>
        <w:rPr/>
        <w:t xml:space="preserve">Although not to test the CoG hypothesis, some researchers did measure initial landing positions on isolated daily-life objects. Firstly, Henderson </w:t>
      </w:r>
      <w:bookmarkStart w:id="97" w:name="__UnoMark__39977_1431238061"/>
      <w:bookmarkStart w:id="98" w:name="__UnoMark__36632_1431238061"/>
      <w:bookmarkStart w:id="99" w:name="__UnoMark__30526_1431238061"/>
      <w:bookmarkStart w:id="100" w:name="__UnoMark__29051_1431238061"/>
      <w:bookmarkStart w:id="101" w:name="__UnoMark__26449_1431238061"/>
      <w:bookmarkStart w:id="102" w:name="__UnoMark__22722_1431238061"/>
      <w:bookmarkStart w:id="103" w:name="__UnoMark__13181_1431238061"/>
      <w:bookmarkStart w:id="104" w:name="__UnoMark__12077_1431238061"/>
      <w:bookmarkStart w:id="105" w:name="__UnoMark__11016_1431238061"/>
      <w:r>
        <w:rPr/>
        <w:t>(1993)</w:t>
      </w:r>
      <w:bookmarkEnd w:id="97"/>
      <w:bookmarkEnd w:id="98"/>
      <w:bookmarkEnd w:id="99"/>
      <w:bookmarkEnd w:id="100"/>
      <w:bookmarkEnd w:id="101"/>
      <w:bookmarkEnd w:id="102"/>
      <w:bookmarkEnd w:id="103"/>
      <w:bookmarkEnd w:id="104"/>
      <w:bookmarkEnd w:id="105"/>
      <w:r>
        <w:rPr/>
        <w:t xml:space="preserve"> provided participants with arrays of line drawings of objects and found that landing positions were clustered around the centers of the objects. The fact that eye movements tend to land at the center of objects was later confirmed by studies using arrays of photographs of real objects </w:t>
      </w:r>
      <w:bookmarkStart w:id="106" w:name="__UnoMark__39978_1431238061"/>
      <w:bookmarkStart w:id="107" w:name="__UnoMark__36633_1431238061"/>
      <w:bookmarkStart w:id="108" w:name="__UnoMark__30527_1431238061"/>
      <w:bookmarkStart w:id="109" w:name="__UnoMark__29052_1431238061"/>
      <w:bookmarkStart w:id="110" w:name="__UnoMark__26450_1431238061"/>
      <w:bookmarkStart w:id="111" w:name="__UnoMark__22724_1431238061"/>
      <w:bookmarkStart w:id="112" w:name="__UnoMark__13182_1431238061"/>
      <w:bookmarkStart w:id="113" w:name="__UnoMark__12078_1431238061"/>
      <w:bookmarkStart w:id="114" w:name="__UnoMark__11017_1431238061"/>
      <w:r>
        <w:rPr/>
        <w:t>(instead of line drawings, Foulsham &amp; Underwood, 2009)</w:t>
      </w:r>
      <w:bookmarkEnd w:id="106"/>
      <w:bookmarkEnd w:id="107"/>
      <w:bookmarkEnd w:id="108"/>
      <w:bookmarkEnd w:id="109"/>
      <w:bookmarkEnd w:id="110"/>
      <w:bookmarkEnd w:id="111"/>
      <w:bookmarkEnd w:id="112"/>
      <w:bookmarkEnd w:id="113"/>
      <w:bookmarkEnd w:id="114"/>
      <w:r>
        <w:rPr/>
        <w:t xml:space="preserve">, and even for studies using complex natural scenes with objects embedded in them </w:t>
      </w:r>
      <w:bookmarkStart w:id="115" w:name="__UnoMark__39979_1431238061"/>
      <w:bookmarkStart w:id="116" w:name="__UnoMark__36634_1431238061"/>
      <w:bookmarkStart w:id="117" w:name="__UnoMark__30528_1431238061"/>
      <w:bookmarkStart w:id="118" w:name="__UnoMark__29053_1431238061"/>
      <w:bookmarkStart w:id="119" w:name="__UnoMark__26451_1431238061"/>
      <w:bookmarkStart w:id="120" w:name="__UnoMark__22725_1431238061"/>
      <w:bookmarkStart w:id="121" w:name="__UnoMark__13183_1431238061"/>
      <w:bookmarkStart w:id="122" w:name="__UnoMark__12079_1431238061"/>
      <w:bookmarkStart w:id="123" w:name="__UnoMark__11018_1431238061"/>
      <w:r>
        <w:rPr/>
        <w:t>(Foulsham &amp; Kingstone, 2013; Nuthmann &amp; Henderson, 2010)</w:t>
      </w:r>
      <w:bookmarkEnd w:id="115"/>
      <w:bookmarkEnd w:id="116"/>
      <w:bookmarkEnd w:id="117"/>
      <w:bookmarkEnd w:id="118"/>
      <w:bookmarkEnd w:id="119"/>
      <w:bookmarkEnd w:id="120"/>
      <w:bookmarkEnd w:id="121"/>
      <w:bookmarkEnd w:id="122"/>
      <w:bookmarkEnd w:id="123"/>
      <w:r>
        <w:rPr/>
        <w:t xml:space="preserve">. </w:t>
      </w:r>
    </w:p>
    <w:p>
      <w:pPr>
        <w:pStyle w:val="TextBody"/>
        <w:rPr/>
      </w:pPr>
      <w:r>
        <w:rPr/>
        <w:t xml:space="preserve">These central, on-stimulus landing positions are generally explained as a strategy, which observers voluntarily employ in order to fixate on a stimulus' optimal viewing position </w:t>
      </w:r>
      <w:bookmarkStart w:id="124" w:name="__UnoMark__40016_1431238061"/>
      <w:bookmarkStart w:id="125" w:name="__UnoMark__36670_1431238061"/>
      <w:bookmarkStart w:id="126" w:name="__UnoMark__35035_1431238061"/>
      <w:bookmarkStart w:id="127" w:name="__UnoMark__30529_1431238061"/>
      <w:bookmarkStart w:id="128" w:name="__UnoMark__29054_1431238061"/>
      <w:bookmarkStart w:id="129" w:name="__UnoMark__26452_1431238061"/>
      <w:bookmarkStart w:id="130" w:name="__UnoMark__22723_1431238061"/>
      <w:bookmarkStart w:id="131" w:name="__UnoMark__13184_1431238061"/>
      <w:bookmarkStart w:id="132" w:name="__UnoMark__12080_1431238061"/>
      <w:bookmarkStart w:id="133" w:name="__UnoMark__11019_1431238061"/>
      <w:r>
        <w:rPr/>
        <w:t>(i.e. the location that allows for the most rapid identification, see e.g. McConkie, Kerr, Reddix, &amp; Zola, 1988)</w:t>
      </w:r>
      <w:bookmarkEnd w:id="124"/>
      <w:bookmarkEnd w:id="125"/>
      <w:bookmarkEnd w:id="126"/>
      <w:bookmarkEnd w:id="127"/>
      <w:bookmarkEnd w:id="128"/>
      <w:bookmarkEnd w:id="129"/>
      <w:bookmarkEnd w:id="130"/>
      <w:bookmarkEnd w:id="131"/>
      <w:bookmarkEnd w:id="132"/>
      <w:bookmarkEnd w:id="133"/>
      <w:r>
        <w:rPr/>
        <w:t xml:space="preserve">. However, we believe that an alternative explanation cannot be ruled out. Possibly, the tendency to fixate the center of (isolated) objects is simply caused by saccadic averaging in the superior colliculus, such that the eyes are automatically drawn towards the CoG of the visual display (which happens to be the center of the objects). </w:t>
      </w:r>
      <w:commentRangeStart w:id="3"/>
      <w:r>
        <w:rPr/>
        <w:t xml:space="preserve">The current study is not set up to distinguish between these two possibilities, although we briefly speculate about it in the General Discussion. </w:t>
      </w:r>
      <w:commentRangeEnd w:id="3"/>
      <w:r>
        <w:rPr/>
      </w:r>
      <w:r>
        <w:rPr/>
        <w:commentReference w:id="3"/>
      </w:r>
      <w:r>
        <w:rPr/>
        <w:t>For now, we prefer to simply use the empirical results from previous studies in order to formulate hypotheses for our current study: The CoG hypothesis predicts that the eyes are drawn towards an object's weighted center. This weighted</w:t>
      </w:r>
      <w:r>
        <w:rPr>
          <w:i/>
          <w:iCs/>
        </w:rPr>
        <w:t xml:space="preserve"> </w:t>
      </w:r>
      <w:r>
        <w:rPr/>
        <w:t>center can be in the middle of the object (if the object is symmetrical), but does not necessarily have to be. For example, in the case of a spoon, the CoG hypothesis predicts that the eyes would land slightly towards the 'heavy' scoop, but no more than would be expected based on the stimulus' low-level properties.</w:t>
      </w:r>
    </w:p>
    <w:p>
      <w:pPr>
        <w:pStyle w:val="Heading2"/>
        <w:numPr>
          <w:ilvl w:val="1"/>
          <w:numId w:val="1"/>
        </w:numPr>
        <w:rPr/>
      </w:pPr>
      <w:r>
        <w:rPr/>
        <w:t>Current study</w:t>
      </w:r>
    </w:p>
    <w:p>
      <w:pPr>
        <w:pStyle w:val="TextBody"/>
        <w:rPr/>
      </w:pPr>
      <w:r>
        <w:rPr/>
        <w:t xml:space="preserve">Previous studies on the effect of visuomotor priming have yielded equivocal results when it comes to the distribution of visual attention within graspable daily-life objects. Where cueing paradigms demonstrated an attentional shift away from the handle </w:t>
      </w:r>
      <w:bookmarkStart w:id="134" w:name="__UnoMark__39980_1431238061"/>
      <w:bookmarkStart w:id="135" w:name="__UnoMark__36635_1431238061"/>
      <w:bookmarkStart w:id="136" w:name="__UnoMark__30530_1431238061"/>
      <w:bookmarkStart w:id="137" w:name="__UnoMark__29055_1431238061"/>
      <w:bookmarkStart w:id="138" w:name="__UnoMark__26453_1431238061"/>
      <w:bookmarkStart w:id="139" w:name="__UnoMark__22754_1431238061"/>
      <w:bookmarkStart w:id="140" w:name="__UnoMark__13185_1431238061"/>
      <w:bookmarkStart w:id="141" w:name="__UnoMark__12081_1431238061"/>
      <w:bookmarkStart w:id="142" w:name="__UnoMark__11020_1431238061"/>
      <w:r>
        <w:rPr/>
        <w:t>(Roberts &amp; Humphreys, 2006)</w:t>
      </w:r>
      <w:bookmarkEnd w:id="134"/>
      <w:bookmarkEnd w:id="135"/>
      <w:bookmarkEnd w:id="136"/>
      <w:bookmarkEnd w:id="137"/>
      <w:bookmarkEnd w:id="138"/>
      <w:bookmarkEnd w:id="139"/>
      <w:bookmarkEnd w:id="140"/>
      <w:bookmarkEnd w:id="141"/>
      <w:bookmarkEnd w:id="142"/>
      <w:r>
        <w:rPr/>
        <w:t xml:space="preserve">, or no attentional shift at all </w:t>
      </w:r>
      <w:bookmarkStart w:id="143" w:name="__UnoMark__39981_1431238061"/>
      <w:bookmarkStart w:id="144" w:name="__UnoMark__36636_1431238061"/>
      <w:bookmarkStart w:id="145" w:name="__UnoMark__30531_1431238061"/>
      <w:bookmarkStart w:id="146" w:name="__UnoMark__29056_1431238061"/>
      <w:bookmarkStart w:id="147" w:name="__UnoMark__26454_1431238061"/>
      <w:bookmarkStart w:id="148" w:name="__UnoMark__22755_1431238061"/>
      <w:bookmarkStart w:id="149" w:name="__UnoMark__13186_1431238061"/>
      <w:bookmarkStart w:id="150" w:name="__UnoMark__12082_1431238061"/>
      <w:bookmarkStart w:id="151" w:name="__UnoMark__11021_1431238061"/>
      <w:r>
        <w:rPr/>
        <w:t>(Vainio et al., 2007)</w:t>
      </w:r>
      <w:bookmarkEnd w:id="143"/>
      <w:bookmarkEnd w:id="144"/>
      <w:bookmarkEnd w:id="145"/>
      <w:bookmarkEnd w:id="146"/>
      <w:bookmarkEnd w:id="147"/>
      <w:bookmarkEnd w:id="148"/>
      <w:bookmarkEnd w:id="149"/>
      <w:bookmarkEnd w:id="150"/>
      <w:bookmarkEnd w:id="151"/>
      <w:r>
        <w:rPr/>
        <w:t xml:space="preserve">, Myachykov and colleagues </w:t>
      </w:r>
      <w:bookmarkStart w:id="152" w:name="__UnoMark__39982_1431238061"/>
      <w:bookmarkStart w:id="153" w:name="__UnoMark__36637_1431238061"/>
      <w:bookmarkStart w:id="154" w:name="__UnoMark__30532_1431238061"/>
      <w:bookmarkStart w:id="155" w:name="__UnoMark__29057_1431238061"/>
      <w:bookmarkStart w:id="156" w:name="__UnoMark__26455_1431238061"/>
      <w:bookmarkStart w:id="157" w:name="__UnoMark__22756_1431238061"/>
      <w:bookmarkStart w:id="158" w:name="__UnoMark__13187_1431238061"/>
      <w:bookmarkStart w:id="159" w:name="__UnoMark__12083_1431238061"/>
      <w:bookmarkStart w:id="160" w:name="__UnoMark__11022_1431238061"/>
      <w:r>
        <w:rPr/>
        <w:t>(2013)</w:t>
      </w:r>
      <w:bookmarkEnd w:id="152"/>
      <w:bookmarkEnd w:id="153"/>
      <w:bookmarkEnd w:id="154"/>
      <w:bookmarkEnd w:id="155"/>
      <w:bookmarkEnd w:id="156"/>
      <w:bookmarkEnd w:id="157"/>
      <w:bookmarkEnd w:id="158"/>
      <w:bookmarkEnd w:id="159"/>
      <w:bookmarkEnd w:id="160"/>
      <w:r>
        <w:rPr/>
        <w:t xml:space="preserve"> found a bias towards the handle. Importantly, to our knowledge, none of these studies have taken the low-level properties (notably, the CoG) of the stimuli into account. This is crucial, because if the eyes are indeed drawn towards the CoG of a visual display </w:t>
      </w:r>
      <w:bookmarkStart w:id="161" w:name="__UnoMark__39983_1431238061"/>
      <w:bookmarkStart w:id="162" w:name="__UnoMark__36638_1431238061"/>
      <w:bookmarkStart w:id="163" w:name="__UnoMark__30533_1431238061"/>
      <w:bookmarkStart w:id="164" w:name="__UnoMark__29058_1431238061"/>
      <w:bookmarkStart w:id="165" w:name="__UnoMark__26456_1431238061"/>
      <w:bookmarkStart w:id="166" w:name="__UnoMark__22757_1431238061"/>
      <w:bookmarkStart w:id="167" w:name="__UnoMark__13188_1431238061"/>
      <w:bookmarkStart w:id="168" w:name="__UnoMark__12084_1431238061"/>
      <w:bookmarkStart w:id="169" w:name="__UnoMark__11023_1431238061"/>
      <w:r>
        <w:rPr/>
        <w:t>(e.g. Findlay, 1982; Vitu, 2008; Zelinsky et al., 1997)</w:t>
      </w:r>
      <w:bookmarkEnd w:id="161"/>
      <w:bookmarkEnd w:id="162"/>
      <w:bookmarkEnd w:id="163"/>
      <w:bookmarkEnd w:id="164"/>
      <w:bookmarkEnd w:id="165"/>
      <w:bookmarkEnd w:id="166"/>
      <w:bookmarkEnd w:id="167"/>
      <w:bookmarkEnd w:id="168"/>
      <w:bookmarkEnd w:id="169"/>
      <w:r>
        <w:rPr/>
        <w:t xml:space="preserve">, </w:t>
      </w:r>
      <w:commentRangeStart w:id="4"/>
      <w:r>
        <w:rPr/>
        <w:t xml:space="preserve">the attentional shift towards the action-direction side observed by Roberts &amp; Humphreys </w:t>
      </w:r>
      <w:bookmarkStart w:id="170" w:name="__UnoMark__39984_1431238061"/>
      <w:bookmarkStart w:id="171" w:name="__UnoMark__36639_1431238061"/>
      <w:bookmarkStart w:id="172" w:name="__UnoMark__36559_1431238061"/>
      <w:bookmarkStart w:id="173" w:name="__UnoMark__36558_1431238061"/>
      <w:bookmarkStart w:id="174" w:name="__UnoMark__36557_1431238061"/>
      <w:bookmarkStart w:id="175" w:name="__UnoMark__36556_1431238061"/>
      <w:bookmarkStart w:id="176" w:name="__UnoMark__36555_1431238061"/>
      <w:bookmarkStart w:id="177" w:name="__UnoMark__36554_1431238061"/>
      <w:bookmarkStart w:id="178" w:name="__UnoMark__36553_1431238061"/>
      <w:bookmarkStart w:id="179" w:name="__UnoMark__36552_1431238061"/>
      <w:r>
        <w:rPr/>
        <w:t>(2006)</w:t>
      </w:r>
      <w:bookmarkEnd w:id="170"/>
      <w:bookmarkEnd w:id="171"/>
      <w:bookmarkEnd w:id="172"/>
      <w:bookmarkEnd w:id="173"/>
      <w:bookmarkEnd w:id="174"/>
      <w:bookmarkEnd w:id="175"/>
      <w:bookmarkEnd w:id="176"/>
      <w:bookmarkEnd w:id="177"/>
      <w:bookmarkEnd w:id="178"/>
      <w:bookmarkEnd w:id="179"/>
      <w:r>
        <w:rPr/>
        <w:t xml:space="preserve"> may simply be explained by the fact that, on average, their stimuli contained more pixels on the action-direction side; or vice versa for the bias towards the handle observed by Myachykov and colleagues </w:t>
      </w:r>
      <w:bookmarkStart w:id="180" w:name="__UnoMark__39985_1431238061"/>
      <w:bookmarkStart w:id="181" w:name="__UnoMark__36640_1431238061"/>
      <w:bookmarkStart w:id="182" w:name="__UnoMark__30535_1431238061"/>
      <w:bookmarkStart w:id="183" w:name="__UnoMark__29060_1431238061"/>
      <w:bookmarkStart w:id="184" w:name="__UnoMark__26458_1431238061"/>
      <w:bookmarkStart w:id="185" w:name="__UnoMark__22759_1431238061"/>
      <w:bookmarkStart w:id="186" w:name="__UnoMark__13190_1431238061"/>
      <w:bookmarkStart w:id="187" w:name="__UnoMark__12086_1431238061"/>
      <w:bookmarkStart w:id="188" w:name="__UnoMark__11025_1431238061"/>
      <w:r>
        <w:rPr/>
        <w:t>(2013)</w:t>
      </w:r>
      <w:bookmarkEnd w:id="180"/>
      <w:bookmarkEnd w:id="181"/>
      <w:bookmarkEnd w:id="182"/>
      <w:bookmarkEnd w:id="183"/>
      <w:bookmarkEnd w:id="184"/>
      <w:bookmarkEnd w:id="185"/>
      <w:bookmarkEnd w:id="186"/>
      <w:bookmarkEnd w:id="187"/>
      <w:bookmarkEnd w:id="188"/>
      <w:r>
        <w:rPr/>
        <w:t>.</w:t>
      </w:r>
      <w:commentRangeEnd w:id="4"/>
      <w:r>
        <w:rPr/>
      </w:r>
      <w:r>
        <w:rPr/>
        <w:commentReference w:id="4"/>
      </w:r>
    </w:p>
    <w:p>
      <w:pPr>
        <w:pStyle w:val="TextBody"/>
        <w:rPr/>
      </w:pPr>
      <w:commentRangeStart w:id="5"/>
      <w:r>
        <w:rPr/>
        <w:t xml:space="preserve">The purpose of the current study was to investigate the handle-affordance, the action-direction, and the CoG hypothesis simultaneously. </w:t>
      </w:r>
      <w:commentRangeEnd w:id="5"/>
      <w:r>
        <w:rPr/>
      </w:r>
      <w:r>
        <w:rPr/>
        <w:commentReference w:id="5"/>
      </w:r>
      <w:r>
        <w:rPr/>
        <w:t>To this end, we recorded eye movements of participants who were viewing simple visual displays containing one isolated graspable object. The object was initially presented in peripheral vision, such that participants' initial saccade brought the object into foveal vision. Before giving a response, participants typically also made one or more refixations within the boundaries of the object. We analyzed the landing positions of both the initial saccades and the refixations, in order to examine whether they were biased to the objects' CoG, the objects' handle, or the objects' action-direction side.</w:t>
      </w:r>
    </w:p>
    <w:p>
      <w:pPr>
        <w:pStyle w:val="Heading1"/>
        <w:numPr>
          <w:ilvl w:val="0"/>
          <w:numId w:val="1"/>
        </w:numPr>
        <w:rPr/>
      </w:pPr>
      <w:r>
        <w:rPr/>
      </w:r>
    </w:p>
    <w:p>
      <w:pPr>
        <w:pStyle w:val="Heading3"/>
        <w:numPr>
          <w:ilvl w:val="2"/>
          <w:numId w:val="1"/>
        </w:numPr>
        <w:rPr/>
      </w:pPr>
      <w:r>
        <w:rPr/>
      </w:r>
    </w:p>
    <w:p>
      <w:pPr>
        <w:pStyle w:val="TextBody"/>
        <w:rPr/>
      </w:pPr>
      <w:r>
        <w:rPr/>
      </w:r>
      <w:r>
        <w:fldChar w:fldCharType="end"/>
      </w:r>
    </w:p>
    <w:p>
      <w:pPr>
        <w:pStyle w:val="Heading1"/>
        <w:numPr>
          <w:ilvl w:val="0"/>
          <w:numId w:val="1"/>
        </w:numPr>
        <w:rPr/>
      </w:pPr>
      <w:r>
        <w:rPr/>
      </w:r>
    </w:p>
    <w:p>
      <w:pPr>
        <w:pStyle w:val="TextBody"/>
        <w:pageBreakBefore/>
        <w:ind w:left="0" w:right="0" w:hanging="0"/>
        <w:rPr/>
      </w:pPr>
      <w:r>
        <w:rPr/>
      </w:r>
    </w:p>
    <w:p>
      <w:pPr>
        <w:pStyle w:val="Heading1"/>
        <w:pageBreakBefore/>
        <w:numPr>
          <w:ilvl w:val="0"/>
          <w:numId w:val="1"/>
        </w:numPr>
        <w:spacing w:before="240" w:after="120"/>
        <w:rPr/>
      </w:pPr>
      <w:r>
        <w:rPr/>
      </w:r>
    </w:p>
    <w:sectPr>
      <w:footerReference w:type="default" r:id="rId2"/>
      <w:type w:val="nextPage"/>
      <w:pgSz w:w="11906" w:h="16838"/>
      <w:pgMar w:left="1440" w:right="1440" w:header="0" w:top="1440" w:footer="1440" w:bottom="1999"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francoise" w:date="2014-02-25T09:33:00Z" w:initials="FV">
    <w:p>
      <w:r>
        <w:rPr/>
        <w:t>I would reduce that part on two stimuli, and would start with the finding of a PVL in objects, then data on the eyes going to the CoG of isolated objects, then linking it quickly to the global effect with two stimuli</w:t>
      </w:r>
    </w:p>
  </w:comment>
  <w:comment w:id="1" w:author="francoise" w:date="2014-02-25T09:35:00Z" w:initials="FV">
    <w:p>
      <w:r>
        <w:rPr/>
        <w:t>I wonder if it wouldn't be wiser to shorten this in the intro and detail it as you did here but in the discussion.</w:t>
      </w:r>
    </w:p>
  </w:comment>
  <w:comment w:id="2" w:author="francoise" w:date="2014-02-25T09:33:00Z" w:initials="FV">
    <w:p>
      <w:r>
        <w:rPr/>
        <w:t>But we know that already...</w:t>
      </w:r>
    </w:p>
  </w:comment>
  <w:comment w:id="3" w:author="francoise" w:date="2014-02-25T09:37:00Z" w:initials="FV">
    <w:p>
      <w:r>
        <w:rPr/>
        <w:t>I would remove that.</w:t>
      </w:r>
    </w:p>
  </w:comment>
  <w:comment w:id="4" w:author="francoise" w:date="2014-02-25T09:39:00Z" w:initials="FV">
    <w:p>
      <w:r>
        <w:rPr/>
        <w:t>This could be said earlier in the part on the CoG, it would be a very nice way to introduce your study... and would avoid redundancy</w:t>
      </w:r>
    </w:p>
  </w:comment>
  <w:comment w:id="5" w:author="francoise" w:date="2014-02-25T09:39:00Z" w:initials="FV">
    <w:p>
      <w:r>
        <w:rPr/>
        <w:t>May need to be rephrased a bit.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Tahoma">
    <w:charset w:val="01"/>
    <w:family w:val="roman"/>
    <w:pitch w:val="variable"/>
  </w:font>
  <w:font w:name="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7</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Times New Roman" w:hAnsi="Times New Roman" w:eastAsia="DejaVu Sans" w:cs="Lohit Hindi"/>
        <w:sz w:val="24"/>
        <w:szCs w:val="24"/>
        <w:lang w:val="en-US" w:eastAsia="fr-FR"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f20aab"/>
    <w:pPr>
      <w:widowControl w:val="false"/>
      <w:suppressAutoHyphens w:val="true"/>
      <w:bidi w:val="0"/>
      <w:jc w:val="left"/>
    </w:pPr>
    <w:rPr>
      <w:rFonts w:ascii="Times New Roman" w:hAnsi="Times New Roman" w:eastAsia="DejaVu Sans" w:cs="Lohit Hindi"/>
      <w:color w:val="00000A"/>
      <w:sz w:val="24"/>
      <w:szCs w:val="24"/>
      <w:lang w:val="en-US" w:eastAsia="fr-FR" w:bidi="ar-SA"/>
    </w:rPr>
  </w:style>
  <w:style w:type="paragraph" w:styleId="Heading1" w:customStyle="1">
    <w:name w:val="Heading 1"/>
    <w:rsid w:val="00f20aab"/>
    <w:basedOn w:val="Heading"/>
    <w:pPr>
      <w:spacing w:lineRule="auto" w:line="480"/>
      <w:jc w:val="center"/>
      <w:outlineLvl w:val="0"/>
    </w:pPr>
    <w:rPr>
      <w:rFonts w:ascii="Times New Roman" w:hAnsi="Times New Roman"/>
      <w:bCs/>
      <w:sz w:val="24"/>
      <w:szCs w:val="32"/>
    </w:rPr>
  </w:style>
  <w:style w:type="paragraph" w:styleId="Heading2" w:customStyle="1">
    <w:name w:val="Heading 2"/>
    <w:rsid w:val="00f20aab"/>
    <w:basedOn w:val="Heading"/>
    <w:pPr>
      <w:spacing w:lineRule="auto" w:line="480"/>
      <w:jc w:val="center"/>
      <w:outlineLvl w:val="1"/>
    </w:pPr>
    <w:rPr>
      <w:rFonts w:ascii="Times New Roman" w:hAnsi="Times New Roman"/>
      <w:bCs/>
      <w:i/>
      <w:iCs/>
      <w:sz w:val="24"/>
    </w:rPr>
  </w:style>
  <w:style w:type="paragraph" w:styleId="Heading3" w:customStyle="1">
    <w:name w:val="Heading 3"/>
    <w:rsid w:val="00f20aab"/>
    <w:basedOn w:val="Heading"/>
    <w:pPr>
      <w:spacing w:lineRule="auto" w:line="480"/>
      <w:outlineLvl w:val="2"/>
    </w:pPr>
    <w:rPr>
      <w:rFonts w:ascii="Times New Roman" w:hAnsi="Times New Roman"/>
      <w:bCs/>
      <w:i/>
      <w:sz w:val="24"/>
    </w:rPr>
  </w:style>
  <w:style w:type="paragraph" w:styleId="Heading4" w:customStyle="1">
    <w:name w:val="Heading 4"/>
    <w:rsid w:val="00f20aab"/>
    <w:basedOn w:val="Heading"/>
    <w:pPr>
      <w:spacing w:lineRule="auto" w:line="480" w:before="120" w:after="120"/>
      <w:outlineLvl w:val="3"/>
    </w:pPr>
    <w:rPr>
      <w:rFonts w:ascii="Times New Roman" w:hAnsi="Times New Roman"/>
      <w:b/>
      <w:bCs/>
      <w:iCs/>
      <w:color w:val="000000"/>
      <w:sz w:val="24"/>
      <w:szCs w:val="27"/>
    </w:rPr>
  </w:style>
  <w:style w:type="character" w:styleId="DefaultParagraphFont" w:default="1">
    <w:name w:val="Default Paragraph Font"/>
    <w:uiPriority w:val="1"/>
    <w:semiHidden/>
    <w:unhideWhenUsed/>
    <w:rPr/>
  </w:style>
  <w:style w:type="character" w:styleId="InternetLink" w:customStyle="1">
    <w:name w:val="Internet Link"/>
    <w:rsid w:val="00f20aab"/>
    <w:rPr>
      <w:color w:val="000080"/>
      <w:u w:val="single"/>
      <w:lang w:val="zxx" w:eastAsia="zxx" w:bidi="zxx"/>
    </w:rPr>
  </w:style>
  <w:style w:type="character" w:styleId="FootnoteCharacters" w:customStyle="1">
    <w:name w:val="Footnote Characters"/>
    <w:rsid w:val="00f20aab"/>
    <w:rPr/>
  </w:style>
  <w:style w:type="character" w:styleId="FootnoteAnchor" w:customStyle="1">
    <w:name w:val="Footnote Anchor"/>
    <w:rsid w:val="00f20aab"/>
    <w:rPr>
      <w:vertAlign w:val="superscript"/>
    </w:rPr>
  </w:style>
  <w:style w:type="character" w:styleId="Bullets" w:customStyle="1">
    <w:name w:val="Bullets"/>
    <w:rsid w:val="00f20aab"/>
    <w:rPr>
      <w:rFonts w:ascii="OpenSymbol" w:hAnsi="OpenSymbol" w:eastAsia="OpenSymbol" w:cs="OpenSymbol"/>
    </w:rPr>
  </w:style>
  <w:style w:type="character" w:styleId="NumberingSymbols" w:customStyle="1">
    <w:name w:val="Numbering Symbols"/>
    <w:rsid w:val="00f20aab"/>
    <w:rPr/>
  </w:style>
  <w:style w:type="character" w:styleId="Annotationreference">
    <w:name w:val="annotation reference"/>
    <w:rsid w:val="00f20aab"/>
    <w:basedOn w:val="DefaultParagraphFont"/>
    <w:rPr>
      <w:sz w:val="16"/>
      <w:szCs w:val="16"/>
    </w:rPr>
  </w:style>
  <w:style w:type="character" w:styleId="TextedebullesCar" w:customStyle="1">
    <w:name w:val="Texte de bulles Car"/>
    <w:uiPriority w:val="99"/>
    <w:semiHidden/>
    <w:link w:val="Textedebulles"/>
    <w:rsid w:val="003f6ceb"/>
    <w:basedOn w:val="DefaultParagraphFont"/>
    <w:rPr>
      <w:rFonts w:ascii="Tahoma" w:hAnsi="Tahoma" w:cs="Tahoma"/>
      <w:sz w:val="16"/>
      <w:szCs w:val="16"/>
    </w:rPr>
  </w:style>
  <w:style w:type="character" w:styleId="CommentaireCar" w:customStyle="1">
    <w:name w:val="Commentaire Car"/>
    <w:uiPriority w:val="99"/>
    <w:semiHidden/>
    <w:link w:val="Commentaire"/>
    <w:rsid w:val="003f6ceb"/>
    <w:basedOn w:val="DefaultParagraphFont"/>
    <w:rPr>
      <w:sz w:val="20"/>
      <w:szCs w:val="20"/>
    </w:rPr>
  </w:style>
  <w:style w:type="character" w:styleId="ObjetducommentaireCar" w:customStyle="1">
    <w:name w:val="Objet du commentaire Car"/>
    <w:uiPriority w:val="99"/>
    <w:semiHidden/>
    <w:link w:val="Objetducommentaire"/>
    <w:rsid w:val="003f6ceb"/>
    <w:basedOn w:val="CommentaireCar"/>
    <w:rPr>
      <w:b/>
      <w:bCs/>
    </w:rPr>
  </w:style>
  <w:style w:type="paragraph" w:styleId="Heading" w:customStyle="1">
    <w:name w:val="Heading"/>
    <w:rsid w:val="00f20aab"/>
    <w:basedOn w:val="Normal"/>
    <w:next w:val="TextBody"/>
    <w:pPr>
      <w:keepNext/>
      <w:spacing w:before="240" w:after="120"/>
    </w:pPr>
    <w:rPr>
      <w:rFonts w:ascii="Arial" w:hAnsi="Arial" w:eastAsia="WenQuanYi Micro Hei" w:cs="FreeSans"/>
      <w:sz w:val="28"/>
      <w:szCs w:val="28"/>
    </w:rPr>
  </w:style>
  <w:style w:type="paragraph" w:styleId="TextBody" w:customStyle="1">
    <w:name w:val="Text Body"/>
    <w:rsid w:val="00f20aab"/>
    <w:basedOn w:val="Normal"/>
    <w:pPr>
      <w:keepNext/>
      <w:widowControl/>
      <w:spacing w:lineRule="auto" w:line="480" w:before="0" w:after="120"/>
      <w:ind w:left="0" w:right="0" w:firstLine="432"/>
    </w:pPr>
    <w:rPr/>
  </w:style>
  <w:style w:type="paragraph" w:styleId="List">
    <w:name w:val="List"/>
    <w:rsid w:val="00f20aab"/>
    <w:basedOn w:val="TextBody"/>
    <w:pPr/>
    <w:rPr>
      <w:rFonts w:cs="FreeSans"/>
    </w:rPr>
  </w:style>
  <w:style w:type="paragraph" w:styleId="Caption" w:customStyle="1">
    <w:name w:val="Caption"/>
    <w:rsid w:val="00f20aab"/>
    <w:basedOn w:val="Normal"/>
    <w:pPr>
      <w:suppressLineNumbers/>
      <w:spacing w:before="120" w:after="120"/>
    </w:pPr>
    <w:rPr>
      <w:rFonts w:cs="FreeSans"/>
      <w:i/>
      <w:iCs/>
      <w:sz w:val="24"/>
      <w:szCs w:val="24"/>
    </w:rPr>
  </w:style>
  <w:style w:type="paragraph" w:styleId="Index" w:customStyle="1">
    <w:name w:val="Index"/>
    <w:rsid w:val="00f20aab"/>
    <w:basedOn w:val="Normal"/>
    <w:pPr>
      <w:suppressLineNumbers/>
    </w:pPr>
    <w:rPr>
      <w:rFonts w:cs="FreeSans"/>
    </w:rPr>
  </w:style>
  <w:style w:type="paragraph" w:styleId="Abstract" w:customStyle="1">
    <w:name w:val="Abstract"/>
    <w:rsid w:val="00f20aab"/>
    <w:basedOn w:val="TextBody"/>
    <w:pPr>
      <w:spacing w:before="0" w:after="230"/>
      <w:ind w:left="0" w:right="0" w:hanging="0"/>
    </w:pPr>
    <w:rPr>
      <w:rFonts w:ascii="Arial" w:hAnsi="Arial"/>
      <w:b/>
      <w:sz w:val="21"/>
    </w:rPr>
  </w:style>
  <w:style w:type="paragraph" w:styleId="Header" w:customStyle="1">
    <w:name w:val="Header"/>
    <w:rsid w:val="00f20aab"/>
    <w:basedOn w:val="Normal"/>
    <w:pPr>
      <w:suppressLineNumbers/>
      <w:tabs>
        <w:tab w:val="center" w:pos="4819" w:leader="none"/>
        <w:tab w:val="right" w:pos="9638" w:leader="none"/>
      </w:tabs>
    </w:pPr>
    <w:rPr/>
  </w:style>
  <w:style w:type="paragraph" w:styleId="Footer" w:customStyle="1">
    <w:name w:val="Footer"/>
    <w:rsid w:val="00f20aab"/>
    <w:basedOn w:val="Normal"/>
    <w:pPr>
      <w:suppressLineNumbers/>
      <w:tabs>
        <w:tab w:val="center" w:pos="4819" w:leader="none"/>
        <w:tab w:val="right" w:pos="9638" w:leader="none"/>
      </w:tabs>
    </w:pPr>
    <w:rPr/>
  </w:style>
  <w:style w:type="paragraph" w:styleId="Bibliography1" w:customStyle="1">
    <w:name w:val="Bibliography 1"/>
    <w:rsid w:val="00f20aab"/>
    <w:basedOn w:val="Index"/>
    <w:pPr>
      <w:spacing w:lineRule="atLeast" w:line="480"/>
      <w:ind w:left="720" w:right="0" w:hanging="720"/>
    </w:pPr>
    <w:rPr/>
  </w:style>
  <w:style w:type="paragraph" w:styleId="Footnote" w:customStyle="1">
    <w:name w:val="Footnote"/>
    <w:rsid w:val="00f20aab"/>
    <w:basedOn w:val="Normal"/>
    <w:pPr>
      <w:widowControl/>
      <w:suppressLineNumbers/>
      <w:spacing w:lineRule="auto" w:line="480"/>
      <w:ind w:left="339" w:right="0" w:hanging="339"/>
    </w:pPr>
    <w:rPr>
      <w:sz w:val="20"/>
      <w:szCs w:val="20"/>
    </w:rPr>
  </w:style>
  <w:style w:type="paragraph" w:styleId="Quotations" w:customStyle="1">
    <w:name w:val="Quotations"/>
    <w:rsid w:val="00f20aab"/>
    <w:basedOn w:val="Normal"/>
    <w:pPr>
      <w:spacing w:before="0" w:after="283"/>
      <w:ind w:left="567" w:right="567" w:hanging="0"/>
    </w:pPr>
    <w:rPr/>
  </w:style>
  <w:style w:type="paragraph" w:styleId="Title">
    <w:name w:val="Title"/>
    <w:rsid w:val="00f20aab"/>
    <w:basedOn w:val="Heading"/>
    <w:pPr>
      <w:jc w:val="center"/>
    </w:pPr>
    <w:rPr>
      <w:b/>
      <w:bCs/>
      <w:sz w:val="36"/>
      <w:szCs w:val="36"/>
    </w:rPr>
  </w:style>
  <w:style w:type="paragraph" w:styleId="Subtitle">
    <w:name w:val="Subtitle"/>
    <w:rsid w:val="00f20aab"/>
    <w:basedOn w:val="Heading"/>
    <w:pPr>
      <w:jc w:val="center"/>
    </w:pPr>
    <w:rPr>
      <w:i/>
      <w:iCs/>
    </w:rPr>
  </w:style>
  <w:style w:type="paragraph" w:styleId="Figure" w:customStyle="1">
    <w:name w:val="Figure"/>
    <w:rsid w:val="00f20aab"/>
    <w:basedOn w:val="Caption"/>
    <w:pPr>
      <w:spacing w:lineRule="auto" w:line="480"/>
    </w:pPr>
    <w:rPr>
      <w:i w:val="false"/>
      <w:sz w:val="21"/>
    </w:rPr>
  </w:style>
  <w:style w:type="paragraph" w:styleId="FrameContents" w:customStyle="1">
    <w:name w:val="Frame Contents"/>
    <w:rsid w:val="00f20aab"/>
    <w:basedOn w:val="Normal"/>
    <w:pPr/>
    <w:rPr/>
  </w:style>
  <w:style w:type="paragraph" w:styleId="BalloonText">
    <w:name w:val="Balloon Text"/>
    <w:uiPriority w:val="99"/>
    <w:semiHidden/>
    <w:unhideWhenUsed/>
    <w:link w:val="TextedebullesCar"/>
    <w:rsid w:val="003f6ceb"/>
    <w:basedOn w:val="Normal"/>
    <w:pPr/>
    <w:rPr>
      <w:rFonts w:ascii="Tahoma" w:hAnsi="Tahoma" w:cs="Tahoma"/>
      <w:sz w:val="16"/>
      <w:szCs w:val="16"/>
    </w:rPr>
  </w:style>
  <w:style w:type="paragraph" w:styleId="Annotationtext">
    <w:name w:val="annotation text"/>
    <w:uiPriority w:val="99"/>
    <w:semiHidden/>
    <w:unhideWhenUsed/>
    <w:link w:val="CommentaireCar"/>
    <w:rsid w:val="003f6ceb"/>
    <w:basedOn w:val="Normal"/>
    <w:pPr/>
    <w:rPr>
      <w:sz w:val="20"/>
      <w:szCs w:val="20"/>
    </w:rPr>
  </w:style>
  <w:style w:type="paragraph" w:styleId="Annotationsubject">
    <w:name w:val="annotation subject"/>
    <w:uiPriority w:val="99"/>
    <w:semiHidden/>
    <w:unhideWhenUsed/>
    <w:link w:val="ObjetducommentaireCar"/>
    <w:rsid w:val="003f6ceb"/>
    <w:basedOn w:val="Annotationtext"/>
    <w:pPr/>
    <w:rPr>
      <w:b/>
      <w:bCs/>
    </w:rPr>
  </w:style>
  <w:style w:type="paragraph" w:styleId="Revision">
    <w:name w:val="Revision"/>
    <w:uiPriority w:val="99"/>
    <w:semiHidden/>
    <w:rsid w:val="00db7cec"/>
    <w:pPr>
      <w:widowControl/>
      <w:suppressAutoHyphens w:val="true"/>
      <w:bidi w:val="0"/>
      <w:jc w:val="left"/>
    </w:pPr>
    <w:rPr>
      <w:rFonts w:ascii="Times New Roman" w:hAnsi="Times New Roman" w:eastAsia="DejaVu Sans" w:cs="Lohit Hindi"/>
      <w:color w:val="00000A"/>
      <w:sz w:val="24"/>
      <w:szCs w:val="24"/>
      <w:lang w:val="en-US" w:eastAsia="fr-FR" w:bidi="ar-SA"/>
    </w:rPr>
  </w:style>
  <w:style w:type="numbering" w:styleId="NoList" w:default="1">
    <w:name w:val="No List"/>
    <w:uiPriority w:val="99"/>
    <w:semiHidden/>
    <w:unhideWhenUsed/>
  </w:style>
  <w:style w:type="table" w:default="1" w:styleId="Tableau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1583</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2014-02-20T20:22:00Z</dcterms:created>
  <dc:creator>francoise</dc:creator>
  <dc:language>en-US</dc:language>
  <cp:lastModifiedBy>francoise</cp:lastModifiedBy>
  <dcterms:modified xsi:type="dcterms:W3CDTF">2014-02-25T16:25:00Z</dcterms:modified>
  <cp:revision>27</cp:revision>
</cp:coreProperties>
</file>