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EB8C" w14:textId="77777777" w:rsidR="00410D8D" w:rsidRDefault="00C52B2D">
      <w:pPr>
        <w:pStyle w:val="Date"/>
        <w:spacing w:after="0"/>
        <w:rPr>
          <w:rFonts w:ascii="Times New Roman" w:hAnsi="Times New Roman"/>
          <w:smallCaps/>
          <w:color w:val="800000"/>
          <w:sz w:val="48"/>
        </w:rPr>
      </w:pPr>
      <w:r>
        <w:rPr>
          <w:rFonts w:ascii="Times New Roman" w:hAnsi="Times New Roman"/>
          <w:smallCaps/>
          <w:noProof/>
          <w:color w:val="800000"/>
          <w:sz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BBC34B" wp14:editId="243FE2D9">
                <wp:simplePos x="0" y="0"/>
                <wp:positionH relativeFrom="column">
                  <wp:posOffset>3709035</wp:posOffset>
                </wp:positionH>
                <wp:positionV relativeFrom="paragraph">
                  <wp:posOffset>2540</wp:posOffset>
                </wp:positionV>
                <wp:extent cx="2280285" cy="685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E8295" w14:textId="77777777" w:rsidR="003A7DA6" w:rsidRDefault="003A7DA6">
                            <w:pPr>
                              <w:rPr>
                                <w:color w:val="800000"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color w:val="800000"/>
                                <w:sz w:val="18"/>
                              </w:rPr>
                              <w:drawing>
                                <wp:inline distT="0" distB="0" distL="0" distR="0" wp14:anchorId="1FA14CC7" wp14:editId="0A0B2824">
                                  <wp:extent cx="1054100" cy="368300"/>
                                  <wp:effectExtent l="0" t="0" r="12700" b="12700"/>
                                  <wp:docPr id="1" name="Picture 1" descr="EEOBlogot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EOBlogot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3481AC" w14:textId="77777777" w:rsidR="003A7DA6" w:rsidRDefault="003A7DA6">
                            <w:pPr>
                              <w:rPr>
                                <w:color w:val="800000"/>
                                <w:sz w:val="18"/>
                              </w:rPr>
                            </w:pPr>
                            <w:r>
                              <w:rPr>
                                <w:color w:val="800000"/>
                                <w:sz w:val="18"/>
                              </w:rPr>
                              <w:t>Ecology, Evolution, and Organismal Biology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05pt;margin-top:.2pt;width:179.5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" stroked="f" strokeweight="0">
                <v:textbox>
                  <w:txbxContent>
                    <w:p w:rsidR="00CB001F" w:rsidRDefault="00C52B2D">
                      <w:pPr>
                        <w:rPr>
                          <w:color w:val="800000"/>
                          <w:sz w:val="18"/>
                        </w:rPr>
                      </w:pPr>
                      <w:r>
                        <w:rPr>
                          <w:noProof/>
                          <w:color w:val="800000"/>
                          <w:sz w:val="18"/>
                        </w:rPr>
                        <w:drawing>
                          <wp:inline distT="0" distB="0" distL="0" distR="0">
                            <wp:extent cx="1054100" cy="368300"/>
                            <wp:effectExtent l="0" t="0" r="12700" b="12700"/>
                            <wp:docPr id="1" name="Picture 1" descr="EEOBlogot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EOBlogot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0" cy="36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001F" w:rsidRDefault="00CB001F">
                      <w:pPr>
                        <w:rPr>
                          <w:color w:val="800000"/>
                          <w:sz w:val="18"/>
                        </w:rPr>
                      </w:pPr>
                      <w:r>
                        <w:rPr>
                          <w:color w:val="800000"/>
                          <w:sz w:val="18"/>
                        </w:rPr>
                        <w:t>Ecology, Evolution, and Organismal Biology</w:t>
                      </w:r>
                    </w:p>
                  </w:txbxContent>
                </v:textbox>
              </v:shape>
            </w:pict>
          </mc:Fallback>
        </mc:AlternateContent>
      </w:r>
      <w:r w:rsidR="00410D8D">
        <w:rPr>
          <w:rFonts w:ascii="Times New Roman" w:hAnsi="Times New Roman"/>
          <w:smallCaps/>
          <w:color w:val="800000"/>
          <w:sz w:val="48"/>
        </w:rPr>
        <w:t xml:space="preserve">Iowa State University </w:t>
      </w:r>
    </w:p>
    <w:p w14:paraId="4E635F3B" w14:textId="77777777" w:rsidR="00410D8D" w:rsidRDefault="00410D8D">
      <w:pPr>
        <w:pStyle w:val="InsideAddressName"/>
        <w:spacing w:before="0"/>
        <w:rPr>
          <w:rFonts w:ascii="Times New Roman" w:hAnsi="Times New Roman"/>
          <w:caps/>
          <w:color w:val="808080"/>
        </w:rPr>
      </w:pPr>
      <w:r>
        <w:rPr>
          <w:rFonts w:ascii="Times New Roman" w:hAnsi="Times New Roman"/>
          <w:caps/>
          <w:color w:val="808080"/>
        </w:rPr>
        <w:t>of science and technology</w:t>
      </w:r>
    </w:p>
    <w:p w14:paraId="5549408F" w14:textId="77777777" w:rsidR="00357594" w:rsidRDefault="00357594" w:rsidP="00357594"/>
    <w:p w14:paraId="763E9DE4" w14:textId="77777777" w:rsidR="000F3415" w:rsidRDefault="000F3415" w:rsidP="00357594"/>
    <w:p w14:paraId="5B3C1BE7" w14:textId="77777777" w:rsidR="000F3415" w:rsidRDefault="000F3415" w:rsidP="00357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60D3">
        <w:t>Nov XX</w:t>
      </w:r>
      <w:r>
        <w:t>, 2014</w:t>
      </w:r>
    </w:p>
    <w:p w14:paraId="2C07524C" w14:textId="77777777" w:rsidR="000F3415" w:rsidRDefault="000F3415" w:rsidP="00357594"/>
    <w:p w14:paraId="2FECFE3C" w14:textId="77777777" w:rsidR="000F3415" w:rsidRDefault="000F3415" w:rsidP="00357594"/>
    <w:p w14:paraId="31E2085C" w14:textId="77777777" w:rsidR="000F3415" w:rsidRDefault="000F3415" w:rsidP="00357594">
      <w:r>
        <w:t xml:space="preserve">Dear Editors of </w:t>
      </w:r>
      <w:r w:rsidR="004E60D3" w:rsidRPr="004E60D3">
        <w:rPr>
          <w:i/>
        </w:rPr>
        <w:t>PeerJ</w:t>
      </w:r>
      <w:r>
        <w:t>,</w:t>
      </w:r>
    </w:p>
    <w:p w14:paraId="47676C9D" w14:textId="77777777" w:rsidR="00F27111" w:rsidRDefault="00F27111" w:rsidP="00357594"/>
    <w:p w14:paraId="65BEAFE7" w14:textId="630743CA" w:rsidR="00F27111" w:rsidRDefault="00F27111" w:rsidP="005C23A2">
      <w:pPr>
        <w:jc w:val="left"/>
      </w:pPr>
      <w:r>
        <w:t xml:space="preserve">We attach for your consideration our manuscript, “Natural variation in teosinte at the domestication locus </w:t>
      </w:r>
      <w:r>
        <w:rPr>
          <w:i/>
        </w:rPr>
        <w:t>teosinte branched1</w:t>
      </w:r>
      <w:r>
        <w:t xml:space="preserve"> (</w:t>
      </w:r>
      <w:r>
        <w:rPr>
          <w:i/>
        </w:rPr>
        <w:t>tb1</w:t>
      </w:r>
      <w:r>
        <w:t xml:space="preserve">)”.  </w:t>
      </w:r>
      <w:r w:rsidR="004C59EA">
        <w:t xml:space="preserve">Recent work has shown that a transposon insertion ~60kb upstream of </w:t>
      </w:r>
      <w:r w:rsidR="003B5B70">
        <w:t xml:space="preserve">the </w:t>
      </w:r>
      <w:r w:rsidR="00527E1C">
        <w:rPr>
          <w:i/>
        </w:rPr>
        <w:t xml:space="preserve">tb1 </w:t>
      </w:r>
      <w:r w:rsidR="00527E1C">
        <w:t xml:space="preserve">coding region </w:t>
      </w:r>
      <w:r w:rsidR="003B5B70">
        <w:t xml:space="preserve">increases the expression of this gene resulting in a reduced number of tillers </w:t>
      </w:r>
      <w:r w:rsidR="003A7DA6">
        <w:t xml:space="preserve">and other phenotypic changes </w:t>
      </w:r>
      <w:r w:rsidR="003B5B70">
        <w:t>in domesticated maize.  This insertion has also been found in</w:t>
      </w:r>
      <w:r w:rsidR="00527E1C">
        <w:t xml:space="preserve"> natural populations of</w:t>
      </w:r>
      <w:r w:rsidR="003B5B70">
        <w:t xml:space="preserve"> teosinte (</w:t>
      </w:r>
      <w:r w:rsidR="003B5B70">
        <w:rPr>
          <w:i/>
        </w:rPr>
        <w:t>i.e.</w:t>
      </w:r>
      <w:r w:rsidR="003B5B70">
        <w:t xml:space="preserve">, wild maize) suggesting maize domestication occurred from standing variation at </w:t>
      </w:r>
      <w:r w:rsidR="003B5B70">
        <w:rPr>
          <w:i/>
        </w:rPr>
        <w:t>tb1</w:t>
      </w:r>
      <w:r w:rsidR="00527E1C">
        <w:t xml:space="preserve">.  Tillering is a relevant trait to plant competition and </w:t>
      </w:r>
      <w:r w:rsidR="00527E1C">
        <w:rPr>
          <w:i/>
        </w:rPr>
        <w:t>tb1</w:t>
      </w:r>
      <w:r w:rsidR="00527E1C">
        <w:t xml:space="preserve"> may play an importa</w:t>
      </w:r>
      <w:r w:rsidR="005C23A2">
        <w:t>nt ecological role in teosinte</w:t>
      </w:r>
      <w:r w:rsidR="00527E1C">
        <w:t xml:space="preserve">.  We have assessed the prevalence of the transposon insertion underlying the domesticated phenotype in over 1000 samples of maize and teosinte and have resequenced two ~600bp regions near </w:t>
      </w:r>
      <w:r w:rsidR="00527E1C">
        <w:rPr>
          <w:i/>
        </w:rPr>
        <w:t>tb1</w:t>
      </w:r>
      <w:r w:rsidR="00527E1C">
        <w:t xml:space="preserve"> in multipl</w:t>
      </w:r>
      <w:r w:rsidR="003A7DA6">
        <w:t>e teosinte populations to evaluate</w:t>
      </w:r>
      <w:r w:rsidR="00527E1C">
        <w:t xml:space="preserve"> the evidence for natural s</w:t>
      </w:r>
      <w:r w:rsidR="005C23A2">
        <w:t>election on this locus.  We also</w:t>
      </w:r>
      <w:r w:rsidR="00527E1C">
        <w:t xml:space="preserve"> phenotyped several hundred teosinte individuals</w:t>
      </w:r>
      <w:r w:rsidR="003A7DA6">
        <w:t xml:space="preserve"> with and without the transposon insertion</w:t>
      </w:r>
      <w:r w:rsidR="00527E1C">
        <w:t xml:space="preserve"> to measure the phenotypic effects of the transposon in a teosinte </w:t>
      </w:r>
      <w:r w:rsidR="005C23A2">
        <w:t>background.  Our results reveal</w:t>
      </w:r>
      <w:r w:rsidR="00527E1C">
        <w:t xml:space="preserve"> much higher than anticipated frequencies of the transposon</w:t>
      </w:r>
      <w:r w:rsidR="005C23A2">
        <w:t xml:space="preserve"> insertion in teosinte, particularly in a subset of po</w:t>
      </w:r>
      <w:r w:rsidR="00D10303">
        <w:t xml:space="preserve">pulations </w:t>
      </w:r>
      <w:r w:rsidR="00EF23B8">
        <w:t xml:space="preserve">in the Jalisco region of Mexico </w:t>
      </w:r>
      <w:r w:rsidR="00D10303">
        <w:t>as well as</w:t>
      </w:r>
      <w:r w:rsidR="003A7DA6">
        <w:t xml:space="preserve"> evidence of selection </w:t>
      </w:r>
      <w:r w:rsidR="00D10303">
        <w:t xml:space="preserve">in the 5’UTR of </w:t>
      </w:r>
      <w:r w:rsidR="00D10303">
        <w:rPr>
          <w:i/>
        </w:rPr>
        <w:t>tb1</w:t>
      </w:r>
      <w:r w:rsidR="003A7DA6">
        <w:t>.  However, q</w:t>
      </w:r>
      <w:r w:rsidR="005C23A2">
        <w:t>uite surprisingly, the transposon has no detectable effect on tillering in</w:t>
      </w:r>
      <w:r w:rsidR="00D10303">
        <w:t xml:space="preserve"> teosinte</w:t>
      </w:r>
      <w:r w:rsidR="00CC7045">
        <w:t xml:space="preserve"> in our study</w:t>
      </w:r>
      <w:r w:rsidR="00D10303">
        <w:t>, suggesting other genetic factors</w:t>
      </w:r>
      <w:r w:rsidR="005C23A2">
        <w:t xml:space="preserve"> must be involved in controlling this trait in the wild.</w:t>
      </w:r>
    </w:p>
    <w:p w14:paraId="5F6F2E32" w14:textId="77777777" w:rsidR="005C23A2" w:rsidRDefault="005C23A2" w:rsidP="005C23A2">
      <w:pPr>
        <w:jc w:val="left"/>
      </w:pPr>
    </w:p>
    <w:p w14:paraId="474C28FA" w14:textId="77777777" w:rsidR="005C23A2" w:rsidRDefault="005C23A2" w:rsidP="005C23A2">
      <w:pPr>
        <w:jc w:val="left"/>
      </w:pPr>
      <w:r>
        <w:t>Studies such as ours can help build a link between the concepts of natural and artificial selection.  By studying the ecological role of domesticated alleles that segregate as standing variation in wild relatives</w:t>
      </w:r>
      <w:r w:rsidR="003A7DA6">
        <w:t>, we can gain insight into</w:t>
      </w:r>
      <w:r w:rsidR="00AD4601">
        <w:t xml:space="preserve"> how and why natural selection has shaped these loci and better understand the domesticated phenotype.</w:t>
      </w:r>
    </w:p>
    <w:p w14:paraId="4FCCDF7A" w14:textId="77777777" w:rsidR="00AD4601" w:rsidRDefault="00AD4601" w:rsidP="005C23A2">
      <w:pPr>
        <w:jc w:val="left"/>
      </w:pPr>
    </w:p>
    <w:p w14:paraId="01A6314D" w14:textId="26D280ED" w:rsidR="00AD4601" w:rsidRDefault="00AD4601" w:rsidP="005C23A2">
      <w:pPr>
        <w:jc w:val="left"/>
      </w:pPr>
      <w:r>
        <w:t>Thank you</w:t>
      </w:r>
      <w:r w:rsidR="003A7DA6">
        <w:t xml:space="preserve"> for considering our manuscript for publication in </w:t>
      </w:r>
      <w:r w:rsidR="00CB311D">
        <w:rPr>
          <w:i/>
        </w:rPr>
        <w:t>PeerJ</w:t>
      </w:r>
      <w:bookmarkStart w:id="0" w:name="_GoBack"/>
      <w:bookmarkEnd w:id="0"/>
      <w:r w:rsidR="003A7DA6">
        <w:t>.</w:t>
      </w:r>
    </w:p>
    <w:p w14:paraId="5FBE129D" w14:textId="77777777" w:rsidR="003A7DA6" w:rsidRDefault="003A7DA6" w:rsidP="005C23A2">
      <w:pPr>
        <w:jc w:val="left"/>
      </w:pPr>
    </w:p>
    <w:p w14:paraId="19DD015B" w14:textId="77777777" w:rsidR="003A7DA6" w:rsidRDefault="003A7DA6" w:rsidP="005C23A2">
      <w:pPr>
        <w:jc w:val="left"/>
      </w:pPr>
      <w:r>
        <w:t>Sincerely,</w:t>
      </w:r>
    </w:p>
    <w:p w14:paraId="4E89C9B6" w14:textId="77777777" w:rsidR="003A7DA6" w:rsidRDefault="003A7DA6" w:rsidP="005C23A2">
      <w:pPr>
        <w:jc w:val="left"/>
      </w:pPr>
    </w:p>
    <w:p w14:paraId="170C3A2A" w14:textId="77777777" w:rsidR="003A7DA6" w:rsidRDefault="003A7DA6" w:rsidP="005C23A2">
      <w:pPr>
        <w:jc w:val="left"/>
      </w:pPr>
      <w:r>
        <w:t>Matthew Hufford</w:t>
      </w:r>
    </w:p>
    <w:p w14:paraId="4B201813" w14:textId="77777777" w:rsidR="003A7DA6" w:rsidRDefault="003A7DA6" w:rsidP="005C23A2">
      <w:pPr>
        <w:jc w:val="left"/>
      </w:pPr>
      <w:r>
        <w:rPr>
          <w:noProof/>
        </w:rPr>
        <w:drawing>
          <wp:inline distT="0" distB="0" distL="0" distR="0" wp14:anchorId="41EE6710" wp14:editId="71F4AE8C">
            <wp:extent cx="1047750" cy="471649"/>
            <wp:effectExtent l="0" t="0" r="0" b="11430"/>
            <wp:docPr id="3" name="Picture 3" descr="Macintosh HD:Users:mbhufford:Documents:Signature_smal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bhufford:Documents:Signature_small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05" cy="4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14C" w14:textId="77777777" w:rsidR="00D10303" w:rsidRDefault="00D10303" w:rsidP="005C23A2">
      <w:pPr>
        <w:jc w:val="left"/>
      </w:pPr>
    </w:p>
    <w:p w14:paraId="5D9505C4" w14:textId="77777777" w:rsidR="003A7DA6" w:rsidRPr="003A7DA6" w:rsidRDefault="003A7DA6" w:rsidP="005C23A2">
      <w:pPr>
        <w:jc w:val="left"/>
      </w:pPr>
      <w:r>
        <w:t>Dept. of Ecology, Evolution, and Organismal Biology</w:t>
      </w:r>
    </w:p>
    <w:p w14:paraId="390B2325" w14:textId="77777777" w:rsidR="000F3415" w:rsidRDefault="003A7DA6" w:rsidP="00357594">
      <w:r>
        <w:t>Iowa State University</w:t>
      </w:r>
    </w:p>
    <w:p w14:paraId="7B500E57" w14:textId="77777777" w:rsidR="003A7DA6" w:rsidRDefault="003A7DA6" w:rsidP="00357594">
      <w:r>
        <w:t>339A Bessey Hall</w:t>
      </w:r>
    </w:p>
    <w:p w14:paraId="49431FE2" w14:textId="77777777" w:rsidR="003A7DA6" w:rsidRDefault="003A7DA6" w:rsidP="00357594">
      <w:r>
        <w:t>Ames, IA  50011</w:t>
      </w:r>
    </w:p>
    <w:p w14:paraId="2F2AF9BE" w14:textId="77777777" w:rsidR="003A7DA6" w:rsidRPr="000F3415" w:rsidRDefault="003A7DA6" w:rsidP="00357594">
      <w:r>
        <w:t>Tel: 515-294-8511</w:t>
      </w:r>
    </w:p>
    <w:sectPr w:rsidR="003A7DA6" w:rsidRPr="000F3415">
      <w:headerReference w:type="default" r:id="rId14"/>
      <w:type w:val="continuous"/>
      <w:pgSz w:w="12240" w:h="15840" w:code="1"/>
      <w:pgMar w:top="1440" w:right="1440" w:bottom="1440" w:left="144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68CE5" w14:textId="77777777" w:rsidR="003A7DA6" w:rsidRDefault="003A7DA6">
      <w:r>
        <w:separator/>
      </w:r>
    </w:p>
  </w:endnote>
  <w:endnote w:type="continuationSeparator" w:id="0">
    <w:p w14:paraId="1CBFFC54" w14:textId="77777777" w:rsidR="003A7DA6" w:rsidRDefault="003A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9139D" w14:textId="77777777" w:rsidR="003A7DA6" w:rsidRDefault="003A7DA6">
      <w:r>
        <w:separator/>
      </w:r>
    </w:p>
  </w:footnote>
  <w:footnote w:type="continuationSeparator" w:id="0">
    <w:p w14:paraId="5C721325" w14:textId="77777777" w:rsidR="003A7DA6" w:rsidRDefault="003A7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7389A" w14:textId="77777777" w:rsidR="003A7DA6" w:rsidRDefault="003A7DA6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D10303">
      <w:rPr>
        <w:noProof/>
      </w:rPr>
      <w:t>2</w:t>
    </w:r>
    <w:r>
      <w:fldChar w:fldCharType="end"/>
    </w: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4E60D3">
      <w:rPr>
        <w:noProof/>
      </w:rPr>
      <w:t>November 14, 2014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04"/>
    <w:rsid w:val="00025F66"/>
    <w:rsid w:val="000333FA"/>
    <w:rsid w:val="000A56B7"/>
    <w:rsid w:val="000C59E3"/>
    <w:rsid w:val="000D38FC"/>
    <w:rsid w:val="000E0705"/>
    <w:rsid w:val="000F08FC"/>
    <w:rsid w:val="000F3415"/>
    <w:rsid w:val="00115EF5"/>
    <w:rsid w:val="00160888"/>
    <w:rsid w:val="001F7D88"/>
    <w:rsid w:val="002078B1"/>
    <w:rsid w:val="00216EC1"/>
    <w:rsid w:val="002933FA"/>
    <w:rsid w:val="00354064"/>
    <w:rsid w:val="00357594"/>
    <w:rsid w:val="003A7DA6"/>
    <w:rsid w:val="003B5B70"/>
    <w:rsid w:val="003E48EF"/>
    <w:rsid w:val="00410D8D"/>
    <w:rsid w:val="004257AE"/>
    <w:rsid w:val="00460D19"/>
    <w:rsid w:val="004C59EA"/>
    <w:rsid w:val="004D1C40"/>
    <w:rsid w:val="004E60D3"/>
    <w:rsid w:val="004F2C36"/>
    <w:rsid w:val="004F7CA8"/>
    <w:rsid w:val="00527E1C"/>
    <w:rsid w:val="00545210"/>
    <w:rsid w:val="00586803"/>
    <w:rsid w:val="005C0BE2"/>
    <w:rsid w:val="005C23A2"/>
    <w:rsid w:val="005D31F0"/>
    <w:rsid w:val="0066138B"/>
    <w:rsid w:val="006D1270"/>
    <w:rsid w:val="006E0B60"/>
    <w:rsid w:val="00702477"/>
    <w:rsid w:val="00740F1B"/>
    <w:rsid w:val="007821DE"/>
    <w:rsid w:val="00813E7C"/>
    <w:rsid w:val="008230F5"/>
    <w:rsid w:val="00825598"/>
    <w:rsid w:val="00830C5B"/>
    <w:rsid w:val="008A6263"/>
    <w:rsid w:val="008A6604"/>
    <w:rsid w:val="008C51BE"/>
    <w:rsid w:val="009702D8"/>
    <w:rsid w:val="009F666D"/>
    <w:rsid w:val="00A63BC5"/>
    <w:rsid w:val="00AD4601"/>
    <w:rsid w:val="00AD533A"/>
    <w:rsid w:val="00B07F9D"/>
    <w:rsid w:val="00B95FC0"/>
    <w:rsid w:val="00C119D6"/>
    <w:rsid w:val="00C52B2D"/>
    <w:rsid w:val="00C76445"/>
    <w:rsid w:val="00C815B6"/>
    <w:rsid w:val="00C81E55"/>
    <w:rsid w:val="00C84BD9"/>
    <w:rsid w:val="00CB001F"/>
    <w:rsid w:val="00CB311D"/>
    <w:rsid w:val="00CC7045"/>
    <w:rsid w:val="00D0321A"/>
    <w:rsid w:val="00D10303"/>
    <w:rsid w:val="00D103C2"/>
    <w:rsid w:val="00D764B2"/>
    <w:rsid w:val="00D90691"/>
    <w:rsid w:val="00E02073"/>
    <w:rsid w:val="00E37FD8"/>
    <w:rsid w:val="00E40B7D"/>
    <w:rsid w:val="00E937F4"/>
    <w:rsid w:val="00EA5945"/>
    <w:rsid w:val="00EF23B8"/>
    <w:rsid w:val="00F27111"/>
    <w:rsid w:val="00F85159"/>
    <w:rsid w:val="00F87230"/>
    <w:rsid w:val="00F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DCA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  <w:rPr>
      <w:rFonts w:ascii="Arial" w:hAnsi="Arial"/>
      <w:spacing w:val="-5"/>
    </w:r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  <w:rPr>
      <w:rFonts w:ascii="Arial" w:hAnsi="Arial"/>
      <w:spacing w:val="-5"/>
    </w:r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  <w:rPr>
      <w:rFonts w:ascii="Arial" w:hAnsi="Arial"/>
      <w:spacing w:val="-5"/>
    </w:rPr>
  </w:style>
  <w:style w:type="paragraph" w:styleId="Closing">
    <w:name w:val="Closing"/>
    <w:basedOn w:val="Normal"/>
    <w:next w:val="Signature"/>
    <w:pPr>
      <w:keepNext/>
      <w:spacing w:after="60" w:line="220" w:lineRule="atLeast"/>
    </w:pPr>
    <w:rPr>
      <w:rFonts w:ascii="Arial" w:hAnsi="Arial"/>
      <w:spacing w:val="-5"/>
    </w:r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  <w:rPr>
      <w:rFonts w:ascii="Arial" w:hAnsi="Arial"/>
      <w:spacing w:val="-5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  <w:rPr>
      <w:rFonts w:ascii="Arial" w:hAnsi="Arial"/>
      <w:spacing w:val="-5"/>
    </w:r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  <w:rPr>
      <w:rFonts w:ascii="Arial" w:hAnsi="Arial"/>
      <w:spacing w:val="-5"/>
    </w:r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rFonts w:ascii="Arial" w:hAnsi="Arial"/>
      <w:caps/>
      <w:spacing w:val="-5"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basedOn w:val="DefaultParagraphFont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alloonText">
    <w:name w:val="Balloon Text"/>
    <w:basedOn w:val="Normal"/>
    <w:semiHidden/>
    <w:rsid w:val="00354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  <w:rPr>
      <w:rFonts w:ascii="Arial" w:hAnsi="Arial"/>
      <w:spacing w:val="-5"/>
    </w:r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  <w:rPr>
      <w:rFonts w:ascii="Arial" w:hAnsi="Arial"/>
      <w:spacing w:val="-5"/>
    </w:r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  <w:rPr>
      <w:rFonts w:ascii="Arial" w:hAnsi="Arial"/>
      <w:spacing w:val="-5"/>
    </w:rPr>
  </w:style>
  <w:style w:type="paragraph" w:styleId="Closing">
    <w:name w:val="Closing"/>
    <w:basedOn w:val="Normal"/>
    <w:next w:val="Signature"/>
    <w:pPr>
      <w:keepNext/>
      <w:spacing w:after="60" w:line="220" w:lineRule="atLeast"/>
    </w:pPr>
    <w:rPr>
      <w:rFonts w:ascii="Arial" w:hAnsi="Arial"/>
      <w:spacing w:val="-5"/>
    </w:r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  <w:rPr>
      <w:rFonts w:ascii="Arial" w:hAnsi="Arial"/>
      <w:spacing w:val="-5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  <w:rPr>
      <w:rFonts w:ascii="Arial" w:hAnsi="Arial"/>
      <w:spacing w:val="-5"/>
    </w:r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  <w:rPr>
      <w:rFonts w:ascii="Arial" w:hAnsi="Arial"/>
      <w:spacing w:val="-5"/>
    </w:r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rFonts w:ascii="Arial" w:hAnsi="Arial"/>
      <w:caps/>
      <w:spacing w:val="-5"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basedOn w:val="DefaultParagraphFont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alloonText">
    <w:name w:val="Balloon Text"/>
    <w:basedOn w:val="Normal"/>
    <w:semiHidden/>
    <w:rsid w:val="00354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10.jpeg"/><Relationship Id="rId13" Type="http://schemas.openxmlformats.org/officeDocument/2006/relationships/image" Target="media/image2.em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FW\Application%20Data\Microsoft\Templates\EEOB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5CC9F90111C4E8770BC4FB70D8A49" ma:contentTypeVersion="0" ma:contentTypeDescription="Create a new document." ma:contentTypeScope="" ma:versionID="cebf364242e58d54007cd750ce880d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BC2224F-5E42-46E6-B02D-C9D64F8127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0C8095-7EBD-4E5C-9A0A-7125192F15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94E2DA0-5CB6-45DC-AD89-2DD8AEFCA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Settings\JFW\Application Data\Microsoft\Templates\EEOB memo.dot</Template>
  <TotalTime>3</TotalTime>
  <Pages>1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Jonathan F. Wendel</dc:creator>
  <cp:keywords/>
  <cp:lastModifiedBy>Laura Vann</cp:lastModifiedBy>
  <cp:revision>5</cp:revision>
  <cp:lastPrinted>2007-10-01T16:00:00Z</cp:lastPrinted>
  <dcterms:created xsi:type="dcterms:W3CDTF">2014-11-14T23:03:00Z</dcterms:created>
  <dcterms:modified xsi:type="dcterms:W3CDTF">2014-11-14T23:10:00Z</dcterms:modified>
  <cp:category>Letter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