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DOCUMENTO DE REFERENCIA FUNCIONAL</w:t>
      </w:r>
    </w:p>
    <w:p>
      <w:pPr>
        <w:spacing w:after="20"/>
      </w:pPr>
      <w:r>
        <w:rPr>
          <w:i/>
          <w:iCs/>
          <w:color w:val="555555"/>
          <w:sz w:val="20"/>
          <w:szCs w:val="20"/>
        </w:rPr>
        <w:t xml:space="preserve">Basado en el prototipo — Pantalla de Configuración</w:t>
      </w:r>
    </w:p>
    <w:p>
      <w:pPr>
        <w:spacing w:after="240"/>
      </w:pPr>
      <w:r>
        <w:rPr>
          <w:i/>
          <w:iCs/>
          <w:color w:val="555555"/>
          <w:sz w:val="20"/>
          <w:szCs w:val="20"/>
        </w:rPr>
        <w:t xml:space="preserve">Hecho por Ludwing Ivan Vasquez Navas</w:t>
      </w:r>
    </w:p>
    <w:p>
      <w:pPr>
        <w:pStyle w:val="Heading2"/>
        <w:spacing w:after="120" w:before="240"/>
      </w:pPr>
      <w:r>
        <w:rPr>
          <w:color w:val="3B6FA6"/>
        </w:rPr>
        <w:t xml:space="preserve">Introducción</w:t>
      </w:r>
    </w:p>
    <w:p>
      <w:pPr>
        <w:spacing w:after="200"/>
      </w:pPr>
      <w:r>
        <w:rPr>
          <w:sz w:val="22"/>
          <w:szCs w:val="22"/>
        </w:rPr>
        <w:t xml:space="preserve">Este documento describe la pantalla "Configuración" del sistema "Control de Gastos", que permite administrar parámetros generales, moneda, seguridad corporativa, alertas de presupuesto e integraciones de enlace de Vought International. Es una pantalla con navegación interna por módulos, organizada en cuatro secciones: General &amp; Moneda, Perfil y Entidad, Alertas y Límites, e Integraciones &amp; API. Complementa el documento de referencia funcional general, siguiendo la misma barra lateral y barra superior descritas ahí.</w:t>
      </w:r>
    </w:p>
    <w:p>
      <w:pPr>
        <w:pBdr>
          <w:bottom w:val="single" w:color="1FAE6A" w:sz="12" w:space="4"/>
        </w:pBdr>
        <w:spacing w:after="200" w:before="300"/>
      </w:pPr>
      <w:r>
        <w:rPr>
          <w:b/>
          <w:bCs/>
          <w:color w:val="2E9E5B"/>
          <w:sz w:val="20"/>
          <w:szCs w:val="20"/>
        </w:rPr>
        <w:t xml:space="preserve">ESPACIO DE TRABAJO</w:t>
      </w:r>
    </w:p>
    <w:p>
      <w:pPr>
        <w:pStyle w:val="Heading2"/>
        <w:spacing w:after="120" w:before="240"/>
      </w:pPr>
      <w:r>
        <w:rPr>
          <w:color w:val="3B6FA6"/>
        </w:rPr>
        <w:t xml:space="preserve">Configuración</w:t>
      </w:r>
    </w:p>
    <w:p>
      <w:pPr>
        <w:spacing w:after="200"/>
      </w:pPr>
      <w:r>
        <w:rPr>
          <w:sz w:val="22"/>
          <w:szCs w:val="22"/>
        </w:rPr>
        <w:t xml:space="preserve">Es la pantalla central de administración técnica y corporativa del sistema. A diferencia de las demás pantallas, no muestra tarjetas resumen de movimientos, sino un panel de navegación lateral ("Módulos de control") que cambia el contenido del panel derecho según el módulo seleccionado.</w:t>
      </w:r>
    </w:p>
    <w:p>
      <w:pPr>
        <w:pStyle w:val="Heading2"/>
        <w:spacing w:after="120" w:before="240"/>
      </w:pPr>
      <w:r>
        <w:rPr>
          <w:color w:val="3B6FA6"/>
        </w:rPr>
        <w:t xml:space="preserve">1. Encabezado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2E9E5B" w:color="auto" w:val="clear"/>
            <w:tcMar>
              <w:top w:type="dxa" w:w="100"/>
              <w:left w:type="dxa" w:w="100"/>
              <w:bottom w:type="dxa" w:w="100"/>
              <w:right w:type="dxa" w:w="100"/>
            </w:tcMar>
            <w:vAlign w:val="center"/>
          </w:tcPr>
          <w:p>
            <w:r>
              <w:rPr>
                <w:b/>
                <w:bCs/>
                <w:color w:val="FFFFFF"/>
                <w:sz w:val="20"/>
                <w:szCs w:val="20"/>
              </w:rPr>
              <w:t xml:space="preserve">Componente</w:t>
            </w:r>
          </w:p>
        </w:tc>
        <w:tc>
          <w:tcPr>
            <w:tcW w:type="dxa" w:w="3600"/>
            <w:shd w:fill="2E9E5B" w:color="auto" w:val="clear"/>
            <w:tcMar>
              <w:top w:type="dxa" w:w="100"/>
              <w:left w:type="dxa" w:w="100"/>
              <w:bottom w:type="dxa" w:w="100"/>
              <w:right w:type="dxa" w:w="100"/>
            </w:tcMar>
            <w:vAlign w:val="center"/>
          </w:tcPr>
          <w:p>
            <w:r>
              <w:rPr>
                <w:b/>
                <w:bCs/>
                <w:color w:val="FFFFFF"/>
                <w:sz w:val="20"/>
                <w:szCs w:val="20"/>
              </w:rPr>
              <w:t xml:space="preserve">Qué muestra</w:t>
            </w:r>
          </w:p>
        </w:tc>
        <w:tc>
          <w:tcPr>
            <w:tcW w:type="dxa" w:w="3560"/>
            <w:shd w:fill="2E9E5B" w:color="auto" w:val="clear"/>
            <w:tcMar>
              <w:top w:type="dxa" w:w="100"/>
              <w:left w:type="dxa" w:w="100"/>
              <w:bottom w:type="dxa" w:w="100"/>
              <w:right w:type="dxa" w:w="100"/>
            </w:tcMar>
            <w:vAlign w:val="center"/>
          </w:tcPr>
          <w:p>
            <w:r>
              <w:rPr>
                <w:b/>
                <w:bCs/>
                <w:color w:val="FFFFFF"/>
                <w:sz w:val="20"/>
                <w:szCs w:val="20"/>
              </w:rPr>
              <w:t xml:space="preserve">Qué hace / a dónde lleva</w:t>
            </w:r>
          </w:p>
        </w:tc>
      </w:tr>
      <w:tr>
        <w:tc>
          <w:tcPr>
            <w:tcW w:type="dxa" w:w="2200"/>
            <w:tcMar>
              <w:top w:type="dxa" w:w="100"/>
              <w:left w:type="dxa" w:w="100"/>
              <w:bottom w:type="dxa" w:w="100"/>
              <w:right w:type="dxa" w:w="100"/>
            </w:tcMar>
            <w:vAlign w:val="center"/>
          </w:tcPr>
          <w:p>
            <w:r>
              <w:rPr>
                <w:b/>
                <w:bCs/>
                <w:sz w:val="20"/>
                <w:szCs w:val="20"/>
              </w:rPr>
              <w:t xml:space="preserve">Etiqueta "Administración del sistema // SYS-CFG-09"</w:t>
            </w:r>
          </w:p>
        </w:tc>
        <w:tc>
          <w:tcPr>
            <w:tcW w:type="dxa" w:w="3600"/>
            <w:tcMar>
              <w:top w:type="dxa" w:w="100"/>
              <w:left w:type="dxa" w:w="100"/>
              <w:bottom w:type="dxa" w:w="100"/>
              <w:right w:type="dxa" w:w="100"/>
            </w:tcMar>
            <w:vAlign w:val="center"/>
          </w:tcPr>
          <w:p>
            <w:r>
              <w:rPr>
                <w:b w:val="false"/>
                <w:bCs w:val="false"/>
                <w:sz w:val="20"/>
                <w:szCs w:val="20"/>
              </w:rPr>
              <w:t xml:space="preserve">Categoría superior y código de referencia interno de la sección.</w:t>
            </w:r>
          </w:p>
        </w:tc>
        <w:tc>
          <w:tcPr>
            <w:tcW w:type="dxa" w:w="3560"/>
            <w:tcMar>
              <w:top w:type="dxa" w:w="100"/>
              <w:left w:type="dxa" w:w="100"/>
              <w:bottom w:type="dxa" w:w="100"/>
              <w:right w:type="dxa" w:w="100"/>
            </w:tcMar>
            <w:vAlign w:val="center"/>
          </w:tcPr>
          <w:p>
            <w:r>
              <w:rPr>
                <w:b w:val="false"/>
                <w:bCs w:val="false"/>
                <w:sz w:val="20"/>
                <w:szCs w:val="20"/>
              </w:rPr>
              <w:t xml:space="preserve">Es informativa, no es interactiva.</w:t>
            </w:r>
          </w:p>
        </w:tc>
      </w:tr>
      <w:tr>
        <w:tc>
          <w:tcPr>
            <w:tcW w:type="dxa" w:w="2200"/>
            <w:tcMar>
              <w:top w:type="dxa" w:w="100"/>
              <w:left w:type="dxa" w:w="100"/>
              <w:bottom w:type="dxa" w:w="100"/>
              <w:right w:type="dxa" w:w="100"/>
            </w:tcMar>
            <w:vAlign w:val="center"/>
          </w:tcPr>
          <w:p>
            <w:r>
              <w:rPr>
                <w:b/>
                <w:bCs/>
                <w:sz w:val="20"/>
                <w:szCs w:val="20"/>
              </w:rPr>
              <w:t xml:space="preserve">Título "Configuración" y descripción</w:t>
            </w:r>
          </w:p>
        </w:tc>
        <w:tc>
          <w:tcPr>
            <w:tcW w:type="dxa" w:w="3600"/>
            <w:tcMar>
              <w:top w:type="dxa" w:w="100"/>
              <w:left w:type="dxa" w:w="100"/>
              <w:bottom w:type="dxa" w:w="100"/>
              <w:right w:type="dxa" w:w="100"/>
            </w:tcMar>
            <w:vAlign w:val="center"/>
          </w:tcPr>
          <w:p>
            <w:r>
              <w:rPr>
                <w:b w:val="false"/>
                <w:bCs w:val="false"/>
                <w:sz w:val="20"/>
                <w:szCs w:val="20"/>
              </w:rPr>
              <w:t xml:space="preserve">Nombre de la pantalla y su propósito: "Administra parámetros generales, moneda, seguridad corporativa, alertas de presupuesto e integraciones de enlace de Vought International".</w:t>
            </w:r>
          </w:p>
        </w:tc>
        <w:tc>
          <w:tcPr>
            <w:tcW w:type="dxa" w:w="3560"/>
            <w:tcMar>
              <w:top w:type="dxa" w:w="100"/>
              <w:left w:type="dxa" w:w="100"/>
              <w:bottom w:type="dxa" w:w="100"/>
              <w:right w:type="dxa" w:w="100"/>
            </w:tcMar>
            <w:vAlign w:val="center"/>
          </w:tcPr>
          <w:p>
            <w:r>
              <w:rPr>
                <w:b w:val="false"/>
                <w:bCs w:val="false"/>
                <w:sz w:val="20"/>
                <w:szCs w:val="20"/>
              </w:rPr>
              <w:t xml:space="preserve">Es informativo, no es interactivo.</w:t>
            </w:r>
          </w:p>
        </w:tc>
      </w:tr>
      <w:tr>
        <w:tc>
          <w:tcPr>
            <w:tcW w:type="dxa" w:w="2200"/>
            <w:tcMar>
              <w:top w:type="dxa" w:w="100"/>
              <w:left w:type="dxa" w:w="100"/>
              <w:bottom w:type="dxa" w:w="100"/>
              <w:right w:type="dxa" w:w="100"/>
            </w:tcMar>
            <w:vAlign w:val="center"/>
          </w:tcPr>
          <w:p>
            <w:r>
              <w:rPr>
                <w:b/>
                <w:bCs/>
                <w:sz w:val="20"/>
                <w:szCs w:val="20"/>
              </w:rPr>
              <w:t xml:space="preserve">Insignia "Nivel 4: Auditoría Total"</w:t>
            </w:r>
          </w:p>
        </w:tc>
        <w:tc>
          <w:tcPr>
            <w:tcW w:type="dxa" w:w="3600"/>
            <w:tcMar>
              <w:top w:type="dxa" w:w="100"/>
              <w:left w:type="dxa" w:w="100"/>
              <w:bottom w:type="dxa" w:w="100"/>
              <w:right w:type="dxa" w:w="100"/>
            </w:tcMar>
            <w:vAlign w:val="center"/>
          </w:tcPr>
          <w:p>
            <w:r>
              <w:rPr>
                <w:b w:val="false"/>
                <w:bCs w:val="false"/>
                <w:sz w:val="20"/>
                <w:szCs w:val="20"/>
              </w:rPr>
              <w:t xml:space="preserve">Etiqueta verde con ícono de escudo en la esquina superior derecha.</w:t>
            </w:r>
          </w:p>
        </w:tc>
        <w:tc>
          <w:tcPr>
            <w:tcW w:type="dxa" w:w="3560"/>
            <w:tcMar>
              <w:top w:type="dxa" w:w="100"/>
              <w:left w:type="dxa" w:w="100"/>
              <w:bottom w:type="dxa" w:w="100"/>
              <w:right w:type="dxa" w:w="100"/>
            </w:tcMar>
            <w:vAlign w:val="center"/>
          </w:tcPr>
          <w:p>
            <w:r>
              <w:rPr>
                <w:b w:val="false"/>
                <w:bCs w:val="false"/>
                <w:sz w:val="20"/>
                <w:szCs w:val="20"/>
              </w:rPr>
              <w:t xml:space="preserve">Es informativa; indica el nivel de permisos/auditoría con el que se está accediendo a esta pantalla.</w:t>
            </w:r>
          </w:p>
        </w:tc>
      </w:tr>
    </w:tbl>
    <w:p>
      <w:pPr>
        <w:pStyle w:val="Heading2"/>
        <w:spacing w:after="120" w:before="240"/>
      </w:pPr>
      <w:r>
        <w:rPr>
          <w:color w:val="3B6FA6"/>
        </w:rPr>
        <w:t xml:space="preserve">2. Módulos de control (navegación interna)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2E9E5B" w:color="auto" w:val="clear"/>
            <w:tcMar>
              <w:top w:type="dxa" w:w="100"/>
              <w:left w:type="dxa" w:w="100"/>
              <w:bottom w:type="dxa" w:w="100"/>
              <w:right w:type="dxa" w:w="100"/>
            </w:tcMar>
            <w:vAlign w:val="center"/>
          </w:tcPr>
          <w:p>
            <w:r>
              <w:rPr>
                <w:b/>
                <w:bCs/>
                <w:color w:val="FFFFFF"/>
                <w:sz w:val="20"/>
                <w:szCs w:val="20"/>
              </w:rPr>
              <w:t xml:space="preserve">Componente</w:t>
            </w:r>
          </w:p>
        </w:tc>
        <w:tc>
          <w:tcPr>
            <w:tcW w:type="dxa" w:w="3600"/>
            <w:shd w:fill="2E9E5B" w:color="auto" w:val="clear"/>
            <w:tcMar>
              <w:top w:type="dxa" w:w="100"/>
              <w:left w:type="dxa" w:w="100"/>
              <w:bottom w:type="dxa" w:w="100"/>
              <w:right w:type="dxa" w:w="100"/>
            </w:tcMar>
            <w:vAlign w:val="center"/>
          </w:tcPr>
          <w:p>
            <w:r>
              <w:rPr>
                <w:b/>
                <w:bCs/>
                <w:color w:val="FFFFFF"/>
                <w:sz w:val="20"/>
                <w:szCs w:val="20"/>
              </w:rPr>
              <w:t xml:space="preserve">Qué muestra</w:t>
            </w:r>
          </w:p>
        </w:tc>
        <w:tc>
          <w:tcPr>
            <w:tcW w:type="dxa" w:w="3560"/>
            <w:shd w:fill="2E9E5B" w:color="auto" w:val="clear"/>
            <w:tcMar>
              <w:top w:type="dxa" w:w="100"/>
              <w:left w:type="dxa" w:w="100"/>
              <w:bottom w:type="dxa" w:w="100"/>
              <w:right w:type="dxa" w:w="100"/>
            </w:tcMar>
            <w:vAlign w:val="center"/>
          </w:tcPr>
          <w:p>
            <w:r>
              <w:rPr>
                <w:b/>
                <w:bCs/>
                <w:color w:val="FFFFFF"/>
                <w:sz w:val="20"/>
                <w:szCs w:val="20"/>
              </w:rPr>
              <w:t xml:space="preserve">Qué hace / a dónde lleva</w:t>
            </w:r>
          </w:p>
        </w:tc>
      </w:tr>
      <w:tr>
        <w:tc>
          <w:tcPr>
            <w:tcW w:type="dxa" w:w="2200"/>
            <w:tcMar>
              <w:top w:type="dxa" w:w="100"/>
              <w:left w:type="dxa" w:w="100"/>
              <w:bottom w:type="dxa" w:w="100"/>
              <w:right w:type="dxa" w:w="100"/>
            </w:tcMar>
            <w:vAlign w:val="center"/>
          </w:tcPr>
          <w:p>
            <w:r>
              <w:rPr>
                <w:b/>
                <w:bCs/>
                <w:sz w:val="20"/>
                <w:szCs w:val="20"/>
              </w:rPr>
              <w:t xml:space="preserve">"General &amp; Moneda"</w:t>
            </w:r>
          </w:p>
        </w:tc>
        <w:tc>
          <w:tcPr>
            <w:tcW w:type="dxa" w:w="3600"/>
            <w:tcMar>
              <w:top w:type="dxa" w:w="100"/>
              <w:left w:type="dxa" w:w="100"/>
              <w:bottom w:type="dxa" w:w="100"/>
              <w:right w:type="dxa" w:w="100"/>
            </w:tcMar>
            <w:vAlign w:val="center"/>
          </w:tcPr>
          <w:p>
            <w:r>
              <w:rPr>
                <w:b w:val="false"/>
                <w:bCs w:val="false"/>
                <w:sz w:val="20"/>
                <w:szCs w:val="20"/>
              </w:rPr>
              <w:t xml:space="preserve">Ícono de engranaje; módulo seleccionado por defecto al entrar a Configuración.</w:t>
            </w:r>
          </w:p>
        </w:tc>
        <w:tc>
          <w:tcPr>
            <w:tcW w:type="dxa" w:w="3560"/>
            <w:tcMar>
              <w:top w:type="dxa" w:w="100"/>
              <w:left w:type="dxa" w:w="100"/>
              <w:bottom w:type="dxa" w:w="100"/>
              <w:right w:type="dxa" w:w="100"/>
            </w:tcMar>
            <w:vAlign w:val="center"/>
          </w:tcPr>
          <w:p>
            <w:r>
              <w:rPr>
                <w:b w:val="false"/>
                <w:bCs w:val="false"/>
                <w:sz w:val="20"/>
                <w:szCs w:val="20"/>
              </w:rPr>
              <w:t xml:space="preserve">Muestra el panel de Parámetros Regionales y Moneda, y el selector de Tema y Apariencia Visual (ver sección 3).</w:t>
            </w:r>
          </w:p>
        </w:tc>
      </w:tr>
      <w:tr>
        <w:tc>
          <w:tcPr>
            <w:tcW w:type="dxa" w:w="2200"/>
            <w:tcMar>
              <w:top w:type="dxa" w:w="100"/>
              <w:left w:type="dxa" w:w="100"/>
              <w:bottom w:type="dxa" w:w="100"/>
              <w:right w:type="dxa" w:w="100"/>
            </w:tcMar>
            <w:vAlign w:val="center"/>
          </w:tcPr>
          <w:p>
            <w:r>
              <w:rPr>
                <w:b/>
                <w:bCs/>
                <w:sz w:val="20"/>
                <w:szCs w:val="20"/>
              </w:rPr>
              <w:t xml:space="preserve">"Perfil y Entidad"</w:t>
            </w:r>
          </w:p>
        </w:tc>
        <w:tc>
          <w:tcPr>
            <w:tcW w:type="dxa" w:w="3600"/>
            <w:tcMar>
              <w:top w:type="dxa" w:w="100"/>
              <w:left w:type="dxa" w:w="100"/>
              <w:bottom w:type="dxa" w:w="100"/>
              <w:right w:type="dxa" w:w="100"/>
            </w:tcMar>
            <w:vAlign w:val="center"/>
          </w:tcPr>
          <w:p>
            <w:r>
              <w:rPr>
                <w:b w:val="false"/>
                <w:bCs w:val="false"/>
                <w:sz w:val="20"/>
                <w:szCs w:val="20"/>
              </w:rPr>
              <w:t xml:space="preserve">Ícono de tarjeta de identificación.</w:t>
            </w:r>
          </w:p>
        </w:tc>
        <w:tc>
          <w:tcPr>
            <w:tcW w:type="dxa" w:w="3560"/>
            <w:tcMar>
              <w:top w:type="dxa" w:w="100"/>
              <w:left w:type="dxa" w:w="100"/>
              <w:bottom w:type="dxa" w:w="100"/>
              <w:right w:type="dxa" w:w="100"/>
            </w:tcMar>
            <w:vAlign w:val="center"/>
          </w:tcPr>
          <w:p>
            <w:r>
              <w:rPr>
                <w:b w:val="false"/>
                <w:bCs w:val="false"/>
                <w:sz w:val="20"/>
                <w:szCs w:val="20"/>
              </w:rPr>
              <w:t xml:space="preserve">Muestra el panel de Foto de Perfil/Credencial y Entidad Corporativa (ver sección 4).</w:t>
            </w:r>
          </w:p>
        </w:tc>
      </w:tr>
      <w:tr>
        <w:tc>
          <w:tcPr>
            <w:tcW w:type="dxa" w:w="2200"/>
            <w:tcMar>
              <w:top w:type="dxa" w:w="100"/>
              <w:left w:type="dxa" w:w="100"/>
              <w:bottom w:type="dxa" w:w="100"/>
              <w:right w:type="dxa" w:w="100"/>
            </w:tcMar>
            <w:vAlign w:val="center"/>
          </w:tcPr>
          <w:p>
            <w:r>
              <w:rPr>
                <w:b/>
                <w:bCs/>
                <w:sz w:val="20"/>
                <w:szCs w:val="20"/>
              </w:rPr>
              <w:t xml:space="preserve">"Alertas y Límites"</w:t>
            </w:r>
          </w:p>
        </w:tc>
        <w:tc>
          <w:tcPr>
            <w:tcW w:type="dxa" w:w="3600"/>
            <w:tcMar>
              <w:top w:type="dxa" w:w="100"/>
              <w:left w:type="dxa" w:w="100"/>
              <w:bottom w:type="dxa" w:w="100"/>
              <w:right w:type="dxa" w:w="100"/>
            </w:tcMar>
            <w:vAlign w:val="center"/>
          </w:tcPr>
          <w:p>
            <w:r>
              <w:rPr>
                <w:b w:val="false"/>
                <w:bCs w:val="false"/>
                <w:sz w:val="20"/>
                <w:szCs w:val="20"/>
              </w:rPr>
              <w:t xml:space="preserve">Ícono de campana, con una etiqueta de estado "ACTIVO" en verde.</w:t>
            </w:r>
          </w:p>
        </w:tc>
        <w:tc>
          <w:tcPr>
            <w:tcW w:type="dxa" w:w="3560"/>
            <w:tcMar>
              <w:top w:type="dxa" w:w="100"/>
              <w:left w:type="dxa" w:w="100"/>
              <w:bottom w:type="dxa" w:w="100"/>
              <w:right w:type="dxa" w:w="100"/>
            </w:tcMar>
            <w:vAlign w:val="center"/>
          </w:tcPr>
          <w:p>
            <w:r>
              <w:rPr>
                <w:b w:val="false"/>
                <w:bCs w:val="false"/>
                <w:sz w:val="20"/>
                <w:szCs w:val="20"/>
              </w:rPr>
              <w:t xml:space="preserve">Muestra el panel de Alertas de Presupuesto (ver sección 5).</w:t>
            </w:r>
          </w:p>
        </w:tc>
      </w:tr>
      <w:tr>
        <w:tc>
          <w:tcPr>
            <w:tcW w:type="dxa" w:w="2200"/>
            <w:tcMar>
              <w:top w:type="dxa" w:w="100"/>
              <w:left w:type="dxa" w:w="100"/>
              <w:bottom w:type="dxa" w:w="100"/>
              <w:right w:type="dxa" w:w="100"/>
            </w:tcMar>
            <w:vAlign w:val="center"/>
          </w:tcPr>
          <w:p>
            <w:r>
              <w:rPr>
                <w:b/>
                <w:bCs/>
                <w:sz w:val="20"/>
                <w:szCs w:val="20"/>
              </w:rPr>
              <w:t xml:space="preserve">"Integraciones &amp; API"</w:t>
            </w:r>
          </w:p>
        </w:tc>
        <w:tc>
          <w:tcPr>
            <w:tcW w:type="dxa" w:w="3600"/>
            <w:tcMar>
              <w:top w:type="dxa" w:w="100"/>
              <w:left w:type="dxa" w:w="100"/>
              <w:bottom w:type="dxa" w:w="100"/>
              <w:right w:type="dxa" w:w="100"/>
            </w:tcMar>
            <w:vAlign w:val="center"/>
          </w:tcPr>
          <w:p>
            <w:r>
              <w:rPr>
                <w:b w:val="false"/>
                <w:bCs w:val="false"/>
                <w:sz w:val="20"/>
                <w:szCs w:val="20"/>
              </w:rPr>
              <w:t xml:space="preserve">Ícono de código ("&lt; &gt;"), con un punto indicador de estado a la derecha.</w:t>
            </w:r>
          </w:p>
        </w:tc>
        <w:tc>
          <w:tcPr>
            <w:tcW w:type="dxa" w:w="3560"/>
            <w:tcMar>
              <w:top w:type="dxa" w:w="100"/>
              <w:left w:type="dxa" w:w="100"/>
              <w:bottom w:type="dxa" w:w="100"/>
              <w:right w:type="dxa" w:w="100"/>
            </w:tcMar>
            <w:vAlign w:val="center"/>
          </w:tcPr>
          <w:p>
            <w:r>
              <w:rPr>
                <w:b w:val="false"/>
                <w:bCs w:val="false"/>
                <w:sz w:val="20"/>
                <w:szCs w:val="20"/>
              </w:rPr>
              <w:t xml:space="preserve">Muestra el panel de Estado de la Plataforma e integraciones técnicas (ver sección 6).</w:t>
            </w:r>
          </w:p>
        </w:tc>
      </w:tr>
    </w:tbl>
    <w:p>
      <w:pPr>
        <w:pBdr>
          <w:bottom w:val="single" w:color="1FAE6A" w:sz="12" w:space="4"/>
        </w:pBdr>
        <w:spacing w:after="200" w:before="300"/>
      </w:pPr>
      <w:r>
        <w:rPr>
          <w:b/>
          <w:bCs/>
          <w:color w:val="2E9E5B"/>
          <w:sz w:val="20"/>
          <w:szCs w:val="20"/>
        </w:rPr>
        <w:t xml:space="preserve">MÓDULO 1</w:t>
      </w:r>
    </w:p>
    <w:p>
      <w:pPr>
        <w:pStyle w:val="Heading2"/>
        <w:spacing w:after="120" w:before="240"/>
      </w:pPr>
      <w:r>
        <w:rPr>
          <w:color w:val="3B6FA6"/>
        </w:rPr>
        <w:t xml:space="preserve">3. General &amp; Moneda</w:t>
      </w:r>
    </w:p>
    <w:p>
      <w:pPr>
        <w:spacing w:after="120"/>
        <w:jc w:val="center"/>
      </w:pPr>
      <w:r>
        <w:drawing>
          <wp:inline distT="0" distB="0" distL="0" distR="0">
            <wp:extent cx="5905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876550"/>
                    </a:xfrm>
                    <a:prstGeom prst="rect">
                      <a:avLst/>
                    </a:prstGeom>
                  </pic:spPr>
                </pic:pic>
              </a:graphicData>
            </a:graphic>
          </wp:inline>
        </w:drawing>
      </w:r>
    </w:p>
    <w:p>
      <w:pPr>
        <w:spacing w:after="240"/>
        <w:jc w:val="center"/>
      </w:pPr>
      <w:r>
        <w:rPr>
          <w:i/>
          <w:iCs/>
          <w:color w:val="555555"/>
          <w:sz w:val="18"/>
          <w:szCs w:val="18"/>
        </w:rPr>
        <w:t xml:space="preserve">Panel "General &amp; Moneda" — parámetros regionales, tasas de cambio y selector de tema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2E9E5B" w:color="auto" w:val="clear"/>
            <w:tcMar>
              <w:top w:type="dxa" w:w="100"/>
              <w:left w:type="dxa" w:w="100"/>
              <w:bottom w:type="dxa" w:w="100"/>
              <w:right w:type="dxa" w:w="100"/>
            </w:tcMar>
            <w:vAlign w:val="center"/>
          </w:tcPr>
          <w:p>
            <w:r>
              <w:rPr>
                <w:b/>
                <w:bCs/>
                <w:color w:val="FFFFFF"/>
                <w:sz w:val="20"/>
                <w:szCs w:val="20"/>
              </w:rPr>
              <w:t xml:space="preserve">Componente</w:t>
            </w:r>
          </w:p>
        </w:tc>
        <w:tc>
          <w:tcPr>
            <w:tcW w:type="dxa" w:w="3600"/>
            <w:shd w:fill="2E9E5B" w:color="auto" w:val="clear"/>
            <w:tcMar>
              <w:top w:type="dxa" w:w="100"/>
              <w:left w:type="dxa" w:w="100"/>
              <w:bottom w:type="dxa" w:w="100"/>
              <w:right w:type="dxa" w:w="100"/>
            </w:tcMar>
            <w:vAlign w:val="center"/>
          </w:tcPr>
          <w:p>
            <w:r>
              <w:rPr>
                <w:b/>
                <w:bCs/>
                <w:color w:val="FFFFFF"/>
                <w:sz w:val="20"/>
                <w:szCs w:val="20"/>
              </w:rPr>
              <w:t xml:space="preserve">Qué muestra</w:t>
            </w:r>
          </w:p>
        </w:tc>
        <w:tc>
          <w:tcPr>
            <w:tcW w:type="dxa" w:w="3560"/>
            <w:shd w:fill="2E9E5B" w:color="auto" w:val="clear"/>
            <w:tcMar>
              <w:top w:type="dxa" w:w="100"/>
              <w:left w:type="dxa" w:w="100"/>
              <w:bottom w:type="dxa" w:w="100"/>
              <w:right w:type="dxa" w:w="100"/>
            </w:tcMar>
            <w:vAlign w:val="center"/>
          </w:tcPr>
          <w:p>
            <w:r>
              <w:rPr>
                <w:b/>
                <w:bCs/>
                <w:color w:val="FFFFFF"/>
                <w:sz w:val="20"/>
                <w:szCs w:val="20"/>
              </w:rPr>
              <w:t xml:space="preserve">Qué hace / a dónde lleva</w:t>
            </w:r>
          </w:p>
        </w:tc>
      </w:tr>
      <w:tr>
        <w:tc>
          <w:tcPr>
            <w:tcW w:type="dxa" w:w="2200"/>
            <w:tcMar>
              <w:top w:type="dxa" w:w="100"/>
              <w:left w:type="dxa" w:w="100"/>
              <w:bottom w:type="dxa" w:w="100"/>
              <w:right w:type="dxa" w:w="100"/>
            </w:tcMar>
            <w:vAlign w:val="center"/>
          </w:tcPr>
          <w:p>
            <w:r>
              <w:rPr>
                <w:b/>
                <w:bCs/>
                <w:sz w:val="20"/>
                <w:szCs w:val="20"/>
              </w:rPr>
              <w:t xml:space="preserve">Moneda base</w:t>
            </w:r>
          </w:p>
        </w:tc>
        <w:tc>
          <w:tcPr>
            <w:tcW w:type="dxa" w:w="3600"/>
            <w:tcMar>
              <w:top w:type="dxa" w:w="100"/>
              <w:left w:type="dxa" w:w="100"/>
              <w:bottom w:type="dxa" w:w="100"/>
              <w:right w:type="dxa" w:w="100"/>
            </w:tcMar>
            <w:vAlign w:val="center"/>
          </w:tcPr>
          <w:p>
            <w:r>
              <w:rPr>
                <w:b w:val="false"/>
                <w:bCs w:val="false"/>
                <w:sz w:val="20"/>
                <w:szCs w:val="20"/>
              </w:rPr>
              <w:t xml:space="preserve">Lista desplegable con la moneda oficial del sistema (ej. Quetzal Guatemalteco (GTQ - Q)).</w:t>
            </w:r>
          </w:p>
        </w:tc>
        <w:tc>
          <w:tcPr>
            <w:tcW w:type="dxa" w:w="3560"/>
            <w:tcMar>
              <w:top w:type="dxa" w:w="100"/>
              <w:left w:type="dxa" w:w="100"/>
              <w:bottom w:type="dxa" w:w="100"/>
              <w:right w:type="dxa" w:w="100"/>
            </w:tcMar>
            <w:vAlign w:val="center"/>
          </w:tcPr>
          <w:p>
            <w:r>
              <w:rPr>
                <w:b w:val="false"/>
                <w:bCs w:val="false"/>
                <w:sz w:val="20"/>
                <w:szCs w:val="20"/>
              </w:rPr>
              <w:t xml:space="preserve">Define en qué moneda se calculan y muestran todos los saldos del sistema.</w:t>
            </w:r>
          </w:p>
        </w:tc>
      </w:tr>
      <w:tr>
        <w:tc>
          <w:tcPr>
            <w:tcW w:type="dxa" w:w="2200"/>
            <w:tcMar>
              <w:top w:type="dxa" w:w="100"/>
              <w:left w:type="dxa" w:w="100"/>
              <w:bottom w:type="dxa" w:w="100"/>
              <w:right w:type="dxa" w:w="100"/>
            </w:tcMar>
            <w:vAlign w:val="center"/>
          </w:tcPr>
          <w:p>
            <w:r>
              <w:rPr>
                <w:b/>
                <w:bCs/>
                <w:sz w:val="20"/>
                <w:szCs w:val="20"/>
              </w:rPr>
              <w:t xml:space="preserve">Símbolo monetario</w:t>
            </w:r>
          </w:p>
        </w:tc>
        <w:tc>
          <w:tcPr>
            <w:tcW w:type="dxa" w:w="3600"/>
            <w:tcMar>
              <w:top w:type="dxa" w:w="100"/>
              <w:left w:type="dxa" w:w="100"/>
              <w:bottom w:type="dxa" w:w="100"/>
              <w:right w:type="dxa" w:w="100"/>
            </w:tcMar>
            <w:vAlign w:val="center"/>
          </w:tcPr>
          <w:p>
            <w:r>
              <w:rPr>
                <w:b w:val="false"/>
                <w:bCs w:val="false"/>
                <w:sz w:val="20"/>
                <w:szCs w:val="20"/>
              </w:rPr>
              <w:t xml:space="preserve">Campo de texto con el símbolo que acompaña a los montos (ej. Q).</w:t>
            </w:r>
          </w:p>
        </w:tc>
        <w:tc>
          <w:tcPr>
            <w:tcW w:type="dxa" w:w="3560"/>
            <w:tcMar>
              <w:top w:type="dxa" w:w="100"/>
              <w:left w:type="dxa" w:w="100"/>
              <w:bottom w:type="dxa" w:w="100"/>
              <w:right w:type="dxa" w:w="100"/>
            </w:tcMar>
            <w:vAlign w:val="center"/>
          </w:tcPr>
          <w:p>
            <w:r>
              <w:rPr>
                <w:b w:val="false"/>
                <w:bCs w:val="false"/>
                <w:sz w:val="20"/>
                <w:szCs w:val="20"/>
              </w:rPr>
              <w:t xml:space="preserve">Define el símbolo que se antepone a los montos en toda la aplicación.</w:t>
            </w:r>
          </w:p>
        </w:tc>
      </w:tr>
      <w:tr>
        <w:tc>
          <w:tcPr>
            <w:tcW w:type="dxa" w:w="2200"/>
            <w:tcMar>
              <w:top w:type="dxa" w:w="100"/>
              <w:left w:type="dxa" w:w="100"/>
              <w:bottom w:type="dxa" w:w="100"/>
              <w:right w:type="dxa" w:w="100"/>
            </w:tcMar>
            <w:vAlign w:val="center"/>
          </w:tcPr>
          <w:p>
            <w:r>
              <w:rPr>
                <w:b/>
                <w:bCs/>
                <w:sz w:val="20"/>
                <w:szCs w:val="20"/>
              </w:rPr>
              <w:t xml:space="preserve">Zona horaria</w:t>
            </w:r>
          </w:p>
        </w:tc>
        <w:tc>
          <w:tcPr>
            <w:tcW w:type="dxa" w:w="3600"/>
            <w:tcMar>
              <w:top w:type="dxa" w:w="100"/>
              <w:left w:type="dxa" w:w="100"/>
              <w:bottom w:type="dxa" w:w="100"/>
              <w:right w:type="dxa" w:w="100"/>
            </w:tcMar>
            <w:vAlign w:val="center"/>
          </w:tcPr>
          <w:p>
            <w:r>
              <w:rPr>
                <w:b w:val="false"/>
                <w:bCs w:val="false"/>
                <w:sz w:val="20"/>
                <w:szCs w:val="20"/>
              </w:rPr>
              <w:t xml:space="preserve">Lista desplegable con la zona horaria del sistema (ej. America/Guatemala (UTC-6)).</w:t>
            </w:r>
          </w:p>
        </w:tc>
        <w:tc>
          <w:tcPr>
            <w:tcW w:type="dxa" w:w="3560"/>
            <w:tcMar>
              <w:top w:type="dxa" w:w="100"/>
              <w:left w:type="dxa" w:w="100"/>
              <w:bottom w:type="dxa" w:w="100"/>
              <w:right w:type="dxa" w:w="100"/>
            </w:tcMar>
            <w:vAlign w:val="center"/>
          </w:tcPr>
          <w:p>
            <w:r>
              <w:rPr>
                <w:b w:val="false"/>
                <w:bCs w:val="false"/>
                <w:sz w:val="20"/>
                <w:szCs w:val="20"/>
              </w:rPr>
              <w:t xml:space="preserve">Determina cómo se registran y muestran las fechas y horas de los movimientos.</w:t>
            </w:r>
          </w:p>
        </w:tc>
      </w:tr>
      <w:tr>
        <w:tc>
          <w:tcPr>
            <w:tcW w:type="dxa" w:w="2200"/>
            <w:tcMar>
              <w:top w:type="dxa" w:w="100"/>
              <w:left w:type="dxa" w:w="100"/>
              <w:bottom w:type="dxa" w:w="100"/>
              <w:right w:type="dxa" w:w="100"/>
            </w:tcMar>
            <w:vAlign w:val="center"/>
          </w:tcPr>
          <w:p>
            <w:r>
              <w:rPr>
                <w:b/>
                <w:bCs/>
                <w:sz w:val="20"/>
                <w:szCs w:val="20"/>
              </w:rPr>
              <w:t xml:space="preserve">Formato de decimales</w:t>
            </w:r>
          </w:p>
        </w:tc>
        <w:tc>
          <w:tcPr>
            <w:tcW w:type="dxa" w:w="3600"/>
            <w:tcMar>
              <w:top w:type="dxa" w:w="100"/>
              <w:left w:type="dxa" w:w="100"/>
              <w:bottom w:type="dxa" w:w="100"/>
              <w:right w:type="dxa" w:w="100"/>
            </w:tcMar>
            <w:vAlign w:val="center"/>
          </w:tcPr>
          <w:p>
            <w:r>
              <w:rPr>
                <w:b w:val="false"/>
                <w:bCs w:val="false"/>
                <w:sz w:val="20"/>
                <w:szCs w:val="20"/>
              </w:rPr>
              <w:t xml:space="preserve">Lista desplegable con el formato numérico (ej. "2 Decimales (ej. Q 1,250.50)").</w:t>
            </w:r>
          </w:p>
        </w:tc>
        <w:tc>
          <w:tcPr>
            <w:tcW w:type="dxa" w:w="3560"/>
            <w:tcMar>
              <w:top w:type="dxa" w:w="100"/>
              <w:left w:type="dxa" w:w="100"/>
              <w:bottom w:type="dxa" w:w="100"/>
              <w:right w:type="dxa" w:w="100"/>
            </w:tcMar>
            <w:vAlign w:val="center"/>
          </w:tcPr>
          <w:p>
            <w:r>
              <w:rPr>
                <w:b w:val="false"/>
                <w:bCs w:val="false"/>
                <w:sz w:val="20"/>
                <w:szCs w:val="20"/>
              </w:rPr>
              <w:t xml:space="preserve">Define cuántos decimales se muestran en los montos de toda la aplicación.</w:t>
            </w:r>
          </w:p>
        </w:tc>
      </w:tr>
      <w:tr>
        <w:tc>
          <w:tcPr>
            <w:tcW w:type="dxa" w:w="2200"/>
            <w:tcMar>
              <w:top w:type="dxa" w:w="100"/>
              <w:left w:type="dxa" w:w="100"/>
              <w:bottom w:type="dxa" w:w="100"/>
              <w:right w:type="dxa" w:w="100"/>
            </w:tcMar>
            <w:vAlign w:val="center"/>
          </w:tcPr>
          <w:p>
            <w:r>
              <w:rPr>
                <w:b/>
                <w:bCs/>
                <w:sz w:val="20"/>
                <w:szCs w:val="20"/>
              </w:rPr>
              <w:t xml:space="preserve">Tasas de Cambio Oficiales del Sistema</w:t>
            </w:r>
          </w:p>
        </w:tc>
        <w:tc>
          <w:tcPr>
            <w:tcW w:type="dxa" w:w="3600"/>
            <w:tcMar>
              <w:top w:type="dxa" w:w="100"/>
              <w:left w:type="dxa" w:w="100"/>
              <w:bottom w:type="dxa" w:w="100"/>
              <w:right w:type="dxa" w:w="100"/>
            </w:tcMar>
            <w:vAlign w:val="center"/>
          </w:tcPr>
          <w:p>
            <w:r>
              <w:rPr>
                <w:b w:val="false"/>
                <w:bCs w:val="false"/>
                <w:sz w:val="20"/>
                <w:szCs w:val="20"/>
              </w:rPr>
              <w:t xml:space="preserve">Tres tarjetas con las tasas de conversión: Quetzal (GTQ) como base oficial (1.00), Dólar (USD, ej. $1.00 = Q 7.75) y Euro (EUR, ej. €1.00 = Q 8.45), con la nota "Conversión multidivisa en tiempo real".</w:t>
            </w:r>
          </w:p>
        </w:tc>
        <w:tc>
          <w:tcPr>
            <w:tcW w:type="dxa" w:w="3560"/>
            <w:tcMar>
              <w:top w:type="dxa" w:w="100"/>
              <w:left w:type="dxa" w:w="100"/>
              <w:bottom w:type="dxa" w:w="100"/>
              <w:right w:type="dxa" w:w="100"/>
            </w:tcMar>
            <w:vAlign w:val="center"/>
          </w:tcPr>
          <w:p>
            <w:r>
              <w:rPr>
                <w:b w:val="false"/>
                <w:bCs w:val="false"/>
                <w:sz w:val="20"/>
                <w:szCs w:val="20"/>
              </w:rPr>
              <w:t xml:space="preserve">Son valores de referencia usados por el simulador de conversión y, potencialmente, por reportes que requieran mostrar montos en otra divisa.</w:t>
            </w:r>
          </w:p>
        </w:tc>
      </w:tr>
      <w:tr>
        <w:tc>
          <w:tcPr>
            <w:tcW w:type="dxa" w:w="2200"/>
            <w:tcMar>
              <w:top w:type="dxa" w:w="100"/>
              <w:left w:type="dxa" w:w="100"/>
              <w:bottom w:type="dxa" w:w="100"/>
              <w:right w:type="dxa" w:w="100"/>
            </w:tcMar>
            <w:vAlign w:val="center"/>
          </w:tcPr>
          <w:p>
            <w:r>
              <w:rPr>
                <w:b/>
                <w:bCs/>
                <w:sz w:val="20"/>
                <w:szCs w:val="20"/>
              </w:rPr>
              <w:t xml:space="preserve">Simulador de conversión rápida</w:t>
            </w:r>
          </w:p>
        </w:tc>
        <w:tc>
          <w:tcPr>
            <w:tcW w:type="dxa" w:w="3600"/>
            <w:tcMar>
              <w:top w:type="dxa" w:w="100"/>
              <w:left w:type="dxa" w:w="100"/>
              <w:bottom w:type="dxa" w:w="100"/>
              <w:right w:type="dxa" w:w="100"/>
            </w:tcMar>
            <w:vAlign w:val="center"/>
          </w:tcPr>
          <w:p>
            <w:r>
              <w:rPr>
                <w:b w:val="false"/>
                <w:bCs w:val="false"/>
                <w:sz w:val="20"/>
                <w:szCs w:val="20"/>
              </w:rPr>
              <w:t xml:space="preserve">Campo para ingresar un monto en Quetzales (ej. Q 1000) y su equivalente calculado en USD, EUR y el monto activo en GTQ (ej. USD $129.03, EUR €118.34, Activo (GTQ) Q 1,000.00).</w:t>
            </w:r>
          </w:p>
        </w:tc>
        <w:tc>
          <w:tcPr>
            <w:tcW w:type="dxa" w:w="3560"/>
            <w:tcMar>
              <w:top w:type="dxa" w:w="100"/>
              <w:left w:type="dxa" w:w="100"/>
              <w:bottom w:type="dxa" w:w="100"/>
              <w:right w:type="dxa" w:w="100"/>
            </w:tcMar>
            <w:vAlign w:val="center"/>
          </w:tcPr>
          <w:p>
            <w:r>
              <w:rPr>
                <w:b w:val="false"/>
                <w:bCs w:val="false"/>
                <w:sz w:val="20"/>
                <w:szCs w:val="20"/>
              </w:rPr>
              <w:t xml:space="preserve">Al escribir un monto, calcula en tiempo real su equivalente en las demás divisas usando las tasas configuradas arriba.</w:t>
            </w:r>
          </w:p>
        </w:tc>
      </w:tr>
      <w:tr>
        <w:tc>
          <w:tcPr>
            <w:tcW w:type="dxa" w:w="2200"/>
            <w:tcMar>
              <w:top w:type="dxa" w:w="100"/>
              <w:left w:type="dxa" w:w="100"/>
              <w:bottom w:type="dxa" w:w="100"/>
              <w:right w:type="dxa" w:w="100"/>
            </w:tcMar>
            <w:vAlign w:val="center"/>
          </w:tcPr>
          <w:p>
            <w:r>
              <w:rPr>
                <w:b/>
                <w:bCs/>
                <w:sz w:val="20"/>
                <w:szCs w:val="20"/>
              </w:rPr>
              <w:t xml:space="preserve">Tema y Apariencia Visual del Sistema</w:t>
            </w:r>
          </w:p>
        </w:tc>
        <w:tc>
          <w:tcPr>
            <w:tcW w:type="dxa" w:w="3600"/>
            <w:tcMar>
              <w:top w:type="dxa" w:w="100"/>
              <w:left w:type="dxa" w:w="100"/>
              <w:bottom w:type="dxa" w:w="100"/>
              <w:right w:type="dxa" w:w="100"/>
            </w:tcMar>
            <w:vAlign w:val="center"/>
          </w:tcPr>
          <w:p>
            <w:r>
              <w:rPr>
                <w:b w:val="false"/>
                <w:bCs w:val="false"/>
                <w:sz w:val="20"/>
                <w:szCs w:val="20"/>
              </w:rPr>
              <w:t xml:space="preserve">Cinco tarjetas de tema seleccionables con vista previa: Oscuro (Esmeralda Principal) — marcado como "ACTIVO" —, Blanco (Luz Pro), Sepia (Vintage Paper), Rosado (Cyber Rose) y Medianoche (Sapphire Ice), cada uno con una breve descripción de su estilo.</w:t>
            </w:r>
          </w:p>
        </w:tc>
        <w:tc>
          <w:tcPr>
            <w:tcW w:type="dxa" w:w="3560"/>
            <w:tcMar>
              <w:top w:type="dxa" w:w="100"/>
              <w:left w:type="dxa" w:w="100"/>
              <w:bottom w:type="dxa" w:w="100"/>
              <w:right w:type="dxa" w:w="100"/>
            </w:tcMar>
            <w:vAlign w:val="center"/>
          </w:tcPr>
          <w:p>
            <w:r>
              <w:rPr>
                <w:b w:val="false"/>
                <w:bCs w:val="false"/>
                <w:sz w:val="20"/>
                <w:szCs w:val="20"/>
              </w:rPr>
              <w:t xml:space="preserve">Al seleccionar un tema, cambia la paleta cromática de toda la interfaz de forma inmediata y persistente, según indica el texto "En tiempo real".</w:t>
            </w:r>
          </w:p>
        </w:tc>
      </w:tr>
    </w:tbl>
    <w:p>
      <w:pPr>
        <w:pBdr>
          <w:bottom w:val="single" w:color="1FAE6A" w:sz="12" w:space="4"/>
        </w:pBdr>
        <w:spacing w:after="200" w:before="300"/>
      </w:pPr>
      <w:r>
        <w:rPr>
          <w:b/>
          <w:bCs/>
          <w:color w:val="2E9E5B"/>
          <w:sz w:val="20"/>
          <w:szCs w:val="20"/>
        </w:rPr>
        <w:t xml:space="preserve">MÓDULO 2</w:t>
      </w:r>
    </w:p>
    <w:p>
      <w:pPr>
        <w:pStyle w:val="Heading2"/>
        <w:spacing w:after="120" w:before="240"/>
      </w:pPr>
      <w:r>
        <w:rPr>
          <w:color w:val="3B6FA6"/>
        </w:rPr>
        <w:t xml:space="preserve">4. Perfil y Entidad</w:t>
      </w:r>
    </w:p>
    <w:p>
      <w:pPr>
        <w:spacing w:after="120"/>
        <w:jc w:val="center"/>
      </w:pPr>
      <w:r>
        <w:drawing>
          <wp:inline distT="0" distB="0" distL="0" distR="0">
            <wp:extent cx="5905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38450"/>
                    </a:xfrm>
                    <a:prstGeom prst="rect">
                      <a:avLst/>
                    </a:prstGeom>
                  </pic:spPr>
                </pic:pic>
              </a:graphicData>
            </a:graphic>
          </wp:inline>
        </w:drawing>
      </w:r>
    </w:p>
    <w:p>
      <w:pPr>
        <w:spacing w:after="240"/>
        <w:jc w:val="center"/>
      </w:pPr>
      <w:r>
        <w:rPr>
          <w:i/>
          <w:iCs/>
          <w:color w:val="555555"/>
          <w:sz w:val="18"/>
          <w:szCs w:val="18"/>
        </w:rPr>
        <w:t xml:space="preserve">Panel "Perfil y Entidad" — foto de perfil, credencial y datos fiscales de la entidad corporativa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2E9E5B" w:color="auto" w:val="clear"/>
            <w:tcMar>
              <w:top w:type="dxa" w:w="100"/>
              <w:left w:type="dxa" w:w="100"/>
              <w:bottom w:type="dxa" w:w="100"/>
              <w:right w:type="dxa" w:w="100"/>
            </w:tcMar>
            <w:vAlign w:val="center"/>
          </w:tcPr>
          <w:p>
            <w:r>
              <w:rPr>
                <w:b/>
                <w:bCs/>
                <w:color w:val="FFFFFF"/>
                <w:sz w:val="20"/>
                <w:szCs w:val="20"/>
              </w:rPr>
              <w:t xml:space="preserve">Componente</w:t>
            </w:r>
          </w:p>
        </w:tc>
        <w:tc>
          <w:tcPr>
            <w:tcW w:type="dxa" w:w="3600"/>
            <w:shd w:fill="2E9E5B" w:color="auto" w:val="clear"/>
            <w:tcMar>
              <w:top w:type="dxa" w:w="100"/>
              <w:left w:type="dxa" w:w="100"/>
              <w:bottom w:type="dxa" w:w="100"/>
              <w:right w:type="dxa" w:w="100"/>
            </w:tcMar>
            <w:vAlign w:val="center"/>
          </w:tcPr>
          <w:p>
            <w:r>
              <w:rPr>
                <w:b/>
                <w:bCs/>
                <w:color w:val="FFFFFF"/>
                <w:sz w:val="20"/>
                <w:szCs w:val="20"/>
              </w:rPr>
              <w:t xml:space="preserve">Qué muestra</w:t>
            </w:r>
          </w:p>
        </w:tc>
        <w:tc>
          <w:tcPr>
            <w:tcW w:type="dxa" w:w="3560"/>
            <w:shd w:fill="2E9E5B" w:color="auto" w:val="clear"/>
            <w:tcMar>
              <w:top w:type="dxa" w:w="100"/>
              <w:left w:type="dxa" w:w="100"/>
              <w:bottom w:type="dxa" w:w="100"/>
              <w:right w:type="dxa" w:w="100"/>
            </w:tcMar>
            <w:vAlign w:val="center"/>
          </w:tcPr>
          <w:p>
            <w:r>
              <w:rPr>
                <w:b/>
                <w:bCs/>
                <w:color w:val="FFFFFF"/>
                <w:sz w:val="20"/>
                <w:szCs w:val="20"/>
              </w:rPr>
              <w:t xml:space="preserve">Qué hace / a dónde lleva</w:t>
            </w:r>
          </w:p>
        </w:tc>
      </w:tr>
      <w:tr>
        <w:tc>
          <w:tcPr>
            <w:tcW w:type="dxa" w:w="2200"/>
            <w:tcMar>
              <w:top w:type="dxa" w:w="100"/>
              <w:left w:type="dxa" w:w="100"/>
              <w:bottom w:type="dxa" w:w="100"/>
              <w:right w:type="dxa" w:w="100"/>
            </w:tcMar>
            <w:vAlign w:val="center"/>
          </w:tcPr>
          <w:p>
            <w:r>
              <w:rPr>
                <w:b/>
                <w:bCs/>
                <w:sz w:val="20"/>
                <w:szCs w:val="20"/>
              </w:rPr>
              <w:t xml:space="preserve">Foto de Perfil y Credencial</w:t>
            </w:r>
          </w:p>
        </w:tc>
        <w:tc>
          <w:tcPr>
            <w:tcW w:type="dxa" w:w="3600"/>
            <w:tcMar>
              <w:top w:type="dxa" w:w="100"/>
              <w:left w:type="dxa" w:w="100"/>
              <w:bottom w:type="dxa" w:w="100"/>
              <w:right w:type="dxa" w:w="100"/>
            </w:tcMar>
            <w:vAlign w:val="center"/>
          </w:tcPr>
          <w:p>
            <w:r>
              <w:rPr>
                <w:b w:val="false"/>
                <w:bCs w:val="false"/>
                <w:sz w:val="20"/>
                <w:szCs w:val="20"/>
              </w:rPr>
              <w:t xml:space="preserve">Avatar actual, nombre (ej. Administrador), etiqueta de rol (ej. "ADMINISTRADOR") y correo (ej. admin@vought.corp).</w:t>
            </w:r>
          </w:p>
        </w:tc>
        <w:tc>
          <w:tcPr>
            <w:tcW w:type="dxa" w:w="3560"/>
            <w:tcMar>
              <w:top w:type="dxa" w:w="100"/>
              <w:left w:type="dxa" w:w="100"/>
              <w:bottom w:type="dxa" w:w="100"/>
              <w:right w:type="dxa" w:w="100"/>
            </w:tcMar>
            <w:vAlign w:val="center"/>
          </w:tcPr>
          <w:p>
            <w:r>
              <w:rPr>
                <w:b w:val="false"/>
                <w:bCs w:val="false"/>
                <w:sz w:val="20"/>
                <w:szCs w:val="20"/>
              </w:rPr>
              <w:t xml:space="preserve">Es informativo; refleja los datos de la cuenta actualmente autenticada.</w:t>
            </w:r>
          </w:p>
        </w:tc>
      </w:tr>
      <w:tr>
        <w:tc>
          <w:tcPr>
            <w:tcW w:type="dxa" w:w="2200"/>
            <w:tcMar>
              <w:top w:type="dxa" w:w="100"/>
              <w:left w:type="dxa" w:w="100"/>
              <w:bottom w:type="dxa" w:w="100"/>
              <w:right w:type="dxa" w:w="100"/>
            </w:tcMar>
            <w:vAlign w:val="center"/>
          </w:tcPr>
          <w:p>
            <w:r>
              <w:rPr>
                <w:b/>
                <w:bCs/>
                <w:sz w:val="20"/>
                <w:szCs w:val="20"/>
              </w:rPr>
              <w:t xml:space="preserve">Seleccionar avatar corporativo</w:t>
            </w:r>
          </w:p>
        </w:tc>
        <w:tc>
          <w:tcPr>
            <w:tcW w:type="dxa" w:w="3600"/>
            <w:tcMar>
              <w:top w:type="dxa" w:w="100"/>
              <w:left w:type="dxa" w:w="100"/>
              <w:bottom w:type="dxa" w:w="100"/>
              <w:right w:type="dxa" w:w="100"/>
            </w:tcMar>
            <w:vAlign w:val="center"/>
          </w:tcPr>
          <w:p>
            <w:r>
              <w:rPr>
                <w:b w:val="false"/>
                <w:bCs w:val="false"/>
                <w:sz w:val="20"/>
                <w:szCs w:val="20"/>
              </w:rPr>
              <w:t xml:space="preserve">Galería de miniaturas de avatares predefinidos, con una marca de verificación sobre el avatar actualmente seleccionado.</w:t>
            </w:r>
          </w:p>
        </w:tc>
        <w:tc>
          <w:tcPr>
            <w:tcW w:type="dxa" w:w="3560"/>
            <w:tcMar>
              <w:top w:type="dxa" w:w="100"/>
              <w:left w:type="dxa" w:w="100"/>
              <w:bottom w:type="dxa" w:w="100"/>
              <w:right w:type="dxa" w:w="100"/>
            </w:tcMar>
            <w:vAlign w:val="center"/>
          </w:tcPr>
          <w:p>
            <w:r>
              <w:rPr>
                <w:b w:val="false"/>
                <w:bCs w:val="false"/>
                <w:sz w:val="20"/>
                <w:szCs w:val="20"/>
              </w:rPr>
              <w:t xml:space="preserve">Al hacer clic en una miniatura, cambia el avatar de la cuenta.</w:t>
            </w:r>
          </w:p>
        </w:tc>
      </w:tr>
      <w:tr>
        <w:tc>
          <w:tcPr>
            <w:tcW w:type="dxa" w:w="2200"/>
            <w:tcMar>
              <w:top w:type="dxa" w:w="100"/>
              <w:left w:type="dxa" w:w="100"/>
              <w:bottom w:type="dxa" w:w="100"/>
              <w:right w:type="dxa" w:w="100"/>
            </w:tcMar>
            <w:vAlign w:val="center"/>
          </w:tcPr>
          <w:p>
            <w:r>
              <w:rPr>
                <w:b/>
                <w:bCs/>
                <w:sz w:val="20"/>
                <w:szCs w:val="20"/>
              </w:rPr>
              <w:t xml:space="preserve">Campo "O ingresa un enlace directo (URL) a tu foto"</w:t>
            </w:r>
          </w:p>
        </w:tc>
        <w:tc>
          <w:tcPr>
            <w:tcW w:type="dxa" w:w="3600"/>
            <w:tcMar>
              <w:top w:type="dxa" w:w="100"/>
              <w:left w:type="dxa" w:w="100"/>
              <w:bottom w:type="dxa" w:w="100"/>
              <w:right w:type="dxa" w:w="100"/>
            </w:tcMar>
            <w:vAlign w:val="center"/>
          </w:tcPr>
          <w:p>
            <w:r>
              <w:rPr>
                <w:b w:val="false"/>
                <w:bCs w:val="false"/>
                <w:sz w:val="20"/>
                <w:szCs w:val="20"/>
              </w:rPr>
              <w:t xml:space="preserve">Campo de texto para pegar una URL de imagen (ej. /assets/images/perfil.png).</w:t>
            </w:r>
          </w:p>
        </w:tc>
        <w:tc>
          <w:tcPr>
            <w:tcW w:type="dxa" w:w="3560"/>
            <w:tcMar>
              <w:top w:type="dxa" w:w="100"/>
              <w:left w:type="dxa" w:w="100"/>
              <w:bottom w:type="dxa" w:w="100"/>
              <w:right w:type="dxa" w:w="100"/>
            </w:tcMar>
            <w:vAlign w:val="center"/>
          </w:tcPr>
          <w:p>
            <w:r>
              <w:rPr>
                <w:b w:val="false"/>
                <w:bCs w:val="false"/>
                <w:sz w:val="20"/>
                <w:szCs w:val="20"/>
              </w:rPr>
              <w:t xml:space="preserve">Permite usar una imagen externa como avatar en lugar de las predefinidas.</w:t>
            </w:r>
          </w:p>
        </w:tc>
      </w:tr>
      <w:tr>
        <w:tc>
          <w:tcPr>
            <w:tcW w:type="dxa" w:w="2200"/>
            <w:tcMar>
              <w:top w:type="dxa" w:w="100"/>
              <w:left w:type="dxa" w:w="100"/>
              <w:bottom w:type="dxa" w:w="100"/>
              <w:right w:type="dxa" w:w="100"/>
            </w:tcMar>
            <w:vAlign w:val="center"/>
          </w:tcPr>
          <w:p>
            <w:r>
              <w:rPr>
                <w:b/>
                <w:bCs/>
                <w:sz w:val="20"/>
                <w:szCs w:val="20"/>
              </w:rPr>
              <w:t xml:space="preserve">Razón social</w:t>
            </w:r>
          </w:p>
        </w:tc>
        <w:tc>
          <w:tcPr>
            <w:tcW w:type="dxa" w:w="3600"/>
            <w:tcMar>
              <w:top w:type="dxa" w:w="100"/>
              <w:left w:type="dxa" w:w="100"/>
              <w:bottom w:type="dxa" w:w="100"/>
              <w:right w:type="dxa" w:w="100"/>
            </w:tcMar>
            <w:vAlign w:val="center"/>
          </w:tcPr>
          <w:p>
            <w:r>
              <w:rPr>
                <w:b w:val="false"/>
                <w:bCs w:val="false"/>
                <w:sz w:val="20"/>
                <w:szCs w:val="20"/>
              </w:rPr>
              <w:t xml:space="preserve">Campo de texto con el nombre legal de la entidad (ej. Vought International Finance Corp.).</w:t>
            </w:r>
          </w:p>
        </w:tc>
        <w:tc>
          <w:tcPr>
            <w:tcW w:type="dxa" w:w="3560"/>
            <w:tcMar>
              <w:top w:type="dxa" w:w="100"/>
              <w:left w:type="dxa" w:w="100"/>
              <w:bottom w:type="dxa" w:w="100"/>
              <w:right w:type="dxa" w:w="100"/>
            </w:tcMar>
            <w:vAlign w:val="center"/>
          </w:tcPr>
          <w:p>
            <w:r>
              <w:rPr>
                <w:b w:val="false"/>
                <w:bCs w:val="false"/>
                <w:sz w:val="20"/>
                <w:szCs w:val="20"/>
              </w:rPr>
              <w:t xml:space="preserve">Se guarda como el nombre legal que aparece en comprobantes y reportes ejecutivos.</w:t>
            </w:r>
          </w:p>
        </w:tc>
      </w:tr>
      <w:tr>
        <w:tc>
          <w:tcPr>
            <w:tcW w:type="dxa" w:w="2200"/>
            <w:tcMar>
              <w:top w:type="dxa" w:w="100"/>
              <w:left w:type="dxa" w:w="100"/>
              <w:bottom w:type="dxa" w:w="100"/>
              <w:right w:type="dxa" w:w="100"/>
            </w:tcMar>
            <w:vAlign w:val="center"/>
          </w:tcPr>
          <w:p>
            <w:r>
              <w:rPr>
                <w:b/>
                <w:bCs/>
                <w:sz w:val="20"/>
                <w:szCs w:val="20"/>
              </w:rPr>
              <w:t xml:space="preserve">NIT / Registro tributario</w:t>
            </w:r>
          </w:p>
        </w:tc>
        <w:tc>
          <w:tcPr>
            <w:tcW w:type="dxa" w:w="3600"/>
            <w:tcMar>
              <w:top w:type="dxa" w:w="100"/>
              <w:left w:type="dxa" w:w="100"/>
              <w:bottom w:type="dxa" w:w="100"/>
              <w:right w:type="dxa" w:w="100"/>
            </w:tcMar>
            <w:vAlign w:val="center"/>
          </w:tcPr>
          <w:p>
            <w:r>
              <w:rPr>
                <w:b w:val="false"/>
                <w:bCs w:val="false"/>
                <w:sz w:val="20"/>
                <w:szCs w:val="20"/>
              </w:rPr>
              <w:t xml:space="preserve">Campo de texto con el número de identificación fiscal (ej. 9845210-4).</w:t>
            </w:r>
          </w:p>
        </w:tc>
        <w:tc>
          <w:tcPr>
            <w:tcW w:type="dxa" w:w="3560"/>
            <w:tcMar>
              <w:top w:type="dxa" w:w="100"/>
              <w:left w:type="dxa" w:w="100"/>
              <w:bottom w:type="dxa" w:w="100"/>
              <w:right w:type="dxa" w:w="100"/>
            </w:tcMar>
            <w:vAlign w:val="center"/>
          </w:tcPr>
          <w:p>
            <w:r>
              <w:rPr>
                <w:b w:val="false"/>
                <w:bCs w:val="false"/>
                <w:sz w:val="20"/>
                <w:szCs w:val="20"/>
              </w:rPr>
              <w:t xml:space="preserve">Se guarda como el dato fiscal usado en comprobantes y auditorías.</w:t>
            </w:r>
          </w:p>
        </w:tc>
      </w:tr>
      <w:tr>
        <w:tc>
          <w:tcPr>
            <w:tcW w:type="dxa" w:w="2200"/>
            <w:tcMar>
              <w:top w:type="dxa" w:w="100"/>
              <w:left w:type="dxa" w:w="100"/>
              <w:bottom w:type="dxa" w:w="100"/>
              <w:right w:type="dxa" w:w="100"/>
            </w:tcMar>
            <w:vAlign w:val="center"/>
          </w:tcPr>
          <w:p>
            <w:r>
              <w:rPr>
                <w:b/>
                <w:bCs/>
                <w:sz w:val="20"/>
                <w:szCs w:val="20"/>
              </w:rPr>
              <w:t xml:space="preserve">Correo de auditoría</w:t>
            </w:r>
          </w:p>
        </w:tc>
        <w:tc>
          <w:tcPr>
            <w:tcW w:type="dxa" w:w="3600"/>
            <w:tcMar>
              <w:top w:type="dxa" w:w="100"/>
              <w:left w:type="dxa" w:w="100"/>
              <w:bottom w:type="dxa" w:w="100"/>
              <w:right w:type="dxa" w:w="100"/>
            </w:tcMar>
            <w:vAlign w:val="center"/>
          </w:tcPr>
          <w:p>
            <w:r>
              <w:rPr>
                <w:b w:val="false"/>
                <w:bCs w:val="false"/>
                <w:sz w:val="20"/>
                <w:szCs w:val="20"/>
              </w:rPr>
              <w:t xml:space="preserve">Campo de texto con el correo usado para notificaciones de auditoría (ej. auditoria@vought.corp).</w:t>
            </w:r>
          </w:p>
        </w:tc>
        <w:tc>
          <w:tcPr>
            <w:tcW w:type="dxa" w:w="3560"/>
            <w:tcMar>
              <w:top w:type="dxa" w:w="100"/>
              <w:left w:type="dxa" w:w="100"/>
              <w:bottom w:type="dxa" w:w="100"/>
              <w:right w:type="dxa" w:w="100"/>
            </w:tcMar>
            <w:vAlign w:val="center"/>
          </w:tcPr>
          <w:p>
            <w:r>
              <w:rPr>
                <w:b w:val="false"/>
                <w:bCs w:val="false"/>
                <w:sz w:val="20"/>
                <w:szCs w:val="20"/>
              </w:rPr>
              <w:t xml:space="preserve">Define a qué correo se envían las notificaciones o reportes relacionados con auditoría.</w:t>
            </w:r>
          </w:p>
        </w:tc>
      </w:tr>
      <w:tr>
        <w:tc>
          <w:tcPr>
            <w:tcW w:type="dxa" w:w="2200"/>
            <w:tcMar>
              <w:top w:type="dxa" w:w="100"/>
              <w:left w:type="dxa" w:w="100"/>
              <w:bottom w:type="dxa" w:w="100"/>
              <w:right w:type="dxa" w:w="100"/>
            </w:tcMar>
            <w:vAlign w:val="center"/>
          </w:tcPr>
          <w:p>
            <w:r>
              <w:rPr>
                <w:b/>
                <w:bCs/>
                <w:sz w:val="20"/>
                <w:szCs w:val="20"/>
              </w:rPr>
              <w:t xml:space="preserve">Botón "Guardar Cambios"</w:t>
            </w:r>
          </w:p>
        </w:tc>
        <w:tc>
          <w:tcPr>
            <w:tcW w:type="dxa" w:w="3600"/>
            <w:tcMar>
              <w:top w:type="dxa" w:w="100"/>
              <w:left w:type="dxa" w:w="100"/>
              <w:bottom w:type="dxa" w:w="100"/>
              <w:right w:type="dxa" w:w="100"/>
            </w:tcMar>
            <w:vAlign w:val="center"/>
          </w:tcPr>
          <w:p>
            <w:r>
              <w:rPr>
                <w:b w:val="false"/>
                <w:bCs w:val="false"/>
                <w:sz w:val="20"/>
                <w:szCs w:val="20"/>
              </w:rPr>
              <w:t xml:space="preserve">Botón principal en la parte inferior del panel.</w:t>
            </w:r>
          </w:p>
        </w:tc>
        <w:tc>
          <w:tcPr>
            <w:tcW w:type="dxa" w:w="3560"/>
            <w:tcMar>
              <w:top w:type="dxa" w:w="100"/>
              <w:left w:type="dxa" w:w="100"/>
              <w:bottom w:type="dxa" w:w="100"/>
              <w:right w:type="dxa" w:w="100"/>
            </w:tcMar>
            <w:vAlign w:val="center"/>
          </w:tcPr>
          <w:p>
            <w:r>
              <w:rPr>
                <w:b w:val="false"/>
                <w:bCs w:val="false"/>
                <w:sz w:val="20"/>
                <w:szCs w:val="20"/>
              </w:rPr>
              <w:t xml:space="preserve">Guarda los cambios realizados en Perfil y/o Entidad Corporativa.</w:t>
            </w:r>
          </w:p>
        </w:tc>
      </w:tr>
    </w:tbl>
    <w:p>
      <w:pPr>
        <w:pBdr>
          <w:bottom w:val="single" w:color="1FAE6A" w:sz="12" w:space="4"/>
        </w:pBdr>
        <w:spacing w:after="200" w:before="300"/>
      </w:pPr>
      <w:r>
        <w:rPr>
          <w:b/>
          <w:bCs/>
          <w:color w:val="2E9E5B"/>
          <w:sz w:val="20"/>
          <w:szCs w:val="20"/>
        </w:rPr>
        <w:t xml:space="preserve">MÓDULO 3</w:t>
      </w:r>
    </w:p>
    <w:p>
      <w:pPr>
        <w:pStyle w:val="Heading2"/>
        <w:spacing w:after="120" w:before="240"/>
      </w:pPr>
      <w:r>
        <w:rPr>
          <w:color w:val="3B6FA6"/>
        </w:rPr>
        <w:t xml:space="preserve">5. Alertas y Límites</w:t>
      </w:r>
    </w:p>
    <w:p>
      <w:pPr>
        <w:spacing w:after="120"/>
        <w:jc w:val="center"/>
      </w:pPr>
      <w:r>
        <w:drawing>
          <wp:inline distT="0" distB="0" distL="0" distR="0">
            <wp:extent cx="5905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71800"/>
                    </a:xfrm>
                    <a:prstGeom prst="rect">
                      <a:avLst/>
                    </a:prstGeom>
                  </pic:spPr>
                </pic:pic>
              </a:graphicData>
            </a:graphic>
          </wp:inline>
        </w:drawing>
      </w:r>
    </w:p>
    <w:p>
      <w:pPr>
        <w:spacing w:after="240"/>
        <w:jc w:val="center"/>
      </w:pPr>
      <w:r>
        <w:rPr>
          <w:i/>
          <w:iCs/>
          <w:color w:val="555555"/>
          <w:sz w:val="18"/>
          <w:szCs w:val="18"/>
        </w:rPr>
        <w:t xml:space="preserve">Panel "Alertas y Límites" — umbrales automáticos de presupuesto y bloqueo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2E9E5B" w:color="auto" w:val="clear"/>
            <w:tcMar>
              <w:top w:type="dxa" w:w="100"/>
              <w:left w:type="dxa" w:w="100"/>
              <w:bottom w:type="dxa" w:w="100"/>
              <w:right w:type="dxa" w:w="100"/>
            </w:tcMar>
            <w:vAlign w:val="center"/>
          </w:tcPr>
          <w:p>
            <w:r>
              <w:rPr>
                <w:b/>
                <w:bCs/>
                <w:color w:val="FFFFFF"/>
                <w:sz w:val="20"/>
                <w:szCs w:val="20"/>
              </w:rPr>
              <w:t xml:space="preserve">Componente</w:t>
            </w:r>
          </w:p>
        </w:tc>
        <w:tc>
          <w:tcPr>
            <w:tcW w:type="dxa" w:w="3600"/>
            <w:shd w:fill="2E9E5B" w:color="auto" w:val="clear"/>
            <w:tcMar>
              <w:top w:type="dxa" w:w="100"/>
              <w:left w:type="dxa" w:w="100"/>
              <w:bottom w:type="dxa" w:w="100"/>
              <w:right w:type="dxa" w:w="100"/>
            </w:tcMar>
            <w:vAlign w:val="center"/>
          </w:tcPr>
          <w:p>
            <w:r>
              <w:rPr>
                <w:b/>
                <w:bCs/>
                <w:color w:val="FFFFFF"/>
                <w:sz w:val="20"/>
                <w:szCs w:val="20"/>
              </w:rPr>
              <w:t xml:space="preserve">Qué muestra</w:t>
            </w:r>
          </w:p>
        </w:tc>
        <w:tc>
          <w:tcPr>
            <w:tcW w:type="dxa" w:w="3560"/>
            <w:shd w:fill="2E9E5B" w:color="auto" w:val="clear"/>
            <w:tcMar>
              <w:top w:type="dxa" w:w="100"/>
              <w:left w:type="dxa" w:w="100"/>
              <w:bottom w:type="dxa" w:w="100"/>
              <w:right w:type="dxa" w:w="100"/>
            </w:tcMar>
            <w:vAlign w:val="center"/>
          </w:tcPr>
          <w:p>
            <w:r>
              <w:rPr>
                <w:b/>
                <w:bCs/>
                <w:color w:val="FFFFFF"/>
                <w:sz w:val="20"/>
                <w:szCs w:val="20"/>
              </w:rPr>
              <w:t xml:space="preserve">Qué hace / a dónde lleva</w:t>
            </w:r>
          </w:p>
        </w:tc>
      </w:tr>
      <w:tr>
        <w:tc>
          <w:tcPr>
            <w:tcW w:type="dxa" w:w="2200"/>
            <w:tcMar>
              <w:top w:type="dxa" w:w="100"/>
              <w:left w:type="dxa" w:w="100"/>
              <w:bottom w:type="dxa" w:w="100"/>
              <w:right w:type="dxa" w:w="100"/>
            </w:tcMar>
            <w:vAlign w:val="center"/>
          </w:tcPr>
          <w:p>
            <w:r>
              <w:rPr>
                <w:b/>
                <w:bCs/>
                <w:sz w:val="20"/>
                <w:szCs w:val="20"/>
              </w:rPr>
              <w:t xml:space="preserve">Alerta Preventiva (80% del presupuesto)</w:t>
            </w:r>
          </w:p>
        </w:tc>
        <w:tc>
          <w:tcPr>
            <w:tcW w:type="dxa" w:w="3600"/>
            <w:tcMar>
              <w:top w:type="dxa" w:w="100"/>
              <w:left w:type="dxa" w:w="100"/>
              <w:bottom w:type="dxa" w:w="100"/>
              <w:right w:type="dxa" w:w="100"/>
            </w:tcMar>
            <w:vAlign w:val="center"/>
          </w:tcPr>
          <w:p>
            <w:r>
              <w:rPr>
                <w:b w:val="false"/>
                <w:bCs w:val="false"/>
                <w:sz w:val="20"/>
                <w:szCs w:val="20"/>
              </w:rPr>
              <w:t xml:space="preserve">Interruptor (switch) activado en verde, con la descripción "Muestra aviso ámbar cuando una categoría supera el 80% del límite asignado".</w:t>
            </w:r>
          </w:p>
        </w:tc>
        <w:tc>
          <w:tcPr>
            <w:tcW w:type="dxa" w:w="3560"/>
            <w:tcMar>
              <w:top w:type="dxa" w:w="100"/>
              <w:left w:type="dxa" w:w="100"/>
              <w:bottom w:type="dxa" w:w="100"/>
              <w:right w:type="dxa" w:w="100"/>
            </w:tcMar>
            <w:vAlign w:val="center"/>
          </w:tcPr>
          <w:p>
            <w:r>
              <w:rPr>
                <w:b w:val="false"/>
                <w:bCs w:val="false"/>
                <w:sz w:val="20"/>
                <w:szCs w:val="20"/>
              </w:rPr>
              <w:t xml:space="preserve">Al activarse/desactivarse, controla si el sistema muestra un aviso preventivo cuando una categoría de presupuesto llega al 80% de su límite.</w:t>
            </w:r>
          </w:p>
        </w:tc>
      </w:tr>
      <w:tr>
        <w:tc>
          <w:tcPr>
            <w:tcW w:type="dxa" w:w="2200"/>
            <w:tcMar>
              <w:top w:type="dxa" w:w="100"/>
              <w:left w:type="dxa" w:w="100"/>
              <w:bottom w:type="dxa" w:w="100"/>
              <w:right w:type="dxa" w:w="100"/>
            </w:tcMar>
            <w:vAlign w:val="center"/>
          </w:tcPr>
          <w:p>
            <w:r>
              <w:rPr>
                <w:b/>
                <w:bCs/>
                <w:sz w:val="20"/>
                <w:szCs w:val="20"/>
              </w:rPr>
              <w:t xml:space="preserve">Alerta Crítica (90% del presupuesto)</w:t>
            </w:r>
          </w:p>
        </w:tc>
        <w:tc>
          <w:tcPr>
            <w:tcW w:type="dxa" w:w="3600"/>
            <w:tcMar>
              <w:top w:type="dxa" w:w="100"/>
              <w:left w:type="dxa" w:w="100"/>
              <w:bottom w:type="dxa" w:w="100"/>
              <w:right w:type="dxa" w:w="100"/>
            </w:tcMar>
            <w:vAlign w:val="center"/>
          </w:tcPr>
          <w:p>
            <w:r>
              <w:rPr>
                <w:b w:val="false"/>
                <w:bCs w:val="false"/>
                <w:sz w:val="20"/>
                <w:szCs w:val="20"/>
              </w:rPr>
              <w:t xml:space="preserve">Interruptor activado en verde, con la descripción "Notifica en color carmesí e incluye la categoría en el indicador de riesgo".</w:t>
            </w:r>
          </w:p>
        </w:tc>
        <w:tc>
          <w:tcPr>
            <w:tcW w:type="dxa" w:w="3560"/>
            <w:tcMar>
              <w:top w:type="dxa" w:w="100"/>
              <w:left w:type="dxa" w:w="100"/>
              <w:bottom w:type="dxa" w:w="100"/>
              <w:right w:type="dxa" w:w="100"/>
            </w:tcMar>
            <w:vAlign w:val="center"/>
          </w:tcPr>
          <w:p>
            <w:r>
              <w:rPr>
                <w:b w:val="false"/>
                <w:bCs w:val="false"/>
                <w:sz w:val="20"/>
                <w:szCs w:val="20"/>
              </w:rPr>
              <w:t xml:space="preserve">Al activarse/desactivarse, controla si el sistema muestra una alerta crítica cuando una categoría de presupuesto llega al 90% de su límite.</w:t>
            </w:r>
          </w:p>
        </w:tc>
      </w:tr>
      <w:tr>
        <w:tc>
          <w:tcPr>
            <w:tcW w:type="dxa" w:w="2200"/>
            <w:tcMar>
              <w:top w:type="dxa" w:w="100"/>
              <w:left w:type="dxa" w:w="100"/>
              <w:bottom w:type="dxa" w:w="100"/>
              <w:right w:type="dxa" w:w="100"/>
            </w:tcMar>
            <w:vAlign w:val="center"/>
          </w:tcPr>
          <w:p>
            <w:r>
              <w:rPr>
                <w:b/>
                <w:bCs/>
                <w:sz w:val="20"/>
                <w:szCs w:val="20"/>
              </w:rPr>
              <w:t xml:space="preserve">Bloqueo de seguridad al vencer sesión</w:t>
            </w:r>
          </w:p>
        </w:tc>
        <w:tc>
          <w:tcPr>
            <w:tcW w:type="dxa" w:w="3600"/>
            <w:tcMar>
              <w:top w:type="dxa" w:w="100"/>
              <w:left w:type="dxa" w:w="100"/>
              <w:bottom w:type="dxa" w:w="100"/>
              <w:right w:type="dxa" w:w="100"/>
            </w:tcMar>
            <w:vAlign w:val="center"/>
          </w:tcPr>
          <w:p>
            <w:r>
              <w:rPr>
                <w:b w:val="false"/>
                <w:bCs w:val="false"/>
                <w:sz w:val="20"/>
                <w:szCs w:val="20"/>
              </w:rPr>
              <w:t xml:space="preserve">Interruptor activado en verde, con la descripción "Presenta la pantalla de bloqueo translúcida para proteger los datos financieros".</w:t>
            </w:r>
          </w:p>
        </w:tc>
        <w:tc>
          <w:tcPr>
            <w:tcW w:type="dxa" w:w="3560"/>
            <w:tcMar>
              <w:top w:type="dxa" w:w="100"/>
              <w:left w:type="dxa" w:w="100"/>
              <w:bottom w:type="dxa" w:w="100"/>
              <w:right w:type="dxa" w:w="100"/>
            </w:tcMar>
            <w:vAlign w:val="center"/>
          </w:tcPr>
          <w:p>
            <w:r>
              <w:rPr>
                <w:b w:val="false"/>
                <w:bCs w:val="false"/>
                <w:sz w:val="20"/>
                <w:szCs w:val="20"/>
              </w:rPr>
              <w:t xml:space="preserve">Al activarse/desactivarse, controla si el sistema bloquea la pantalla automáticamente al expirar la sesión por inactividad.</w:t>
            </w:r>
          </w:p>
        </w:tc>
      </w:tr>
      <w:tr>
        <w:tc>
          <w:tcPr>
            <w:tcW w:type="dxa" w:w="2200"/>
            <w:tcMar>
              <w:top w:type="dxa" w:w="100"/>
              <w:left w:type="dxa" w:w="100"/>
              <w:bottom w:type="dxa" w:w="100"/>
              <w:right w:type="dxa" w:w="100"/>
            </w:tcMar>
            <w:vAlign w:val="center"/>
          </w:tcPr>
          <w:p>
            <w:r>
              <w:rPr>
                <w:b/>
                <w:bCs/>
                <w:sz w:val="20"/>
                <w:szCs w:val="20"/>
              </w:rPr>
              <w:t xml:space="preserve">Botón "Guardar Cambios"</w:t>
            </w:r>
          </w:p>
        </w:tc>
        <w:tc>
          <w:tcPr>
            <w:tcW w:type="dxa" w:w="3600"/>
            <w:tcMar>
              <w:top w:type="dxa" w:w="100"/>
              <w:left w:type="dxa" w:w="100"/>
              <w:bottom w:type="dxa" w:w="100"/>
              <w:right w:type="dxa" w:w="100"/>
            </w:tcMar>
            <w:vAlign w:val="center"/>
          </w:tcPr>
          <w:p>
            <w:r>
              <w:rPr>
                <w:b w:val="false"/>
                <w:bCs w:val="false"/>
                <w:sz w:val="20"/>
                <w:szCs w:val="20"/>
              </w:rPr>
              <w:t xml:space="preserve">Botón principal en la parte inferior del panel.</w:t>
            </w:r>
          </w:p>
        </w:tc>
        <w:tc>
          <w:tcPr>
            <w:tcW w:type="dxa" w:w="3560"/>
            <w:tcMar>
              <w:top w:type="dxa" w:w="100"/>
              <w:left w:type="dxa" w:w="100"/>
              <w:bottom w:type="dxa" w:w="100"/>
              <w:right w:type="dxa" w:w="100"/>
            </w:tcMar>
            <w:vAlign w:val="center"/>
          </w:tcPr>
          <w:p>
            <w:r>
              <w:rPr>
                <w:b w:val="false"/>
                <w:bCs w:val="false"/>
                <w:sz w:val="20"/>
                <w:szCs w:val="20"/>
              </w:rPr>
              <w:t xml:space="preserve">Guarda la configuración de alertas y límites.</w:t>
            </w:r>
          </w:p>
        </w:tc>
      </w:tr>
    </w:tbl>
    <w:p>
      <w:pPr>
        <w:pBdr>
          <w:bottom w:val="single" w:color="1FAE6A" w:sz="12" w:space="4"/>
        </w:pBdr>
        <w:spacing w:after="200" w:before="300"/>
      </w:pPr>
      <w:r>
        <w:rPr>
          <w:b/>
          <w:bCs/>
          <w:color w:val="2E9E5B"/>
          <w:sz w:val="20"/>
          <w:szCs w:val="20"/>
        </w:rPr>
        <w:t xml:space="preserve">MÓDULO 4</w:t>
      </w:r>
    </w:p>
    <w:p>
      <w:pPr>
        <w:pStyle w:val="Heading2"/>
        <w:spacing w:after="120" w:before="240"/>
      </w:pPr>
      <w:r>
        <w:rPr>
          <w:color w:val="3B6FA6"/>
        </w:rPr>
        <w:t xml:space="preserve">6. Integraciones &amp; API</w:t>
      </w:r>
    </w:p>
    <w:p>
      <w:pPr>
        <w:spacing w:after="120"/>
        <w:jc w:val="center"/>
      </w:pPr>
      <w:r>
        <w:drawing>
          <wp:inline distT="0" distB="0" distL="0" distR="0">
            <wp:extent cx="5905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00350"/>
                    </a:xfrm>
                    <a:prstGeom prst="rect">
                      <a:avLst/>
                    </a:prstGeom>
                  </pic:spPr>
                </pic:pic>
              </a:graphicData>
            </a:graphic>
          </wp:inline>
        </w:drawing>
      </w:r>
    </w:p>
    <w:p>
      <w:pPr>
        <w:spacing w:after="240"/>
        <w:jc w:val="center"/>
      </w:pPr>
      <w:r>
        <w:rPr>
          <w:i/>
          <w:iCs/>
          <w:color w:val="555555"/>
          <w:sz w:val="18"/>
          <w:szCs w:val="18"/>
        </w:rPr>
        <w:t xml:space="preserve">Panel "Integraciones &amp; API" — estado de la plataforma y zona de mantenimiento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2E9E5B" w:color="auto" w:val="clear"/>
            <w:tcMar>
              <w:top w:type="dxa" w:w="100"/>
              <w:left w:type="dxa" w:w="100"/>
              <w:bottom w:type="dxa" w:w="100"/>
              <w:right w:type="dxa" w:w="100"/>
            </w:tcMar>
            <w:vAlign w:val="center"/>
          </w:tcPr>
          <w:p>
            <w:r>
              <w:rPr>
                <w:b/>
                <w:bCs/>
                <w:color w:val="FFFFFF"/>
                <w:sz w:val="20"/>
                <w:szCs w:val="20"/>
              </w:rPr>
              <w:t xml:space="preserve">Componente</w:t>
            </w:r>
          </w:p>
        </w:tc>
        <w:tc>
          <w:tcPr>
            <w:tcW w:type="dxa" w:w="3600"/>
            <w:shd w:fill="2E9E5B" w:color="auto" w:val="clear"/>
            <w:tcMar>
              <w:top w:type="dxa" w:w="100"/>
              <w:left w:type="dxa" w:w="100"/>
              <w:bottom w:type="dxa" w:w="100"/>
              <w:right w:type="dxa" w:w="100"/>
            </w:tcMar>
            <w:vAlign w:val="center"/>
          </w:tcPr>
          <w:p>
            <w:r>
              <w:rPr>
                <w:b/>
                <w:bCs/>
                <w:color w:val="FFFFFF"/>
                <w:sz w:val="20"/>
                <w:szCs w:val="20"/>
              </w:rPr>
              <w:t xml:space="preserve">Qué muestra</w:t>
            </w:r>
          </w:p>
        </w:tc>
        <w:tc>
          <w:tcPr>
            <w:tcW w:type="dxa" w:w="3560"/>
            <w:shd w:fill="2E9E5B" w:color="auto" w:val="clear"/>
            <w:tcMar>
              <w:top w:type="dxa" w:w="100"/>
              <w:left w:type="dxa" w:w="100"/>
              <w:bottom w:type="dxa" w:w="100"/>
              <w:right w:type="dxa" w:w="100"/>
            </w:tcMar>
            <w:vAlign w:val="center"/>
          </w:tcPr>
          <w:p>
            <w:r>
              <w:rPr>
                <w:b/>
                <w:bCs/>
                <w:color w:val="FFFFFF"/>
                <w:sz w:val="20"/>
                <w:szCs w:val="20"/>
              </w:rPr>
              <w:t xml:space="preserve">Qué hace / a dónde lleva</w:t>
            </w:r>
          </w:p>
        </w:tc>
      </w:tr>
      <w:tr>
        <w:tc>
          <w:tcPr>
            <w:tcW w:type="dxa" w:w="2200"/>
            <w:tcMar>
              <w:top w:type="dxa" w:w="100"/>
              <w:left w:type="dxa" w:w="100"/>
              <w:bottom w:type="dxa" w:w="100"/>
              <w:right w:type="dxa" w:w="100"/>
            </w:tcMar>
            <w:vAlign w:val="center"/>
          </w:tcPr>
          <w:p>
            <w:r>
              <w:rPr>
                <w:b/>
                <w:bCs/>
                <w:sz w:val="20"/>
                <w:szCs w:val="20"/>
              </w:rPr>
              <w:t xml:space="preserve">Estado de la Plataforma</w:t>
            </w:r>
          </w:p>
        </w:tc>
        <w:tc>
          <w:tcPr>
            <w:tcW w:type="dxa" w:w="3600"/>
            <w:tcMar>
              <w:top w:type="dxa" w:w="100"/>
              <w:left w:type="dxa" w:w="100"/>
              <w:bottom w:type="dxa" w:w="100"/>
              <w:right w:type="dxa" w:w="100"/>
            </w:tcMar>
            <w:vAlign w:val="center"/>
          </w:tcPr>
          <w:p>
            <w:r>
              <w:rPr>
                <w:b w:val="false"/>
                <w:bCs w:val="false"/>
                <w:sz w:val="20"/>
                <w:szCs w:val="20"/>
              </w:rPr>
              <w:t xml:space="preserve">Encabezado del panel con la descripción "Conexión con el backend NestJS y la base de datos MongoDB".</w:t>
            </w:r>
          </w:p>
        </w:tc>
        <w:tc>
          <w:tcPr>
            <w:tcW w:type="dxa" w:w="3560"/>
            <w:tcMar>
              <w:top w:type="dxa" w:w="100"/>
              <w:left w:type="dxa" w:w="100"/>
              <w:bottom w:type="dxa" w:w="100"/>
              <w:right w:type="dxa" w:w="100"/>
            </w:tcMar>
            <w:vAlign w:val="center"/>
          </w:tcPr>
          <w:p>
            <w:r>
              <w:rPr>
                <w:b w:val="false"/>
                <w:bCs w:val="false"/>
                <w:sz w:val="20"/>
                <w:szCs w:val="20"/>
              </w:rPr>
              <w:t xml:space="preserve">Es informativo, no es interactivo.</w:t>
            </w:r>
          </w:p>
        </w:tc>
      </w:tr>
      <w:tr>
        <w:tc>
          <w:tcPr>
            <w:tcW w:type="dxa" w:w="2200"/>
            <w:tcMar>
              <w:top w:type="dxa" w:w="100"/>
              <w:left w:type="dxa" w:w="100"/>
              <w:bottom w:type="dxa" w:w="100"/>
              <w:right w:type="dxa" w:w="100"/>
            </w:tcMar>
            <w:vAlign w:val="center"/>
          </w:tcPr>
          <w:p>
            <w:r>
              <w:rPr>
                <w:b/>
                <w:bCs/>
                <w:sz w:val="20"/>
                <w:szCs w:val="20"/>
              </w:rPr>
              <w:t xml:space="preserve">NestJS Backend Framework</w:t>
            </w:r>
          </w:p>
        </w:tc>
        <w:tc>
          <w:tcPr>
            <w:tcW w:type="dxa" w:w="3600"/>
            <w:tcMar>
              <w:top w:type="dxa" w:w="100"/>
              <w:left w:type="dxa" w:w="100"/>
              <w:bottom w:type="dxa" w:w="100"/>
              <w:right w:type="dxa" w:w="100"/>
            </w:tcMar>
            <w:vAlign w:val="center"/>
          </w:tcPr>
          <w:p>
            <w:r>
              <w:rPr>
                <w:b w:val="false"/>
                <w:bCs w:val="false"/>
                <w:sz w:val="20"/>
                <w:szCs w:val="20"/>
              </w:rPr>
              <w:t xml:space="preserve">URL del backend (ej. http://localhost:3000/api) y una etiqueta de estado (ej. "EN LÍNEA" en verde).</w:t>
            </w:r>
          </w:p>
        </w:tc>
        <w:tc>
          <w:tcPr>
            <w:tcW w:type="dxa" w:w="3560"/>
            <w:tcMar>
              <w:top w:type="dxa" w:w="100"/>
              <w:left w:type="dxa" w:w="100"/>
              <w:bottom w:type="dxa" w:w="100"/>
              <w:right w:type="dxa" w:w="100"/>
            </w:tcMar>
            <w:vAlign w:val="center"/>
          </w:tcPr>
          <w:p>
            <w:r>
              <w:rPr>
                <w:b w:val="false"/>
                <w:bCs w:val="false"/>
                <w:sz w:val="20"/>
                <w:szCs w:val="20"/>
              </w:rPr>
              <w:t xml:space="preserve">Es informativo; indica si el servidor backend está respondiendo correctamente.</w:t>
            </w:r>
          </w:p>
        </w:tc>
      </w:tr>
      <w:tr>
        <w:tc>
          <w:tcPr>
            <w:tcW w:type="dxa" w:w="2200"/>
            <w:tcMar>
              <w:top w:type="dxa" w:w="100"/>
              <w:left w:type="dxa" w:w="100"/>
              <w:bottom w:type="dxa" w:w="100"/>
              <w:right w:type="dxa" w:w="100"/>
            </w:tcMar>
            <w:vAlign w:val="center"/>
          </w:tcPr>
          <w:p>
            <w:r>
              <w:rPr>
                <w:b/>
                <w:bCs/>
                <w:sz w:val="20"/>
                <w:szCs w:val="20"/>
              </w:rPr>
              <w:t xml:space="preserve">MongoDB Database</w:t>
            </w:r>
          </w:p>
        </w:tc>
        <w:tc>
          <w:tcPr>
            <w:tcW w:type="dxa" w:w="3600"/>
            <w:tcMar>
              <w:top w:type="dxa" w:w="100"/>
              <w:left w:type="dxa" w:w="100"/>
              <w:bottom w:type="dxa" w:w="100"/>
              <w:right w:type="dxa" w:w="100"/>
            </w:tcMar>
            <w:vAlign w:val="center"/>
          </w:tcPr>
          <w:p>
            <w:r>
              <w:rPr>
                <w:b w:val="false"/>
                <w:bCs w:val="false"/>
                <w:sz w:val="20"/>
                <w:szCs w:val="20"/>
              </w:rPr>
              <w:t xml:space="preserve">Cadena de conexión a la base de datos (ej. mongodb://localhost:27017/gastos-proyect) y una etiqueta de estado (ej. "CONECTADO" en verde).</w:t>
            </w:r>
          </w:p>
        </w:tc>
        <w:tc>
          <w:tcPr>
            <w:tcW w:type="dxa" w:w="3560"/>
            <w:tcMar>
              <w:top w:type="dxa" w:w="100"/>
              <w:left w:type="dxa" w:w="100"/>
              <w:bottom w:type="dxa" w:w="100"/>
              <w:right w:type="dxa" w:w="100"/>
            </w:tcMar>
            <w:vAlign w:val="center"/>
          </w:tcPr>
          <w:p>
            <w:r>
              <w:rPr>
                <w:b w:val="false"/>
                <w:bCs w:val="false"/>
                <w:sz w:val="20"/>
                <w:szCs w:val="20"/>
              </w:rPr>
              <w:t xml:space="preserve">Es informativo; indica si la conexión a la base de datos está activa.</w:t>
            </w:r>
          </w:p>
        </w:tc>
      </w:tr>
      <w:tr>
        <w:tc>
          <w:tcPr>
            <w:tcW w:type="dxa" w:w="2200"/>
            <w:tcMar>
              <w:top w:type="dxa" w:w="100"/>
              <w:left w:type="dxa" w:w="100"/>
              <w:bottom w:type="dxa" w:w="100"/>
              <w:right w:type="dxa" w:w="100"/>
            </w:tcMar>
            <w:vAlign w:val="center"/>
          </w:tcPr>
          <w:p>
            <w:r>
              <w:rPr>
                <w:b/>
                <w:bCs/>
                <w:sz w:val="20"/>
                <w:szCs w:val="20"/>
              </w:rPr>
              <w:t xml:space="preserve">Google Identity Services</w:t>
            </w:r>
          </w:p>
        </w:tc>
        <w:tc>
          <w:tcPr>
            <w:tcW w:type="dxa" w:w="3600"/>
            <w:tcMar>
              <w:top w:type="dxa" w:w="100"/>
              <w:left w:type="dxa" w:w="100"/>
              <w:bottom w:type="dxa" w:w="100"/>
              <w:right w:type="dxa" w:w="100"/>
            </w:tcMar>
            <w:vAlign w:val="center"/>
          </w:tcPr>
          <w:p>
            <w:r>
              <w:rPr>
                <w:b w:val="false"/>
                <w:bCs w:val="false"/>
                <w:sz w:val="20"/>
                <w:szCs w:val="20"/>
              </w:rPr>
              <w:t xml:space="preserve">Descripción del servicio (ej. "OAuth2 Client ID Configurado") y una etiqueta de estado (ej. "LISTO" en verde).</w:t>
            </w:r>
          </w:p>
        </w:tc>
        <w:tc>
          <w:tcPr>
            <w:tcW w:type="dxa" w:w="3560"/>
            <w:tcMar>
              <w:top w:type="dxa" w:w="100"/>
              <w:left w:type="dxa" w:w="100"/>
              <w:bottom w:type="dxa" w:w="100"/>
              <w:right w:type="dxa" w:w="100"/>
            </w:tcMar>
            <w:vAlign w:val="center"/>
          </w:tcPr>
          <w:p>
            <w:r>
              <w:rPr>
                <w:b w:val="false"/>
                <w:bCs w:val="false"/>
                <w:sz w:val="20"/>
                <w:szCs w:val="20"/>
              </w:rPr>
              <w:t xml:space="preserve">Es informativo; indica si la integración de inicio de sesión con Google está correctamente configurada.</w:t>
            </w:r>
          </w:p>
        </w:tc>
      </w:tr>
      <w:tr>
        <w:tc>
          <w:tcPr>
            <w:tcW w:type="dxa" w:w="2200"/>
            <w:tcMar>
              <w:top w:type="dxa" w:w="100"/>
              <w:left w:type="dxa" w:w="100"/>
              <w:bottom w:type="dxa" w:w="100"/>
              <w:right w:type="dxa" w:w="100"/>
            </w:tcMar>
            <w:vAlign w:val="center"/>
          </w:tcPr>
          <w:p>
            <w:r>
              <w:rPr>
                <w:b/>
                <w:bCs/>
                <w:sz w:val="20"/>
                <w:szCs w:val="20"/>
              </w:rPr>
              <w:t xml:space="preserve">Botón "Comprobar Enlace de Servidor"</w:t>
            </w:r>
          </w:p>
        </w:tc>
        <w:tc>
          <w:tcPr>
            <w:tcW w:type="dxa" w:w="3600"/>
            <w:tcMar>
              <w:top w:type="dxa" w:w="100"/>
              <w:left w:type="dxa" w:w="100"/>
              <w:bottom w:type="dxa" w:w="100"/>
              <w:right w:type="dxa" w:w="100"/>
            </w:tcMar>
            <w:vAlign w:val="center"/>
          </w:tcPr>
          <w:p>
            <w:r>
              <w:rPr>
                <w:b w:val="false"/>
                <w:bCs w:val="false"/>
                <w:sz w:val="20"/>
                <w:szCs w:val="20"/>
              </w:rPr>
              <w:t xml:space="preserve">Botón secundario con ícono de reloj.</w:t>
            </w:r>
          </w:p>
        </w:tc>
        <w:tc>
          <w:tcPr>
            <w:tcW w:type="dxa" w:w="3560"/>
            <w:tcMar>
              <w:top w:type="dxa" w:w="100"/>
              <w:left w:type="dxa" w:w="100"/>
              <w:bottom w:type="dxa" w:w="100"/>
              <w:right w:type="dxa" w:w="100"/>
            </w:tcMar>
            <w:vAlign w:val="center"/>
          </w:tcPr>
          <w:p>
            <w:r>
              <w:rPr>
                <w:b w:val="false"/>
                <w:bCs w:val="false"/>
                <w:sz w:val="20"/>
                <w:szCs w:val="20"/>
              </w:rPr>
              <w:t xml:space="preserve">Vuelve a verificar en tiempo real el estado de las conexiones (backend, base de datos, servicios externos).</w:t>
            </w:r>
          </w:p>
        </w:tc>
      </w:tr>
      <w:tr>
        <w:tc>
          <w:tcPr>
            <w:tcW w:type="dxa" w:w="2200"/>
            <w:tcMar>
              <w:top w:type="dxa" w:w="100"/>
              <w:left w:type="dxa" w:w="100"/>
              <w:bottom w:type="dxa" w:w="100"/>
              <w:right w:type="dxa" w:w="100"/>
            </w:tcMar>
            <w:vAlign w:val="center"/>
          </w:tcPr>
          <w:p>
            <w:r>
              <w:rPr>
                <w:b/>
                <w:bCs/>
                <w:sz w:val="20"/>
                <w:szCs w:val="20"/>
              </w:rPr>
              <w:t xml:space="preserve">Zona de Mantenimiento de Datos (Base de Datos)</w:t>
            </w:r>
          </w:p>
        </w:tc>
        <w:tc>
          <w:tcPr>
            <w:tcW w:type="dxa" w:w="3600"/>
            <w:tcMar>
              <w:top w:type="dxa" w:w="100"/>
              <w:left w:type="dxa" w:w="100"/>
              <w:bottom w:type="dxa" w:w="100"/>
              <w:right w:type="dxa" w:w="100"/>
            </w:tcMar>
            <w:vAlign w:val="center"/>
          </w:tcPr>
          <w:p>
            <w:r>
              <w:rPr>
                <w:b w:val="false"/>
                <w:bCs w:val="false"/>
                <w:sz w:val="20"/>
                <w:szCs w:val="20"/>
              </w:rPr>
              <w:t xml:space="preserve">Panel de advertencia en rojo con la descripción "Permite purgar movimientos contables para reiniciar pruebas y auditorías".</w:t>
            </w:r>
          </w:p>
        </w:tc>
        <w:tc>
          <w:tcPr>
            <w:tcW w:type="dxa" w:w="3560"/>
            <w:tcMar>
              <w:top w:type="dxa" w:w="100"/>
              <w:left w:type="dxa" w:w="100"/>
              <w:bottom w:type="dxa" w:w="100"/>
              <w:right w:type="dxa" w:w="100"/>
            </w:tcMar>
            <w:vAlign w:val="center"/>
          </w:tcPr>
          <w:p>
            <w:r>
              <w:rPr>
                <w:b w:val="false"/>
                <w:bCs w:val="false"/>
                <w:sz w:val="20"/>
                <w:szCs w:val="20"/>
              </w:rPr>
              <w:t xml:space="preserve">Es informativo; advierte que las acciones de esta zona son destructivas.</w:t>
            </w:r>
          </w:p>
        </w:tc>
      </w:tr>
      <w:tr>
        <w:tc>
          <w:tcPr>
            <w:tcW w:type="dxa" w:w="2200"/>
            <w:tcMar>
              <w:top w:type="dxa" w:w="100"/>
              <w:left w:type="dxa" w:w="100"/>
              <w:bottom w:type="dxa" w:w="100"/>
              <w:right w:type="dxa" w:w="100"/>
            </w:tcMar>
            <w:vAlign w:val="center"/>
          </w:tcPr>
          <w:p>
            <w:r>
              <w:rPr>
                <w:b/>
                <w:bCs/>
                <w:sz w:val="20"/>
                <w:szCs w:val="20"/>
              </w:rPr>
              <w:t xml:space="preserve">Botón "Eliminar Todos los Movimientos"</w:t>
            </w:r>
          </w:p>
        </w:tc>
        <w:tc>
          <w:tcPr>
            <w:tcW w:type="dxa" w:w="3600"/>
            <w:tcMar>
              <w:top w:type="dxa" w:w="100"/>
              <w:left w:type="dxa" w:w="100"/>
              <w:bottom w:type="dxa" w:w="100"/>
              <w:right w:type="dxa" w:w="100"/>
            </w:tcMar>
            <w:vAlign w:val="center"/>
          </w:tcPr>
          <w:p>
            <w:r>
              <w:rPr>
                <w:b w:val="false"/>
                <w:bCs w:val="false"/>
                <w:sz w:val="20"/>
                <w:szCs w:val="20"/>
              </w:rPr>
              <w:t xml:space="preserve">Botón en color rojo, dentro del panel de advertencia, con ícono de basura.</w:t>
            </w:r>
          </w:p>
        </w:tc>
        <w:tc>
          <w:tcPr>
            <w:tcW w:type="dxa" w:w="3560"/>
            <w:tcMar>
              <w:top w:type="dxa" w:w="100"/>
              <w:left w:type="dxa" w:w="100"/>
              <w:bottom w:type="dxa" w:w="100"/>
              <w:right w:type="dxa" w:w="100"/>
            </w:tcMar>
            <w:vAlign w:val="center"/>
          </w:tcPr>
          <w:p>
            <w:r>
              <w:rPr>
                <w:b w:val="false"/>
                <w:bCs w:val="false"/>
                <w:sz w:val="20"/>
                <w:szCs w:val="20"/>
              </w:rPr>
              <w:t xml:space="preserve">Elimina permanentemente todos los movimientos contables registrados en el sistema (posiblemente con una confirmación adicional, a validar por tratarse de una acción irreversible).</w:t>
            </w:r>
          </w:p>
        </w:tc>
      </w:tr>
      <w:tr>
        <w:tc>
          <w:tcPr>
            <w:tcW w:type="dxa" w:w="2200"/>
            <w:tcMar>
              <w:top w:type="dxa" w:w="100"/>
              <w:left w:type="dxa" w:w="100"/>
              <w:bottom w:type="dxa" w:w="100"/>
              <w:right w:type="dxa" w:w="100"/>
            </w:tcMar>
            <w:vAlign w:val="center"/>
          </w:tcPr>
          <w:p>
            <w:r>
              <w:rPr>
                <w:b/>
                <w:bCs/>
                <w:sz w:val="20"/>
                <w:szCs w:val="20"/>
              </w:rPr>
              <w:t xml:space="preserve">Botón "Guardar Cambios"</w:t>
            </w:r>
          </w:p>
        </w:tc>
        <w:tc>
          <w:tcPr>
            <w:tcW w:type="dxa" w:w="3600"/>
            <w:tcMar>
              <w:top w:type="dxa" w:w="100"/>
              <w:left w:type="dxa" w:w="100"/>
              <w:bottom w:type="dxa" w:w="100"/>
              <w:right w:type="dxa" w:w="100"/>
            </w:tcMar>
            <w:vAlign w:val="center"/>
          </w:tcPr>
          <w:p>
            <w:r>
              <w:rPr>
                <w:b w:val="false"/>
                <w:bCs w:val="false"/>
                <w:sz w:val="20"/>
                <w:szCs w:val="20"/>
              </w:rPr>
              <w:t xml:space="preserve">Botón principal en la parte inferior del panel.</w:t>
            </w:r>
          </w:p>
        </w:tc>
        <w:tc>
          <w:tcPr>
            <w:tcW w:type="dxa" w:w="3560"/>
            <w:tcMar>
              <w:top w:type="dxa" w:w="100"/>
              <w:left w:type="dxa" w:w="100"/>
              <w:bottom w:type="dxa" w:w="100"/>
              <w:right w:type="dxa" w:w="100"/>
            </w:tcMar>
            <w:vAlign w:val="center"/>
          </w:tcPr>
          <w:p>
            <w:r>
              <w:rPr>
                <w:b w:val="false"/>
                <w:bCs w:val="false"/>
                <w:sz w:val="20"/>
                <w:szCs w:val="20"/>
              </w:rPr>
              <w:t xml:space="preserve">Guarda la configuración de integraciones (si aplica algún campo editable adicional).</w:t>
            </w:r>
          </w:p>
        </w:tc>
      </w:tr>
    </w:tbl>
    <w:p>
      <w:pPr>
        <w:spacing w:after="200"/>
      </w:pPr>
      <w:r>
        <w:rPr>
          <w:sz w:val="22"/>
          <w:szCs w:val="22"/>
        </w:rPr>
        <w:t xml:space="preserve">Notas generales:</w:t>
      </w:r>
    </w:p>
    <w:p>
      <w:pPr>
        <w:spacing w:after="200"/>
      </w:pPr>
      <w:r>
        <w:rPr>
          <w:sz w:val="22"/>
          <w:szCs w:val="22"/>
        </w:rPr>
        <w:t xml:space="preserve">1. El botón "Eliminar Todos los Movimientos" es una acción altamente destructiva e irreversible. Se recomienda encarecidamente confirmar que existe un modal de doble confirmación (por ejemplo, escribir una palabra de seguridad) antes de ejecutar la purga, y que esta acción quede registrada en un log de auditoría.</w:t>
      </w:r>
    </w:p>
    <w:p>
      <w:pPr>
        <w:spacing w:after="200"/>
      </w:pPr>
      <w:r>
        <w:rPr>
          <w:sz w:val="22"/>
          <w:szCs w:val="22"/>
        </w:rPr>
        <w:t xml:space="preserve">2. Se recomienda confirmar si el selector de "Tema y Apariencia Visual" (5 temas: Oscuro, Blanco, Sepia, Rosado, Medianoche) es una preferencia por usuario o una configuración global para todos los usuarios del sistema.</w:t>
      </w:r>
    </w:p>
    <w:p>
      <w:pPr>
        <w:spacing w:after="200"/>
      </w:pPr>
      <w:r>
        <w:rPr>
          <w:sz w:val="22"/>
          <w:szCs w:val="22"/>
        </w:rPr>
        <w:t xml:space="preserve">3. Las "Tasas de Cambio Oficiales" aparecen como valores fijos en la captura (USD y EUR). Conviene confirmar si se actualizan manualmente por un administrador o si se conectan a un servicio externo de tipo de cambio en tiempo real.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6fda1652d6a9ad7cc216470168201f4bf1da3c.png"/><Relationship Id="rId8" Type="http://schemas.openxmlformats.org/officeDocument/2006/relationships/image" Target="media/e1b8e48abbf63661ed7186b3aa4ee7a453b5e7b5.png"/><Relationship Id="rId9" Type="http://schemas.openxmlformats.org/officeDocument/2006/relationships/image" Target="media/975754ed81a5894582e6af63372784ad0df30268.png"/><Relationship Id="rId10" Type="http://schemas.openxmlformats.org/officeDocument/2006/relationships/image" Target="media/356802ad4ee59d6f87b2a5542583b8ea227b5fa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2026-09-14T04:43:35.540Z</dcterms:created>
  <dcterms:modified xsi:type="dcterms:W3CDTF">2026-09-14T04:43:35.540Z</dcterms:modified>
</cp:coreProperties>
</file>

<file path=docProps/custom.xml><?xml version="1.0" encoding="utf-8"?>
<Properties xmlns="http://schemas.openxmlformats.org/officeDocument/2006/custom-properties" xmlns:vt="http://schemas.openxmlformats.org/officeDocument/2006/docPropsVTypes"/>
</file>