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DOCUMENTO DE REFERENCIA FUNCIONAL</w:t>
      </w:r>
    </w:p>
    <w:p>
      <w:pPr>
        <w:spacing w:after="20"/>
      </w:pPr>
      <w:r>
        <w:rPr>
          <w:i/>
          <w:iCs/>
          <w:color w:val="555555"/>
          <w:sz w:val="20"/>
          <w:szCs w:val="20"/>
        </w:rPr>
        <w:t xml:space="preserve">Basado en el prototipo — Pantalla de Reportes Financieros</w:t>
      </w:r>
    </w:p>
    <w:p>
      <w:pPr>
        <w:spacing w:after="240"/>
      </w:pPr>
      <w:r>
        <w:rPr>
          <w:i/>
          <w:iCs/>
          <w:color w:val="555555"/>
          <w:sz w:val="20"/>
          <w:szCs w:val="20"/>
        </w:rPr>
        <w:t xml:space="preserve">Hecho por Ludwing Ivan Vasquez Navas</w:t>
      </w:r>
    </w:p>
    <w:p>
      <w:pPr>
        <w:pStyle w:val="Heading2"/>
        <w:spacing w:after="120" w:before="240"/>
      </w:pPr>
      <w:r>
        <w:rPr>
          <w:color w:val="3B6FA6"/>
        </w:rPr>
        <w:t xml:space="preserve">Introducción</w:t>
      </w:r>
    </w:p>
    <w:p>
      <w:pPr>
        <w:spacing w:after="200"/>
      </w:pPr>
      <w:r>
        <w:rPr>
          <w:sz w:val="22"/>
          <w:szCs w:val="22"/>
        </w:rPr>
        <w:t xml:space="preserve">Este documento describe la pantalla "Reportes Financieros" del sistema "Control de Gastos", que visualiza métricas avanzadas, comparativas intermensuales y proyecciones de gasto corporativo con auditoría continua. Complementa el documento de referencia funcional general, siguiendo la misma barra lateral y barra superior descritas ahí.</w:t>
      </w:r>
    </w:p>
    <w:p>
      <w:pPr>
        <w:pBdr>
          <w:bottom w:val="single" w:color="1FAE6A" w:sz="12" w:space="4"/>
        </w:pBdr>
        <w:spacing w:after="200" w:before="300"/>
      </w:pPr>
      <w:r>
        <w:rPr>
          <w:b/>
          <w:bCs/>
          <w:color w:val="2E9E5B"/>
          <w:sz w:val="20"/>
          <w:szCs w:val="20"/>
        </w:rPr>
        <w:t xml:space="preserve">ESPACIO DE TRABAJO</w:t>
      </w:r>
    </w:p>
    <w:p>
      <w:pPr>
        <w:pStyle w:val="Heading2"/>
        <w:spacing w:after="120" w:before="240"/>
      </w:pPr>
      <w:r>
        <w:rPr>
          <w:color w:val="3B6FA6"/>
        </w:rPr>
        <w:t xml:space="preserve">Reportes Financieros</w:t>
      </w:r>
    </w:p>
    <w:p>
      <w:pPr>
        <w:spacing w:after="120"/>
        <w:jc w:val="center"/>
      </w:pPr>
      <w:r>
        <w:drawing>
          <wp:inline distT="0" distB="0" distL="0" distR="0">
            <wp:extent cx="5905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924175"/>
                    </a:xfrm>
                    <a:prstGeom prst="rect">
                      <a:avLst/>
                    </a:prstGeom>
                  </pic:spPr>
                </pic:pic>
              </a:graphicData>
            </a:graphic>
          </wp:inline>
        </w:drawing>
      </w:r>
    </w:p>
    <w:p>
      <w:pPr>
        <w:spacing w:after="240"/>
        <w:jc w:val="center"/>
      </w:pPr>
      <w:r>
        <w:rPr>
          <w:i/>
          <w:iCs/>
          <w:color w:val="555555"/>
          <w:sz w:val="18"/>
          <w:szCs w:val="18"/>
        </w:rPr>
        <w:t xml:space="preserve">Vista general de la pantalla Reportes Financieros — encabezado, filtros de período, tarjetas resumen y gráficas</w:t>
      </w:r>
    </w:p>
    <w:p>
      <w:pPr>
        <w:spacing w:after="200"/>
      </w:pPr>
      <w:r>
        <w:rPr>
          <w:sz w:val="22"/>
          <w:szCs w:val="22"/>
        </w:rPr>
        <w:t xml:space="preserve">Es la pantalla de análisis más completa del sistema: combina indicadores clave, un gráfico comparativo de flujos mensuales y un desglose de distribución por categoría, todo filtrable por rango de tiempo.</w:t>
      </w:r>
    </w:p>
    <w:p>
      <w:pPr>
        <w:pStyle w:val="Heading2"/>
        <w:spacing w:after="120" w:before="240"/>
      </w:pPr>
      <w:r>
        <w:rPr>
          <w:color w:val="3B6FA6"/>
        </w:rPr>
        <w:t xml:space="preserve">1. Encabezado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Etiqueta "Inteligencia y reportes // Auditoría algorítmica"</w:t>
            </w:r>
          </w:p>
        </w:tc>
        <w:tc>
          <w:tcPr>
            <w:tcW w:type="dxa" w:w="3600"/>
            <w:tcMar>
              <w:top w:type="dxa" w:w="100"/>
              <w:left w:type="dxa" w:w="100"/>
              <w:bottom w:type="dxa" w:w="100"/>
              <w:right w:type="dxa" w:w="100"/>
            </w:tcMar>
            <w:vAlign w:val="center"/>
          </w:tcPr>
          <w:p>
            <w:r>
              <w:rPr>
                <w:b w:val="false"/>
                <w:bCs w:val="false"/>
                <w:sz w:val="20"/>
                <w:szCs w:val="20"/>
              </w:rPr>
              <w:t xml:space="preserve">Categoría superior y subcategoría a la que pertenece la sección.</w:t>
            </w:r>
          </w:p>
        </w:tc>
        <w:tc>
          <w:tcPr>
            <w:tcW w:type="dxa" w:w="3560"/>
            <w:tcMar>
              <w:top w:type="dxa" w:w="100"/>
              <w:left w:type="dxa" w:w="100"/>
              <w:bottom w:type="dxa" w:w="100"/>
              <w:right w:type="dxa" w:w="100"/>
            </w:tcMar>
            <w:vAlign w:val="center"/>
          </w:tcPr>
          <w:p>
            <w:r>
              <w:rPr>
                <w:b w:val="false"/>
                <w:bCs w:val="false"/>
                <w:sz w:val="20"/>
                <w:szCs w:val="20"/>
              </w:rPr>
              <w:t xml:space="preserve">Es informativa, no es interactiva.</w:t>
            </w:r>
          </w:p>
        </w:tc>
      </w:tr>
      <w:tr>
        <w:tc>
          <w:tcPr>
            <w:tcW w:type="dxa" w:w="2200"/>
            <w:tcMar>
              <w:top w:type="dxa" w:w="100"/>
              <w:left w:type="dxa" w:w="100"/>
              <w:bottom w:type="dxa" w:w="100"/>
              <w:right w:type="dxa" w:w="100"/>
            </w:tcMar>
            <w:vAlign w:val="center"/>
          </w:tcPr>
          <w:p>
            <w:r>
              <w:rPr>
                <w:b/>
                <w:bCs/>
                <w:sz w:val="20"/>
                <w:szCs w:val="20"/>
              </w:rPr>
              <w:t xml:space="preserve">Título "Reportes Financieros" y descripción</w:t>
            </w:r>
          </w:p>
        </w:tc>
        <w:tc>
          <w:tcPr>
            <w:tcW w:type="dxa" w:w="3600"/>
            <w:tcMar>
              <w:top w:type="dxa" w:w="100"/>
              <w:left w:type="dxa" w:w="100"/>
              <w:bottom w:type="dxa" w:w="100"/>
              <w:right w:type="dxa" w:w="100"/>
            </w:tcMar>
            <w:vAlign w:val="center"/>
          </w:tcPr>
          <w:p>
            <w:r>
              <w:rPr>
                <w:b w:val="false"/>
                <w:bCs w:val="false"/>
                <w:sz w:val="20"/>
                <w:szCs w:val="20"/>
              </w:rPr>
              <w:t xml:space="preserve">Nombre de la pantalla y su propósito: "Visualiza métricas avanzadas, comparativas intermensuales y proyecciones de gasto corporativo con auditoría continua".</w:t>
            </w:r>
          </w:p>
        </w:tc>
        <w:tc>
          <w:tcPr>
            <w:tcW w:type="dxa" w:w="3560"/>
            <w:tcMar>
              <w:top w:type="dxa" w:w="100"/>
              <w:left w:type="dxa" w:w="100"/>
              <w:bottom w:type="dxa" w:w="100"/>
              <w:right w:type="dxa" w:w="100"/>
            </w:tcMar>
            <w:vAlign w:val="center"/>
          </w:tcPr>
          <w:p>
            <w:r>
              <w:rPr>
                <w:b w:val="false"/>
                <w:bCs w:val="false"/>
                <w:sz w:val="20"/>
                <w:szCs w:val="20"/>
              </w:rPr>
              <w:t xml:space="preserve">Es informativo, no es interactivo.</w:t>
            </w:r>
          </w:p>
        </w:tc>
      </w:tr>
      <w:tr>
        <w:tc>
          <w:tcPr>
            <w:tcW w:type="dxa" w:w="2200"/>
            <w:tcMar>
              <w:top w:type="dxa" w:w="100"/>
              <w:left w:type="dxa" w:w="100"/>
              <w:bottom w:type="dxa" w:w="100"/>
              <w:right w:type="dxa" w:w="100"/>
            </w:tcMar>
            <w:vAlign w:val="center"/>
          </w:tcPr>
          <w:p>
            <w:r>
              <w:rPr>
                <w:b/>
                <w:bCs/>
                <w:sz w:val="20"/>
                <w:szCs w:val="20"/>
              </w:rPr>
              <w:t xml:space="preserve">Botón "Exportar CSV / Excel"</w:t>
            </w:r>
          </w:p>
        </w:tc>
        <w:tc>
          <w:tcPr>
            <w:tcW w:type="dxa" w:w="3600"/>
            <w:tcMar>
              <w:top w:type="dxa" w:w="100"/>
              <w:left w:type="dxa" w:w="100"/>
              <w:bottom w:type="dxa" w:w="100"/>
              <w:right w:type="dxa" w:w="100"/>
            </w:tcMar>
            <w:vAlign w:val="center"/>
          </w:tcPr>
          <w:p>
            <w:r>
              <w:rPr>
                <w:b w:val="false"/>
                <w:bCs w:val="false"/>
                <w:sz w:val="20"/>
                <w:szCs w:val="20"/>
              </w:rPr>
              <w:t xml:space="preserve">Botón secundario con ícono de descarga.</w:t>
            </w:r>
          </w:p>
        </w:tc>
        <w:tc>
          <w:tcPr>
            <w:tcW w:type="dxa" w:w="3560"/>
            <w:tcMar>
              <w:top w:type="dxa" w:w="100"/>
              <w:left w:type="dxa" w:w="100"/>
              <w:bottom w:type="dxa" w:w="100"/>
              <w:right w:type="dxa" w:w="100"/>
            </w:tcMar>
            <w:vAlign w:val="center"/>
          </w:tcPr>
          <w:p>
            <w:r>
              <w:rPr>
                <w:b w:val="false"/>
                <w:bCs w:val="false"/>
                <w:sz w:val="20"/>
                <w:szCs w:val="20"/>
              </w:rPr>
              <w:t xml:space="preserve">Genera y descarga los datos del reporte en formato CSV o Excel.</w:t>
            </w:r>
          </w:p>
        </w:tc>
      </w:tr>
      <w:tr>
        <w:tc>
          <w:tcPr>
            <w:tcW w:type="dxa" w:w="2200"/>
            <w:tcMar>
              <w:top w:type="dxa" w:w="100"/>
              <w:left w:type="dxa" w:w="100"/>
              <w:bottom w:type="dxa" w:w="100"/>
              <w:right w:type="dxa" w:w="100"/>
            </w:tcMar>
            <w:vAlign w:val="center"/>
          </w:tcPr>
          <w:p>
            <w:r>
              <w:rPr>
                <w:b/>
                <w:bCs/>
                <w:sz w:val="20"/>
                <w:szCs w:val="20"/>
              </w:rPr>
              <w:t xml:space="preserve">Botón "Descargar Informe Ejecutivo (PDF)"</w:t>
            </w:r>
          </w:p>
        </w:tc>
        <w:tc>
          <w:tcPr>
            <w:tcW w:type="dxa" w:w="3600"/>
            <w:tcMar>
              <w:top w:type="dxa" w:w="100"/>
              <w:left w:type="dxa" w:w="100"/>
              <w:bottom w:type="dxa" w:w="100"/>
              <w:right w:type="dxa" w:w="100"/>
            </w:tcMar>
            <w:vAlign w:val="center"/>
          </w:tcPr>
          <w:p>
            <w:r>
              <w:rPr>
                <w:b w:val="false"/>
                <w:bCs w:val="false"/>
                <w:sz w:val="20"/>
                <w:szCs w:val="20"/>
              </w:rPr>
              <w:t xml:space="preserve">Botón principal en color verde, con ícono de descarga.</w:t>
            </w:r>
          </w:p>
        </w:tc>
        <w:tc>
          <w:tcPr>
            <w:tcW w:type="dxa" w:w="3560"/>
            <w:tcMar>
              <w:top w:type="dxa" w:w="100"/>
              <w:left w:type="dxa" w:w="100"/>
              <w:bottom w:type="dxa" w:w="100"/>
              <w:right w:type="dxa" w:w="100"/>
            </w:tcMar>
            <w:vAlign w:val="center"/>
          </w:tcPr>
          <w:p>
            <w:r>
              <w:rPr>
                <w:b w:val="false"/>
                <w:bCs w:val="false"/>
                <w:sz w:val="20"/>
                <w:szCs w:val="20"/>
              </w:rPr>
              <w:t xml:space="preserve">Genera y descarga un informe ejecutivo consolidado en formato PDF.</w:t>
            </w:r>
          </w:p>
        </w:tc>
      </w:tr>
    </w:tbl>
    <w:p>
      <w:pPr>
        <w:pStyle w:val="Heading2"/>
        <w:spacing w:after="120" w:before="240"/>
      </w:pPr>
      <w:r>
        <w:rPr>
          <w:color w:val="3B6FA6"/>
        </w:rPr>
        <w:t xml:space="preserve">2. Filtro de período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Pestañas "1M (Mes actual)" / "3M (Trimestre)" / "6M" / "Acumulado 2026" / "Anual"</w:t>
            </w:r>
          </w:p>
        </w:tc>
        <w:tc>
          <w:tcPr>
            <w:tcW w:type="dxa" w:w="3600"/>
            <w:tcMar>
              <w:top w:type="dxa" w:w="100"/>
              <w:left w:type="dxa" w:w="100"/>
              <w:bottom w:type="dxa" w:w="100"/>
              <w:right w:type="dxa" w:w="100"/>
            </w:tcMar>
            <w:vAlign w:val="center"/>
          </w:tcPr>
          <w:p>
            <w:r>
              <w:rPr>
                <w:b w:val="false"/>
                <w:bCs w:val="false"/>
                <w:sz w:val="20"/>
                <w:szCs w:val="20"/>
              </w:rPr>
              <w:t xml:space="preserve">Rangos de tiempo predefinidos para calcular las métricas y gráficas de la pantalla; "3M (Trimestre)" aparece seleccionado por defecto en la captura.</w:t>
            </w:r>
          </w:p>
        </w:tc>
        <w:tc>
          <w:tcPr>
            <w:tcW w:type="dxa" w:w="3560"/>
            <w:tcMar>
              <w:top w:type="dxa" w:w="100"/>
              <w:left w:type="dxa" w:w="100"/>
              <w:bottom w:type="dxa" w:w="100"/>
              <w:right w:type="dxa" w:w="100"/>
            </w:tcMar>
            <w:vAlign w:val="center"/>
          </w:tcPr>
          <w:p>
            <w:r>
              <w:rPr>
                <w:b w:val="false"/>
                <w:bCs w:val="false"/>
                <w:sz w:val="20"/>
                <w:szCs w:val="20"/>
              </w:rPr>
              <w:t xml:space="preserve">Al hacer clic, recalcula todas las tarjetas resumen y gráficas según el rango de tiempo elegido.</w:t>
            </w:r>
          </w:p>
        </w:tc>
      </w:tr>
      <w:tr>
        <w:tc>
          <w:tcPr>
            <w:tcW w:type="dxa" w:w="2200"/>
            <w:tcMar>
              <w:top w:type="dxa" w:w="100"/>
              <w:left w:type="dxa" w:w="100"/>
              <w:bottom w:type="dxa" w:w="100"/>
              <w:right w:type="dxa" w:w="100"/>
            </w:tcMar>
            <w:vAlign w:val="center"/>
          </w:tcPr>
          <w:p>
            <w:r>
              <w:rPr>
                <w:b/>
                <w:bCs/>
                <w:sz w:val="20"/>
                <w:szCs w:val="20"/>
              </w:rPr>
              <w:t xml:space="preserve">Etiqueta "Cifras verificadas en Quetzal Guatemalteco (GTQ) • ISO 27001"</w:t>
            </w:r>
          </w:p>
        </w:tc>
        <w:tc>
          <w:tcPr>
            <w:tcW w:type="dxa" w:w="3600"/>
            <w:tcMar>
              <w:top w:type="dxa" w:w="100"/>
              <w:left w:type="dxa" w:w="100"/>
              <w:bottom w:type="dxa" w:w="100"/>
              <w:right w:type="dxa" w:w="100"/>
            </w:tcMar>
            <w:vAlign w:val="center"/>
          </w:tcPr>
          <w:p>
            <w:r>
              <w:rPr>
                <w:b w:val="false"/>
                <w:bCs w:val="false"/>
                <w:sz w:val="20"/>
                <w:szCs w:val="20"/>
              </w:rPr>
              <w:t xml:space="preserve">Nota de auditoría/cumplimiento junto a un ícono de escudo, ubicada a la derecha de las pestañas de período.</w:t>
            </w:r>
          </w:p>
        </w:tc>
        <w:tc>
          <w:tcPr>
            <w:tcW w:type="dxa" w:w="3560"/>
            <w:tcMar>
              <w:top w:type="dxa" w:w="100"/>
              <w:left w:type="dxa" w:w="100"/>
              <w:bottom w:type="dxa" w:w="100"/>
              <w:right w:type="dxa" w:w="100"/>
            </w:tcMar>
            <w:vAlign w:val="center"/>
          </w:tcPr>
          <w:p>
            <w:r>
              <w:rPr>
                <w:b w:val="false"/>
                <w:bCs w:val="false"/>
                <w:sz w:val="20"/>
                <w:szCs w:val="20"/>
              </w:rPr>
              <w:t xml:space="preserve">Es informativa, no es interactiva.</w:t>
            </w:r>
          </w:p>
        </w:tc>
      </w:tr>
    </w:tbl>
    <w:p>
      <w:pPr>
        <w:pStyle w:val="Heading2"/>
        <w:spacing w:after="120" w:before="240"/>
      </w:pPr>
      <w:r>
        <w:rPr>
          <w:color w:val="3B6FA6"/>
        </w:rPr>
        <w:t xml:space="preserve">3. Tarjetas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Flujo neto total</w:t>
            </w:r>
          </w:p>
        </w:tc>
        <w:tc>
          <w:tcPr>
            <w:tcW w:type="dxa" w:w="3600"/>
            <w:tcMar>
              <w:top w:type="dxa" w:w="100"/>
              <w:left w:type="dxa" w:w="100"/>
              <w:bottom w:type="dxa" w:w="100"/>
              <w:right w:type="dxa" w:w="100"/>
            </w:tcMar>
            <w:vAlign w:val="center"/>
          </w:tcPr>
          <w:p>
            <w:r>
              <w:rPr>
                <w:b w:val="false"/>
                <w:bCs w:val="false"/>
                <w:sz w:val="20"/>
                <w:szCs w:val="20"/>
              </w:rPr>
              <w:t xml:space="preserve">Ícono sobre fondo verde, el balance neto del período (ej. + Q 0.00) y la nota "Balance neto consolidado".</w:t>
            </w:r>
          </w:p>
        </w:tc>
        <w:tc>
          <w:tcPr>
            <w:tcW w:type="dxa" w:w="3560"/>
            <w:tcMar>
              <w:top w:type="dxa" w:w="100"/>
              <w:left w:type="dxa" w:w="100"/>
              <w:bottom w:type="dxa" w:w="100"/>
              <w:right w:type="dxa" w:w="100"/>
            </w:tcMar>
            <w:vAlign w:val="center"/>
          </w:tcPr>
          <w:p>
            <w:r>
              <w:rPr>
                <w:b w:val="false"/>
                <w:bCs w:val="false"/>
                <w:sz w:val="20"/>
                <w:szCs w:val="20"/>
              </w:rPr>
              <w:t xml:space="preserve">Es un valor calculado (ingresos − egresos del período filtrado); no lleva a otra pantalla.</w:t>
            </w:r>
          </w:p>
        </w:tc>
      </w:tr>
      <w:tr>
        <w:tc>
          <w:tcPr>
            <w:tcW w:type="dxa" w:w="2200"/>
            <w:tcMar>
              <w:top w:type="dxa" w:w="100"/>
              <w:left w:type="dxa" w:w="100"/>
              <w:bottom w:type="dxa" w:w="100"/>
              <w:right w:type="dxa" w:w="100"/>
            </w:tcMar>
            <w:vAlign w:val="center"/>
          </w:tcPr>
          <w:p>
            <w:r>
              <w:rPr>
                <w:b/>
                <w:bCs/>
                <w:sz w:val="20"/>
                <w:szCs w:val="20"/>
              </w:rPr>
              <w:t xml:space="preserve">Gasto consolidado</w:t>
            </w:r>
          </w:p>
        </w:tc>
        <w:tc>
          <w:tcPr>
            <w:tcW w:type="dxa" w:w="3600"/>
            <w:tcMar>
              <w:top w:type="dxa" w:w="100"/>
              <w:left w:type="dxa" w:w="100"/>
              <w:bottom w:type="dxa" w:w="100"/>
              <w:right w:type="dxa" w:w="100"/>
            </w:tcMar>
            <w:vAlign w:val="center"/>
          </w:tcPr>
          <w:p>
            <w:r>
              <w:rPr>
                <w:b w:val="false"/>
                <w:bCs w:val="false"/>
                <w:sz w:val="20"/>
                <w:szCs w:val="20"/>
              </w:rPr>
              <w:t xml:space="preserve">Ícono de tendencia descendente sobre fondo rojo, el total de egresos del período (ej. Q 0.00) y la nota "Egresos registrados en BD".</w:t>
            </w:r>
          </w:p>
        </w:tc>
        <w:tc>
          <w:tcPr>
            <w:tcW w:type="dxa" w:w="3560"/>
            <w:tcMar>
              <w:top w:type="dxa" w:w="100"/>
              <w:left w:type="dxa" w:w="100"/>
              <w:bottom w:type="dxa" w:w="100"/>
              <w:right w:type="dxa" w:w="100"/>
            </w:tcMar>
            <w:vAlign w:val="center"/>
          </w:tcPr>
          <w:p>
            <w:r>
              <w:rPr>
                <w:b w:val="false"/>
                <w:bCs w:val="false"/>
                <w:sz w:val="20"/>
                <w:szCs w:val="20"/>
              </w:rPr>
              <w:t xml:space="preserve">Es un valor calculado; referencia rápida del total gastado en el período filtrado.</w:t>
            </w:r>
          </w:p>
        </w:tc>
      </w:tr>
      <w:tr>
        <w:tc>
          <w:tcPr>
            <w:tcW w:type="dxa" w:w="2200"/>
            <w:tcMar>
              <w:top w:type="dxa" w:w="100"/>
              <w:left w:type="dxa" w:w="100"/>
              <w:bottom w:type="dxa" w:w="100"/>
              <w:right w:type="dxa" w:w="100"/>
            </w:tcMar>
            <w:vAlign w:val="center"/>
          </w:tcPr>
          <w:p>
            <w:r>
              <w:rPr>
                <w:b/>
                <w:bCs/>
                <w:sz w:val="20"/>
                <w:szCs w:val="20"/>
              </w:rPr>
              <w:t xml:space="preserve">Ratio de eficiencia</w:t>
            </w:r>
          </w:p>
        </w:tc>
        <w:tc>
          <w:tcPr>
            <w:tcW w:type="dxa" w:w="3600"/>
            <w:tcMar>
              <w:top w:type="dxa" w:w="100"/>
              <w:left w:type="dxa" w:w="100"/>
              <w:bottom w:type="dxa" w:w="100"/>
              <w:right w:type="dxa" w:w="100"/>
            </w:tcMar>
            <w:vAlign w:val="center"/>
          </w:tcPr>
          <w:p>
            <w:r>
              <w:rPr>
                <w:b w:val="false"/>
                <w:bCs w:val="false"/>
                <w:sz w:val="20"/>
                <w:szCs w:val="20"/>
              </w:rPr>
              <w:t xml:space="preserve">Ícono de reloj sobre fondo azul, un porcentaje (ej. 0%) y la nota "Margen de retención".</w:t>
            </w:r>
          </w:p>
        </w:tc>
        <w:tc>
          <w:tcPr>
            <w:tcW w:type="dxa" w:w="3560"/>
            <w:tcMar>
              <w:top w:type="dxa" w:w="100"/>
              <w:left w:type="dxa" w:w="100"/>
              <w:bottom w:type="dxa" w:w="100"/>
              <w:right w:type="dxa" w:w="100"/>
            </w:tcMar>
            <w:vAlign w:val="center"/>
          </w:tcPr>
          <w:p>
            <w:r>
              <w:rPr>
                <w:b w:val="false"/>
                <w:bCs w:val="false"/>
                <w:sz w:val="20"/>
                <w:szCs w:val="20"/>
              </w:rPr>
              <w:t xml:space="preserve">Es un valor calculado; indica qué proporción de los ingresos se retuvo sin gastar.</w:t>
            </w:r>
          </w:p>
        </w:tc>
      </w:tr>
      <w:tr>
        <w:tc>
          <w:tcPr>
            <w:tcW w:type="dxa" w:w="2200"/>
            <w:tcMar>
              <w:top w:type="dxa" w:w="100"/>
              <w:left w:type="dxa" w:w="100"/>
              <w:bottom w:type="dxa" w:w="100"/>
              <w:right w:type="dxa" w:w="100"/>
            </w:tcMar>
            <w:vAlign w:val="center"/>
          </w:tcPr>
          <w:p>
            <w:r>
              <w:rPr>
                <w:b/>
                <w:bCs/>
                <w:sz w:val="20"/>
                <w:szCs w:val="20"/>
              </w:rPr>
              <w:t xml:space="preserve">Ahorro fiscal estimado</w:t>
            </w:r>
          </w:p>
        </w:tc>
        <w:tc>
          <w:tcPr>
            <w:tcW w:type="dxa" w:w="3600"/>
            <w:tcMar>
              <w:top w:type="dxa" w:w="100"/>
              <w:left w:type="dxa" w:w="100"/>
              <w:bottom w:type="dxa" w:w="100"/>
              <w:right w:type="dxa" w:w="100"/>
            </w:tcMar>
            <w:vAlign w:val="center"/>
          </w:tcPr>
          <w:p>
            <w:r>
              <w:rPr>
                <w:b w:val="false"/>
                <w:bCs w:val="false"/>
                <w:sz w:val="20"/>
                <w:szCs w:val="20"/>
              </w:rPr>
              <w:t xml:space="preserve">Ícono de escudo sobre fondo verde, un monto (ej. Q 0.00) y una etiqueta de porcentaje deducible (ej. "12% deducible fiscal").</w:t>
            </w:r>
          </w:p>
        </w:tc>
        <w:tc>
          <w:tcPr>
            <w:tcW w:type="dxa" w:w="3560"/>
            <w:tcMar>
              <w:top w:type="dxa" w:w="100"/>
              <w:left w:type="dxa" w:w="100"/>
              <w:bottom w:type="dxa" w:w="100"/>
              <w:right w:type="dxa" w:w="100"/>
            </w:tcMar>
            <w:vAlign w:val="center"/>
          </w:tcPr>
          <w:p>
            <w:r>
              <w:rPr>
                <w:b w:val="false"/>
                <w:bCs w:val="false"/>
                <w:sz w:val="20"/>
                <w:szCs w:val="20"/>
              </w:rPr>
              <w:t xml:space="preserve">Es un valor calculado; estima el ahorro fiscal potencial según los gastos deducibles registrados.</w:t>
            </w:r>
          </w:p>
        </w:tc>
      </w:tr>
    </w:tbl>
    <w:p>
      <w:pPr>
        <w:pStyle w:val="Heading2"/>
        <w:spacing w:after="120" w:before="240"/>
      </w:pPr>
      <w:r>
        <w:rPr>
          <w:color w:val="3B6FA6"/>
        </w:rPr>
        <w:t xml:space="preserve">4. Comparativa de Flujos Mensuales (gráfica)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Título "Comparativa de Flujos Mensuales (2026)" y subtítulo</w:t>
            </w:r>
          </w:p>
        </w:tc>
        <w:tc>
          <w:tcPr>
            <w:tcW w:type="dxa" w:w="3600"/>
            <w:tcMar>
              <w:top w:type="dxa" w:w="100"/>
              <w:left w:type="dxa" w:w="100"/>
              <w:bottom w:type="dxa" w:w="100"/>
              <w:right w:type="dxa" w:w="100"/>
            </w:tcMar>
            <w:vAlign w:val="center"/>
          </w:tcPr>
          <w:p>
            <w:r>
              <w:rPr>
                <w:b w:val="false"/>
                <w:bCs w:val="false"/>
                <w:sz w:val="20"/>
                <w:szCs w:val="20"/>
              </w:rPr>
              <w:t xml:space="preserve">Encabezado de la gráfica y su descripción: "Ingresos Brutos vs Egresos Totales en Quetzal Guatemalteco (Q)".</w:t>
            </w:r>
          </w:p>
        </w:tc>
        <w:tc>
          <w:tcPr>
            <w:tcW w:type="dxa" w:w="3560"/>
            <w:tcMar>
              <w:top w:type="dxa" w:w="100"/>
              <w:left w:type="dxa" w:w="100"/>
              <w:bottom w:type="dxa" w:w="100"/>
              <w:right w:type="dxa" w:w="100"/>
            </w:tcMar>
            <w:vAlign w:val="center"/>
          </w:tcPr>
          <w:p>
            <w:r>
              <w:rPr>
                <w:b w:val="false"/>
                <w:bCs w:val="false"/>
                <w:sz w:val="20"/>
                <w:szCs w:val="20"/>
              </w:rPr>
              <w:t xml:space="preserve">Es informativo, no es interactivo.</w:t>
            </w:r>
          </w:p>
        </w:tc>
      </w:tr>
      <w:tr>
        <w:tc>
          <w:tcPr>
            <w:tcW w:type="dxa" w:w="2200"/>
            <w:tcMar>
              <w:top w:type="dxa" w:w="100"/>
              <w:left w:type="dxa" w:w="100"/>
              <w:bottom w:type="dxa" w:w="100"/>
              <w:right w:type="dxa" w:w="100"/>
            </w:tcMar>
            <w:vAlign w:val="center"/>
          </w:tcPr>
          <w:p>
            <w:r>
              <w:rPr>
                <w:b/>
                <w:bCs/>
                <w:sz w:val="20"/>
                <w:szCs w:val="20"/>
              </w:rPr>
              <w:t xml:space="preserve">Leyenda "Ingresos" / "Egresos"</w:t>
            </w:r>
          </w:p>
        </w:tc>
        <w:tc>
          <w:tcPr>
            <w:tcW w:type="dxa" w:w="3600"/>
            <w:tcMar>
              <w:top w:type="dxa" w:w="100"/>
              <w:left w:type="dxa" w:w="100"/>
              <w:bottom w:type="dxa" w:w="100"/>
              <w:right w:type="dxa" w:w="100"/>
            </w:tcMar>
            <w:vAlign w:val="center"/>
          </w:tcPr>
          <w:p>
            <w:r>
              <w:rPr>
                <w:b w:val="false"/>
                <w:bCs w:val="false"/>
                <w:sz w:val="20"/>
                <w:szCs w:val="20"/>
              </w:rPr>
              <w:t xml:space="preserve">Indicadores de color (verde para Ingresos, rojo para Egresos) en la esquina superior derecha de la gráfica.</w:t>
            </w:r>
          </w:p>
        </w:tc>
        <w:tc>
          <w:tcPr>
            <w:tcW w:type="dxa" w:w="3560"/>
            <w:tcMar>
              <w:top w:type="dxa" w:w="100"/>
              <w:left w:type="dxa" w:w="100"/>
              <w:bottom w:type="dxa" w:w="100"/>
              <w:right w:type="dxa" w:w="100"/>
            </w:tcMar>
            <w:vAlign w:val="center"/>
          </w:tcPr>
          <w:p>
            <w:r>
              <w:rPr>
                <w:b w:val="false"/>
                <w:bCs w:val="false"/>
                <w:sz w:val="20"/>
                <w:szCs w:val="20"/>
              </w:rPr>
              <w:t xml:space="preserve">Identifica qué serie de datos corresponde a cada color dentro del gráfico.</w:t>
            </w:r>
          </w:p>
        </w:tc>
      </w:tr>
      <w:tr>
        <w:tc>
          <w:tcPr>
            <w:tcW w:type="dxa" w:w="2200"/>
            <w:tcMar>
              <w:top w:type="dxa" w:w="100"/>
              <w:left w:type="dxa" w:w="100"/>
              <w:bottom w:type="dxa" w:w="100"/>
              <w:right w:type="dxa" w:w="100"/>
            </w:tcMar>
            <w:vAlign w:val="center"/>
          </w:tcPr>
          <w:p>
            <w:r>
              <w:rPr>
                <w:b/>
                <w:bCs/>
                <w:sz w:val="20"/>
                <w:szCs w:val="20"/>
              </w:rPr>
              <w:t xml:space="preserve">Gráfico de líneas/barras</w:t>
            </w:r>
          </w:p>
        </w:tc>
        <w:tc>
          <w:tcPr>
            <w:tcW w:type="dxa" w:w="3600"/>
            <w:tcMar>
              <w:top w:type="dxa" w:w="100"/>
              <w:left w:type="dxa" w:w="100"/>
              <w:bottom w:type="dxa" w:w="100"/>
              <w:right w:type="dxa" w:w="100"/>
            </w:tcMar>
            <w:vAlign w:val="center"/>
          </w:tcPr>
          <w:p>
            <w:r>
              <w:rPr>
                <w:b w:val="false"/>
                <w:bCs w:val="false"/>
                <w:sz w:val="20"/>
                <w:szCs w:val="20"/>
              </w:rPr>
              <w:t xml:space="preserve">Eje vertical con las etiquetas "Max", "Med" y "0", y eje horizontal con los meses del período (ej. "Sep"). En la captura no hay datos, por lo que el área del gráfico aparece vacía.</w:t>
            </w:r>
          </w:p>
        </w:tc>
        <w:tc>
          <w:tcPr>
            <w:tcW w:type="dxa" w:w="3560"/>
            <w:tcMar>
              <w:top w:type="dxa" w:w="100"/>
              <w:left w:type="dxa" w:w="100"/>
              <w:bottom w:type="dxa" w:w="100"/>
              <w:right w:type="dxa" w:w="100"/>
            </w:tcMar>
            <w:vAlign w:val="center"/>
          </w:tcPr>
          <w:p>
            <w:r>
              <w:rPr>
                <w:b w:val="false"/>
                <w:bCs w:val="false"/>
                <w:sz w:val="20"/>
                <w:szCs w:val="20"/>
              </w:rPr>
              <w:t xml:space="preserve">Se llena a medida que existan movimientos de Ingresos y Gastos registrados en los meses correspondientes al rango filtrado.</w:t>
            </w:r>
          </w:p>
        </w:tc>
      </w:tr>
    </w:tbl>
    <w:p>
      <w:pPr>
        <w:pStyle w:val="Heading2"/>
        <w:spacing w:after="120" w:before="240"/>
      </w:pPr>
      <w:r>
        <w:rPr>
          <w:color w:val="3B6FA6"/>
        </w:rPr>
        <w:t xml:space="preserve">5. Distribución por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Título "Distribución por Categoría" y subtítulo</w:t>
            </w:r>
          </w:p>
        </w:tc>
        <w:tc>
          <w:tcPr>
            <w:tcW w:type="dxa" w:w="3600"/>
            <w:tcMar>
              <w:top w:type="dxa" w:w="100"/>
              <w:left w:type="dxa" w:w="100"/>
              <w:bottom w:type="dxa" w:w="100"/>
              <w:right w:type="dxa" w:w="100"/>
            </w:tcMar>
            <w:vAlign w:val="center"/>
          </w:tcPr>
          <w:p>
            <w:r>
              <w:rPr>
                <w:b w:val="false"/>
                <w:bCs w:val="false"/>
                <w:sz w:val="20"/>
                <w:szCs w:val="20"/>
              </w:rPr>
              <w:t xml:space="preserve">Encabezado del panel y su descripción: "Ponderación del gasto total en el período".</w:t>
            </w:r>
          </w:p>
        </w:tc>
        <w:tc>
          <w:tcPr>
            <w:tcW w:type="dxa" w:w="3560"/>
            <w:tcMar>
              <w:top w:type="dxa" w:w="100"/>
              <w:left w:type="dxa" w:w="100"/>
              <w:bottom w:type="dxa" w:w="100"/>
              <w:right w:type="dxa" w:w="100"/>
            </w:tcMar>
            <w:vAlign w:val="center"/>
          </w:tcPr>
          <w:p>
            <w:r>
              <w:rPr>
                <w:b w:val="false"/>
                <w:bCs w:val="false"/>
                <w:sz w:val="20"/>
                <w:szCs w:val="20"/>
              </w:rPr>
              <w:t xml:space="preserve">Es informativo, no es interactivo.</w:t>
            </w:r>
          </w:p>
        </w:tc>
      </w:tr>
      <w:tr>
        <w:tc>
          <w:tcPr>
            <w:tcW w:type="dxa" w:w="2200"/>
            <w:tcMar>
              <w:top w:type="dxa" w:w="100"/>
              <w:left w:type="dxa" w:w="100"/>
              <w:bottom w:type="dxa" w:w="100"/>
              <w:right w:type="dxa" w:w="100"/>
            </w:tcMar>
            <w:vAlign w:val="center"/>
          </w:tcPr>
          <w:p>
            <w:r>
              <w:rPr>
                <w:b/>
                <w:bCs/>
                <w:sz w:val="20"/>
                <w:szCs w:val="20"/>
              </w:rPr>
              <w:t xml:space="preserve">Estado vacío ("No hay egresos registrados en el período seleccionado")</w:t>
            </w:r>
          </w:p>
        </w:tc>
        <w:tc>
          <w:tcPr>
            <w:tcW w:type="dxa" w:w="3600"/>
            <w:tcMar>
              <w:top w:type="dxa" w:w="100"/>
              <w:left w:type="dxa" w:w="100"/>
              <w:bottom w:type="dxa" w:w="100"/>
              <w:right w:type="dxa" w:w="100"/>
            </w:tcMar>
            <w:vAlign w:val="center"/>
          </w:tcPr>
          <w:p>
            <w:r>
              <w:rPr>
                <w:b w:val="false"/>
                <w:bCs w:val="false"/>
                <w:sz w:val="20"/>
                <w:szCs w:val="20"/>
              </w:rPr>
              <w:t xml:space="preserve">Mensaje que se muestra cuando no hay gastos registrados en el rango de tiempo filtrado.</w:t>
            </w:r>
          </w:p>
        </w:tc>
        <w:tc>
          <w:tcPr>
            <w:tcW w:type="dxa" w:w="3560"/>
            <w:tcMar>
              <w:top w:type="dxa" w:w="100"/>
              <w:left w:type="dxa" w:w="100"/>
              <w:bottom w:type="dxa" w:w="100"/>
              <w:right w:type="dxa" w:w="100"/>
            </w:tcMar>
            <w:vAlign w:val="center"/>
          </w:tcPr>
          <w:p>
            <w:r>
              <w:rPr>
                <w:b w:val="false"/>
                <w:bCs w:val="false"/>
                <w:sz w:val="20"/>
                <w:szCs w:val="20"/>
              </w:rPr>
              <w:t xml:space="preserve">Informa al usuario por qué no se muestra el desglose por categoría; se reemplazaría por un gráfico (ej. dona o barras) una vez existan egresos registrados.</w:t>
            </w:r>
          </w:p>
        </w:tc>
      </w:tr>
      <w:tr>
        <w:tc>
          <w:tcPr>
            <w:tcW w:type="dxa" w:w="2200"/>
            <w:tcMar>
              <w:top w:type="dxa" w:w="100"/>
              <w:left w:type="dxa" w:w="100"/>
              <w:bottom w:type="dxa" w:w="100"/>
              <w:right w:type="dxa" w:w="100"/>
            </w:tcMar>
            <w:vAlign w:val="center"/>
          </w:tcPr>
          <w:p>
            <w:r>
              <w:rPr>
                <w:b/>
                <w:bCs/>
                <w:sz w:val="20"/>
                <w:szCs w:val="20"/>
              </w:rPr>
              <w:t xml:space="preserve">Banner "Auditoría Algorítmica Vought: Sin desvíos críticos detectados"</w:t>
            </w:r>
          </w:p>
        </w:tc>
        <w:tc>
          <w:tcPr>
            <w:tcW w:type="dxa" w:w="3600"/>
            <w:tcMar>
              <w:top w:type="dxa" w:w="100"/>
              <w:left w:type="dxa" w:w="100"/>
              <w:bottom w:type="dxa" w:w="100"/>
              <w:right w:type="dxa" w:w="100"/>
            </w:tcMar>
            <w:vAlign w:val="center"/>
          </w:tcPr>
          <w:p>
            <w:r>
              <w:rPr>
                <w:b w:val="false"/>
                <w:bCs w:val="false"/>
                <w:sz w:val="20"/>
                <w:szCs w:val="20"/>
              </w:rPr>
              <w:t xml:space="preserve">Mensaje de estado en verde con ícono de verificación, ubicado en la parte inferior del panel.</w:t>
            </w:r>
          </w:p>
        </w:tc>
        <w:tc>
          <w:tcPr>
            <w:tcW w:type="dxa" w:w="3560"/>
            <w:tcMar>
              <w:top w:type="dxa" w:w="100"/>
              <w:left w:type="dxa" w:w="100"/>
              <w:bottom w:type="dxa" w:w="100"/>
              <w:right w:type="dxa" w:w="100"/>
            </w:tcMar>
            <w:vAlign w:val="center"/>
          </w:tcPr>
          <w:p>
            <w:r>
              <w:rPr>
                <w:b w:val="false"/>
                <w:bCs w:val="false"/>
                <w:sz w:val="20"/>
                <w:szCs w:val="20"/>
              </w:rPr>
              <w:t xml:space="preserve">Es informativo; indica que el sistema de auditoría automática no detectó anomalías en el período analizado.</w:t>
            </w:r>
          </w:p>
        </w:tc>
      </w:tr>
    </w:tbl>
    <w:p>
      <w:pPr>
        <w:spacing w:after="200"/>
      </w:pPr>
      <w:r>
        <w:rPr>
          <w:sz w:val="22"/>
          <w:szCs w:val="22"/>
        </w:rPr>
        <w:t xml:space="preserve">Nota: se recomienda obtener una segunda captura con datos ya cargados (ingresos y gastos registrados) para documentar cómo se ve la gráfica "Comparativa de Flujos Mensuales" y el gráfico de "Distribución por Categoría" cuando sí hay información, ya que en el estado actual ambos aparecen vacíos. También conviene confirmar el formato exacto del "Informe Ejecutivo (PDF)" (qué secciones incluye) y si el cálculo de "Ahorro fiscal estimado" depende de marcar ciertas categorías como deducibles en la pantalla de Categorías.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7683482cee530d07cf0bba9cfc12b68251c39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2026-09-14T04:40:42.722Z</dcterms:created>
  <dcterms:modified xsi:type="dcterms:W3CDTF">2026-09-14T04:40:42.722Z</dcterms:modified>
</cp:coreProperties>
</file>

<file path=docProps/custom.xml><?xml version="1.0" encoding="utf-8"?>
<Properties xmlns="http://schemas.openxmlformats.org/officeDocument/2006/custom-properties" xmlns:vt="http://schemas.openxmlformats.org/officeDocument/2006/docPropsVTypes"/>
</file>