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9.png" ContentType="image/png"/>
  <Override PartName="/word/media/rId26.png" ContentType="image/png"/>
  <Override PartName="/word/media/rId49.png" ContentType="image/png"/>
  <Override PartName="/word/media/rId67.png" ContentType="image/png"/>
  <Override PartName="/word/media/rId75.png" ContentType="image/png"/>
  <Override PartName="/word/media/rId71.png" ContentType="image/png"/>
  <Override PartName="/word/media/rId55.png" ContentType="image/png"/>
  <Override PartName="/word/media/rId45.png" ContentType="image/png"/>
  <Override PartName="/word/media/rId63.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Lise</w:t>
      </w:r>
      <w:r>
        <w:t xml:space="preserve"> </w:t>
      </w:r>
      <w:r>
        <w:t xml:space="preserve">Vaudor</w:t>
      </w:r>
    </w:p>
    <w:p>
      <w:pPr>
        <w:pStyle w:val="Author"/>
      </w:pPr>
      <w:r>
        <w:t xml:space="preserve">Liolia</w:t>
      </w:r>
      <w:r>
        <w:t xml:space="preserve"> </w:t>
      </w:r>
      <w:r>
        <w:t xml:space="preserve">Bajemon</w:t>
      </w:r>
    </w:p>
    <w:p>
      <w:pPr>
        <w:pStyle w:val="Author"/>
      </w:pPr>
      <w:r>
        <w:t xml:space="preserve">Maïlys</w:t>
      </w:r>
      <w:r>
        <w:t xml:space="preserve"> </w:t>
      </w:r>
      <w:r>
        <w:t xml:space="preserve">Genouël</w:t>
      </w:r>
    </w:p>
    <w:p>
      <w:pPr>
        <w:pStyle w:val="Author"/>
      </w:pPr>
      <w:r>
        <w:t xml:space="preserve">Hervé</w:t>
      </w:r>
      <w:r>
        <w:t xml:space="preserve"> </w:t>
      </w:r>
      <w:r>
        <w:t xml:space="preserve">Piégay</w:t>
      </w:r>
    </w:p>
    <w:bookmarkStart w:id="20" w:name="Xa975180762790365eedf9fd1af05b8765fafe60"/>
    <w:p>
      <w:pPr>
        <w:pStyle w:val="Heading1"/>
      </w:pPr>
      <w:r>
        <w:t xml:space="preserve">Online reports and narrations of flood events</w:t>
      </w:r>
    </w:p>
    <w:bookmarkEnd w:id="20"/>
    <w:bookmarkStart w:id="21" w:name="aim-of-the-article"/>
    <w:p>
      <w:pPr>
        <w:pStyle w:val="Heading1"/>
      </w:pPr>
      <w:r>
        <w:t xml:space="preserve">Aim of the article</w:t>
      </w:r>
    </w:p>
    <w:p>
      <w:pPr>
        <w:pStyle w:val="FirstParagraph"/>
      </w:pPr>
      <w:r>
        <w:t xml:space="preserve">This study’s objectives are to</w:t>
      </w:r>
    </w:p>
    <w:p>
      <w:pPr>
        <w:numPr>
          <w:ilvl w:val="0"/>
          <w:numId w:val="1001"/>
        </w:numPr>
        <w:pStyle w:val="Compact"/>
      </w:pPr>
      <w:r>
        <w:t xml:space="preserve">collect and assess the information provided by the Wikimedia initiative (Wikidata, Wikipedia, Wikimedia Commons) on flood events.</w:t>
      </w:r>
    </w:p>
    <w:p>
      <w:pPr>
        <w:numPr>
          <w:ilvl w:val="0"/>
          <w:numId w:val="1001"/>
        </w:numPr>
        <w:pStyle w:val="Compact"/>
      </w:pPr>
      <w:r>
        <w:t xml:space="preserve">compare this data, which is crowdsourced, to an institutionnally curated database on the same topic.</w:t>
      </w:r>
    </w:p>
    <w:p>
      <w:pPr>
        <w:numPr>
          <w:ilvl w:val="0"/>
          <w:numId w:val="1001"/>
        </w:numPr>
        <w:pStyle w:val="Compact"/>
      </w:pPr>
      <w:r>
        <w:t xml:space="preserve">use this data to characterize and understand (in terms of human impact especially) the flood events documented.</w:t>
      </w:r>
    </w:p>
    <w:bookmarkEnd w:id="21"/>
    <w:bookmarkStart w:id="22" w:name="introduction"/>
    <w:p>
      <w:pPr>
        <w:pStyle w:val="Heading1"/>
      </w:pPr>
      <w:r>
        <w:t xml:space="preserve">Introduction</w:t>
      </w:r>
    </w:p>
    <w:p>
      <w:pPr>
        <w:pStyle w:val="FirstParagraph"/>
      </w:pPr>
      <w:r>
        <w:t xml:space="preserve">Producing a global flood event dataset poses numerous challenges due to the complex nature of data semantics, collection, standardization, and accessibility. A primary obstacle is the lack of uniform reporting standards leading to inconsistencies in definitions of flood events and in data collection methods. Varying technological capabilities (material access and practice’s acculturation) across geographical regions of the world also contribute to disparities in data availability. Disasters like floods might occur in areas where communication and infrastructure are limited, and/or not used for real-time data collection. Political, social, and economic factors also play a role, as some regions may under-report or document flood occurrences differently, due to reasons such as insufficient resources and infrastructures, lack of governmental transparency, or competing priorities [add ref]. Additionally, there are inequalities in the geographies of data production that reflect and reproduce global economic core-peripheries</w:t>
      </w:r>
      <w:r>
        <w:t xml:space="preserve"> </w:t>
      </w:r>
      <w:r>
        <w:t xml:space="preserve">(Graham 2014; Graham, De Sabbata, and Zook 2015; Haklay 2016)</w:t>
      </w:r>
      <w:r>
        <w:t xml:space="preserve">. [Ash et al. ref] refers to some</w:t>
      </w:r>
      <w:r>
        <w:t xml:space="preserve"> </w:t>
      </w:r>
      <w:r>
        <w:t xml:space="preserve">“</w:t>
      </w:r>
      <w:r>
        <w:t xml:space="preserve">informational magnetism</w:t>
      </w:r>
      <w:r>
        <w:t xml:space="preserve">”</w:t>
      </w:r>
      <w:r>
        <w:t xml:space="preserve"> </w:t>
      </w:r>
      <w:r>
        <w:t xml:space="preserve">resulting in the over-representation of the global North (the</w:t>
      </w:r>
      <w:r>
        <w:t xml:space="preserve"> </w:t>
      </w:r>
      <w:r>
        <w:t xml:space="preserve">“</w:t>
      </w:r>
      <w:r>
        <w:t xml:space="preserve">core</w:t>
      </w:r>
      <w:r>
        <w:t xml:space="preserve">”</w:t>
      </w:r>
      <w:r>
        <w:t xml:space="preserve">). As a result, and despite advancements in satellite technology and remote sensing, ensuring comprehensive, accurate, and up-to-date global flood data remains a persistent challenge that requires better data curation; global efforts to improve information-sharing mechanisms; and the development of a critical eye on the reasons for data production, on the geographical contexts in which it has been produced, and on its uses.</w:t>
      </w:r>
    </w:p>
    <w:p>
      <w:pPr>
        <w:pStyle w:val="BodyText"/>
      </w:pPr>
      <w:r>
        <w:t xml:space="preserve">Participatory data collection can significantly enhance the understanding and management of flood events. This approach involves engaging local communities, citizens, and grassroots organizations in the collection, analysis, and sharing of data related to flood occurrences. Examples of such initiatives show the potential of participatory data to complement institutional data about floods at a local scale</w:t>
      </w:r>
      <w:r>
        <w:t xml:space="preserve"> </w:t>
      </w:r>
      <w:r>
        <w:t xml:space="preserve">(Dixon, Johns, and Fernandez 2021; Sekajugo et al. 2022)</w:t>
      </w:r>
      <w:r>
        <w:t xml:space="preserve">. By incorporating local knowledge, experiences, and observations, participatory methods complement traditional data sources, offering valuable insights into flood-prone areas that might be overlooked by centralized or remote monitoring systems, controlled by certain systems in power (Nation-states, heterogeneous coalition of technologically savvy individuals, private technology companies). More broadly, volunteered geographical data at a local scale has been shown to be a valuable source of data regarding hazards</w:t>
      </w:r>
      <w:r>
        <w:t xml:space="preserve"> </w:t>
      </w:r>
      <w:r>
        <w:t xml:space="preserve">(Herfort et al. 2021)</w:t>
      </w:r>
      <w:r>
        <w:t xml:space="preserve">.</w:t>
      </w:r>
    </w:p>
    <w:p>
      <w:pPr>
        <w:pStyle w:val="BodyText"/>
      </w:pPr>
      <w:r>
        <w:t xml:space="preserve">Communities living in flood-prone regions possess unique, context-specific, even vernacular knowledge about local environmental changes, historical flood memory, vulnerable areas, and coping mechanisms. Engaging these communities in data collection through citizen science initiatives, mobile applications, community mapping, or participatory workshops allows for the collection of granular, real-time information that supplements existing datasets. Ideally, this bottom-up approach not only enhances the accuracy and granularity of flood data, but also fosters community empowerment in terms of resilience, by engaging all communities to participate, including those excluded from decision-making or digital access.</w:t>
      </w:r>
    </w:p>
    <w:p>
      <w:pPr>
        <w:pStyle w:val="BodyText"/>
      </w:pPr>
      <w:r>
        <w:t xml:space="preserve">Moreover, participatory data can bridge gaps in official reporting by capturing small-scale or localized flood events that are not publicized and thus recognized by institutions. Integrating participatory data with conventional datasets enables a more comprehensive understanding of flood dynamics, aiding in the development of anticipation policies effective early warning systems, and disaster response plans.</w:t>
      </w:r>
    </w:p>
    <w:p>
      <w:pPr>
        <w:pStyle w:val="BodyText"/>
      </w:pPr>
      <w:r>
        <w:t xml:space="preserve">However, challenges such as ensuring data accuracy, reliability, and standardization persist in participatory approaches. While establishing protocols for data validation and quality control between participatory and formal datasets is important to maximize the potential of participatory data and to maintain data integrity</w:t>
      </w:r>
      <w:r>
        <w:t xml:space="preserve"> </w:t>
      </w:r>
      <w:r>
        <w:t xml:space="preserve">(Senaratne et al. 2017)</w:t>
      </w:r>
      <w:r>
        <w:t xml:space="preserve">, the participatory data can be standardized. In other words, the subtelties perceived by local communities can be smoothed out (i) in interfaces designed by situated engineers and (ii) in data collection via protocols designed by situated scientists. However, the stakes around data validation and homogenization are particularly high in the prospect of studying floods at a global scale.</w:t>
      </w:r>
    </w:p>
    <w:p>
      <w:pPr>
        <w:pStyle w:val="BodyText"/>
      </w:pPr>
      <w:r>
        <w:t xml:space="preserve">Overall, leveraging participatory data in conjunction with conventional methods can enrich global flood databases, improve resilience, and empower communities to better respond to and mitigate the impacts of flood events. This collaborative approach can contribute significantly to more holistic and inclusive strategies for managing floods worldwide, to question (i) the data (how, by whom and for what purpose they are collected) and (ii) the collection process (highlighting ethnocentric biases by comparison).</w:t>
      </w:r>
    </w:p>
    <w:p>
      <w:pPr>
        <w:pStyle w:val="BodyText"/>
      </w:pPr>
      <w:r>
        <w:t xml:space="preserve">The Dartmouth Flood Observatory (DFO) is a research group specializing in the collection and analysis of global flood data. Combining remote sensing and news reports’ analysis, the DFO produces detailed information on the extent, frequency, and impacts of floods worldwide</w:t>
      </w:r>
      <w:r>
        <w:t xml:space="preserve"> </w:t>
      </w:r>
      <w:r>
        <w:t xml:space="preserve">(Kundzewicz, Pińskwar, and Brakenridge 2013)</w:t>
      </w:r>
      <w:r>
        <w:t xml:space="preserve">. It constitutes an invaluable source of information on the subject, used in many scientific studies on flood events</w:t>
      </w:r>
      <w:r>
        <w:t xml:space="preserve"> </w:t>
      </w:r>
      <w:r>
        <w:t xml:space="preserve">(Winsemius et al. 2013; Hu et al. 2018; Najibi and Devineni 2018; Tellman et al. 2021)</w:t>
      </w:r>
      <w:r>
        <w:t xml:space="preserve">.</w:t>
      </w:r>
    </w:p>
    <w:p>
      <w:pPr>
        <w:pStyle w:val="BodyText"/>
      </w:pPr>
      <w:r>
        <w:t xml:space="preserve">In parallel to that kind of research-related, expert database on the subject, the Wikimedia project stands as a remarkable source of structured or semi-structured participatory data with its vast array of user-generated content across platforms like Wikipedia, Wikidata, and Wikimedia Commons. Wikipedia, as one of the largest collaborative encyclopedias, and one of the most used and visited websites globally</w:t>
      </w:r>
      <w:r>
        <w:t xml:space="preserve"> </w:t>
      </w:r>
      <w:r>
        <w:t xml:space="preserve">(Graham, De Sabbata, and Zook 2015; Ballatore, Graham, and Sen 2017)</w:t>
      </w:r>
      <w:r>
        <w:t xml:space="preserve"> </w:t>
      </w:r>
      <w:r>
        <w:t xml:space="preserve">harnesses the collective knowledge of volunteers worldwide who contribute, edit, and curate articles on diverse subjects, including geographical features, history, and environmental events such as floods. It can be viewed both as a source of breaking news and as an encyclopedia, providing information and narrative regarding ongoing and past events, in particular crises and controversies</w:t>
      </w:r>
      <w:r>
        <w:t xml:space="preserve"> </w:t>
      </w:r>
      <w:r>
        <w:t xml:space="preserve">(Moats 2019)</w:t>
      </w:r>
      <w:r>
        <w:t xml:space="preserve">. Wikidata, an open database, provides structured data that can be used to categorize and link information, potentially cataloging flood events, affected regions, and relevant details. Wikimedia Commons serves as a repository for multimedia files, housing images, maps, and other visual resources related to floods, contributing to a more comprehensive understanding of such events. The open nature of Wikimedia projects allows for continual updates and contributions, making it a valuable resource for researchers, policymakers, and the public seeking information on various topics, including flood events, across the globe. The Wikimedia projects are an example of user-generated content on web 2.0</w:t>
      </w:r>
      <w:r>
        <w:t xml:space="preserve"> </w:t>
      </w:r>
      <w:r>
        <w:t xml:space="preserve">(O’Reilly 2020)</w:t>
      </w:r>
      <w:r>
        <w:t xml:space="preserve">. Moreover, flood events are generally associated with a location or toponymic information: as such, the produced data can also be included in what</w:t>
      </w:r>
      <w:r>
        <w:t xml:space="preserve"> </w:t>
      </w:r>
      <w:r>
        <w:t xml:space="preserve">Goodchild (2007)</w:t>
      </w:r>
      <w:r>
        <w:t xml:space="preserve"> </w:t>
      </w:r>
      <w:r>
        <w:t xml:space="preserve">calls</w:t>
      </w:r>
      <w:r>
        <w:t xml:space="preserve"> </w:t>
      </w:r>
      <w:r>
        <w:t xml:space="preserve">“</w:t>
      </w:r>
      <w:r>
        <w:t xml:space="preserve">volunteered geographic information</w:t>
      </w:r>
      <w:r>
        <w:t xml:space="preserve">”</w:t>
      </w:r>
      <w:r>
        <w:t xml:space="preserve"> </w:t>
      </w:r>
      <w:r>
        <w:t xml:space="preserve">(VGI).</w:t>
      </w:r>
    </w:p>
    <w:p>
      <w:pPr>
        <w:pStyle w:val="BodyText"/>
      </w:pPr>
      <w:r>
        <w:t xml:space="preserve">Wikipedia articles have been studied in the context of managing crises due to its accessibility, comprehensiveness, and real-time updates, either focusing on content creation or consultation. This has been the case for e.g. epidemiologic crises</w:t>
      </w:r>
      <w:r>
        <w:t xml:space="preserve"> </w:t>
      </w:r>
      <w:r>
        <w:t xml:space="preserve">(Van Velsen et al. 2012; Colavizza 2020)</w:t>
      </w:r>
      <w:r>
        <w:t xml:space="preserve">, natural disasters, technological accidents and violent conflict</w:t>
      </w:r>
      <w:r>
        <w:t xml:space="preserve"> </w:t>
      </w:r>
      <w:r>
        <w:t xml:space="preserve">(Keegan, Gergle, and Contractor 2013)</w:t>
      </w:r>
      <w:r>
        <w:t xml:space="preserve">. During flood events, people might seek immediate information regarding safety measures, evacuation procedures, flood-prone areas, and emergency contacts. Wikipedia’s open editing structure allows for rapid dissemination of accurate information, enabling users to access critical details swiftly. Moreover, the collaborative nature of Wikipedia ensures that a vast array of perspectives and expertise contribute to its articles, resulting in comprehensive coverage of flood-related topics, including flood mitigation strategies, historical flood data, and relevant government responses. This breadth of information empowers individuals, communities, and organizations to make informed decisions and take effective action in response to floods, ultimately aiding in crisis management and mitigation efforts. Additionally, Wikipedia’s multilingual support ensures that its resources are accessible to a global audience, facilitating disaster response efforts in diverse regions affected by floods.</w:t>
      </w:r>
    </w:p>
    <w:p>
      <w:pPr>
        <w:pStyle w:val="BodyText"/>
      </w:pPr>
      <w:r>
        <w:t xml:space="preserve">Like many volunteered mapping platforms, the Wikimedia projects are receiving growing interest from the research community</w:t>
      </w:r>
      <w:r>
        <w:t xml:space="preserve"> </w:t>
      </w:r>
      <w:r>
        <w:t xml:space="preserve">(Farda-Sarbas and Müller-Birn 2019)</w:t>
      </w:r>
      <w:r>
        <w:t xml:space="preserve">. As such, they are used in various projects: on the one hand, the content is employed directly as a data source, e.g. in history, literacy studies, archeology, philosophy</w:t>
      </w:r>
      <w:r>
        <w:t xml:space="preserve"> </w:t>
      </w:r>
      <w:r>
        <w:t xml:space="preserve">(Zhao 2023)</w:t>
      </w:r>
      <w:r>
        <w:t xml:space="preserve">, linguistics</w:t>
      </w:r>
      <w:r>
        <w:t xml:space="preserve"> </w:t>
      </w:r>
      <w:r>
        <w:t xml:space="preserve">(Turki et al. 2017)</w:t>
      </w:r>
      <w:r>
        <w:t xml:space="preserve">, medical and biological sciences</w:t>
      </w:r>
      <w:r>
        <w:t xml:space="preserve"> </w:t>
      </w:r>
      <w:r>
        <w:t xml:space="preserve">(Farda-Sarbas and Müller-Birn 2019; Burgstaller-Muehlbacher et al. 2016)</w:t>
      </w:r>
      <w:r>
        <w:t xml:space="preserve">, etc. or as an indicator of public interest</w:t>
      </w:r>
      <w:r>
        <w:t xml:space="preserve"> </w:t>
      </w:r>
      <w:r>
        <w:t xml:space="preserve">(Mittermeier et al. 2021)</w:t>
      </w:r>
      <w:r>
        <w:t xml:space="preserve">. On the other hand, studies consider the Wikimedia projects as a research object, e.g. analyzing the contributors’ motivations</w:t>
      </w:r>
      <w:r>
        <w:t xml:space="preserve"> </w:t>
      </w:r>
      <w:r>
        <w:t xml:space="preserve">(Antin 2011)</w:t>
      </w:r>
      <w:r>
        <w:t xml:space="preserve">, comparing their data to traditional databases</w:t>
      </w:r>
      <w:r>
        <w:t xml:space="preserve"> </w:t>
      </w:r>
      <w:r>
        <w:t xml:space="preserve">(Lorini et al. 2020)</w:t>
      </w:r>
      <w:r>
        <w:t xml:space="preserve">, evaluating completeness</w:t>
      </w:r>
      <w:r>
        <w:t xml:space="preserve"> </w:t>
      </w:r>
      <w:r>
        <w:t xml:space="preserve">(Royal and Kapila 2009)</w:t>
      </w:r>
      <w:r>
        <w:t xml:space="preserve">, accuracy</w:t>
      </w:r>
      <w:r>
        <w:t xml:space="preserve"> </w:t>
      </w:r>
      <w:r>
        <w:t xml:space="preserve">(Giles 2005)</w:t>
      </w:r>
      <w:r>
        <w:t xml:space="preserve">, topic coverage</w:t>
      </w:r>
      <w:r>
        <w:t xml:space="preserve"> </w:t>
      </w:r>
      <w:r>
        <w:t xml:space="preserve">(Halavais and Lackaff 2008)</w:t>
      </w:r>
      <w:r>
        <w:t xml:space="preserve">, local</w:t>
      </w:r>
      <w:r>
        <w:t xml:space="preserve"> </w:t>
      </w:r>
      <w:r>
        <w:t xml:space="preserve">(Ballatore, Graham, and Sen 2017; Ballatore and De Sabbata 2020)</w:t>
      </w:r>
      <w:r>
        <w:t xml:space="preserve"> </w:t>
      </w:r>
      <w:r>
        <w:t xml:space="preserve">and global distribution</w:t>
      </w:r>
      <w:r>
        <w:t xml:space="preserve"> </w:t>
      </w:r>
      <w:r>
        <w:t xml:space="preserve">(Graham, De Sabbata, and Zook 2015; Graham et al. 2018)</w:t>
      </w:r>
      <w:r>
        <w:t xml:space="preserve">, analyzing knowledge construction</w:t>
      </w:r>
      <w:r>
        <w:t xml:space="preserve"> </w:t>
      </w:r>
      <w:r>
        <w:t xml:space="preserve">(Oeberst et al. 2014)</w:t>
      </w:r>
      <w:r>
        <w:t xml:space="preserve"> </w:t>
      </w:r>
      <w:r>
        <w:t xml:space="preserve">and social network dynamics</w:t>
      </w:r>
      <w:r>
        <w:t xml:space="preserve"> </w:t>
      </w:r>
      <w:r>
        <w:t xml:space="preserve">(Iba et al. 2010)</w:t>
      </w:r>
      <w:r>
        <w:t xml:space="preserve">, etc. However, using a worldwide, crowdsourced, open database implies characterizing its contributors. Firstly, studies show that UGC is unequally distributed on a global scale: it is generally skewed towards countries from the Global North, whether it be in terms of participation, representation or access</w:t>
      </w:r>
      <w:r>
        <w:t xml:space="preserve"> </w:t>
      </w:r>
      <w:r>
        <w:t xml:space="preserve">(Graham et al. 2018; Graham, De Sabbata, and Zook 2015; Ballatore, Graham, and Sen 2017)</w:t>
      </w:r>
      <w:r>
        <w:t xml:space="preserve">. Research conducted on Wikipedia suggests that the platform follows the same pattern. For example,</w:t>
      </w:r>
      <w:r>
        <w:t xml:space="preserve"> </w:t>
      </w:r>
      <w:r>
        <w:t xml:space="preserve">Graham (2014)</w:t>
      </w:r>
      <w:r>
        <w:t xml:space="preserve"> </w:t>
      </w:r>
      <w:r>
        <w:t xml:space="preserve">shows that Europe and North America get the greatest number of articles per person. Secondly, participation tends to be skewed towards</w:t>
      </w:r>
      <w:r>
        <w:t xml:space="preserve"> </w:t>
      </w:r>
      <w:r>
        <w:t xml:space="preserve">“</w:t>
      </w:r>
      <w:r>
        <w:t xml:space="preserve">a more wealthy, more educated, more Western, more white and more male demographic</w:t>
      </w:r>
      <w:r>
        <w:t xml:space="preserve">”</w:t>
      </w:r>
      <w:r>
        <w:t xml:space="preserve"> </w:t>
      </w:r>
      <w:r>
        <w:t xml:space="preserve">(Crampton et al. 2013, 132)</w:t>
      </w:r>
      <w:r>
        <w:t xml:space="preserve">. For example, research on OpenStreetMap – an open and crowdsourced mapping platform – suggests that it reproduces the socio-economical structures</w:t>
      </w:r>
      <w:r>
        <w:t xml:space="preserve"> </w:t>
      </w:r>
      <w:r>
        <w:t xml:space="preserve">(Bittner 2017)</w:t>
      </w:r>
      <w:r>
        <w:t xml:space="preserve">. The risk is that these crowdsourced platforms reproduce the inequalities, leaving economically and socially deprived areas also digitally deprived</w:t>
      </w:r>
      <w:r>
        <w:t xml:space="preserve"> </w:t>
      </w:r>
      <w:r>
        <w:t xml:space="preserve">(Mashhadi, Quattrone, and Capra 2015)</w:t>
      </w:r>
      <w:r>
        <w:t xml:space="preserve">. There is also a strong gender asymmetry on the web, contributing to biased data</w:t>
      </w:r>
      <w:r>
        <w:t xml:space="preserve"> </w:t>
      </w:r>
      <w:r>
        <w:t xml:space="preserve">(Stephens 2013; Gardner et al. 2020)</w:t>
      </w:r>
      <w:r>
        <w:t xml:space="preserve">.</w:t>
      </w:r>
      <w:r>
        <w:br/>
      </w:r>
      <w:r>
        <w:t xml:space="preserve">Identifying the data distribution is capital for interpretation and analysis, given that the Wikimedia projects are a part of UGC and are therefore subjects to its biases. The question</w:t>
      </w:r>
      <w:r>
        <w:t xml:space="preserve"> </w:t>
      </w:r>
      <w:r>
        <w:t xml:space="preserve">“</w:t>
      </w:r>
      <w:r>
        <w:t xml:space="preserve">who produces the data?</w:t>
      </w:r>
      <w:r>
        <w:t xml:space="preserve">”</w:t>
      </w:r>
      <w:r>
        <w:t xml:space="preserve"> </w:t>
      </w:r>
      <w:r>
        <w:t xml:space="preserve">must then be addressed.</w:t>
      </w:r>
      <w:r>
        <w:t xml:space="preserve"> </w:t>
      </w:r>
      <w:r>
        <w:t xml:space="preserve">Lorini et al. (2020)</w:t>
      </w:r>
      <w:r>
        <w:t xml:space="preserve"> </w:t>
      </w:r>
      <w:r>
        <w:t xml:space="preserve">studied the report of floods on Wikipedia. However, to our knowledge, no study using multiple Wikimedia projects and analyzing the data distribution and production in time as well as in space, using quantitative and textometric methods, has been conducted on this subject.</w:t>
      </w:r>
    </w:p>
    <w:bookmarkEnd w:id="22"/>
    <w:bookmarkStart w:id="35" w:name="methods"/>
    <w:p>
      <w:pPr>
        <w:pStyle w:val="Heading1"/>
      </w:pPr>
      <w:r>
        <w:t xml:space="preserve">Methods</w:t>
      </w:r>
    </w:p>
    <w:bookmarkStart w:id="32" w:name="primary-census-of-flood-events"/>
    <w:p>
      <w:pPr>
        <w:pStyle w:val="Heading3"/>
      </w:pPr>
      <w:r>
        <w:t xml:space="preserve">Primary census of flood events</w:t>
      </w:r>
    </w:p>
    <w:p>
      <w:pPr>
        <w:pStyle w:val="FirstParagraph"/>
      </w:pPr>
      <w:r>
        <w:t xml:space="preserve">We collected Wikidata about floods, using the glitter R package (an API-client to the Wikidata SPARQL endpoint API)</w:t>
      </w:r>
      <w:r>
        <w:t xml:space="preserve"> </w:t>
      </w:r>
      <w:r>
        <w:t xml:space="preserve">(Vaudor and Salmon 2023)</w:t>
      </w:r>
      <w: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741333"/>
                  <wp:effectExtent b="0" l="0" r="0" t="0"/>
                  <wp:docPr descr="" title="" id="24" name="Picture"/>
                  <a:graphic>
                    <a:graphicData uri="http://schemas.openxmlformats.org/drawingml/2006/picture">
                      <pic:pic>
                        <pic:nvPicPr>
                          <pic:cNvPr descr="figure/fig-graph_query.png" id="25" name="Picture"/>
                          <pic:cNvPicPr>
                            <a:picLocks noChangeArrowheads="1" noChangeAspect="1"/>
                          </pic:cNvPicPr>
                        </pic:nvPicPr>
                        <pic:blipFill>
                          <a:blip r:embed="rId23"/>
                          <a:stretch>
                            <a:fillRect/>
                          </a:stretch>
                        </pic:blipFill>
                        <pic:spPr bwMode="auto">
                          <a:xfrm>
                            <a:off x="0" y="0"/>
                            <a:ext cx="5334000" cy="4741333"/>
                          </a:xfrm>
                          <a:prstGeom prst="rect">
                            <a:avLst/>
                          </a:prstGeom>
                          <a:noFill/>
                          <a:ln w="9525">
                            <a:noFill/>
                            <a:headEnd/>
                            <a:tailEnd/>
                          </a:ln>
                        </pic:spPr>
                      </pic:pic>
                    </a:graphicData>
                  </a:graphic>
                </wp:inline>
              </w:drawing>
            </w:r>
          </w:p>
          <w:p>
            <w:pPr>
              <w:jc w:val="center"/>
            </w:pPr>
            <w:pPr>
              <w:jc w:val="start"/>
              <w:spacing w:before="200"/>
              <w:pStyle w:val="ImageCaption"/>
            </w:pPr>
            <w:r>
              <w:t xml:space="preserve">First Wikidata query</w:t>
            </w:r>
          </w:p>
        </w:tc>
      </w:tr>
    </w:tbl>
    <w:p>
      <w:pPr>
        <w:pStyle w:val="BodyText"/>
      </w:pPr>
      <w:r>
        <w:t xml:space="preserve">We carried out a first Wikidata query to get all instances of floods or subclasses of floods as well as a few descriptors of these. The events can be located through</w:t>
      </w:r>
      <w:r>
        <w:t xml:space="preserve"> </w:t>
      </w:r>
      <w:r>
        <w:rPr>
          <w:rStyle w:val="VerbatimChar"/>
        </w:rPr>
        <w:t xml:space="preserve">coords</w:t>
      </w:r>
      <w:r>
        <w:t xml:space="preserve"> </w:t>
      </w:r>
      <w:r>
        <w:t xml:space="preserve">(geographical coordinates)</w:t>
      </w:r>
      <w:r>
        <w:t xml:space="preserve"> </w:t>
      </w:r>
      <w:r>
        <w:rPr>
          <w:rStyle w:val="VerbatimChar"/>
        </w:rPr>
        <w:t xml:space="preserve">loc</w:t>
      </w:r>
      <w:r>
        <w:t xml:space="preserve"> </w:t>
      </w:r>
      <w:r>
        <w:t xml:space="preserve">(a location -which can be any type of geographical item documented in Wikidata, e.g. a city, region or country- which in turn might provide coordinates-), or simply through the</w:t>
      </w:r>
      <w:r>
        <w:t xml:space="preserve"> </w:t>
      </w:r>
      <w:r>
        <w:rPr>
          <w:rStyle w:val="VerbatimChar"/>
        </w:rPr>
        <w:t xml:space="preserve">country</w:t>
      </w:r>
      <w:r>
        <w:t xml:space="preserve"> </w:t>
      </w:r>
      <w:r>
        <w:t xml:space="preserve">variable -which might also in turn provide coordinates-). We used all these variables to try and provide coordinates for as many events as possible, with the greatest precision possible: we prioritized coords (when available) over coordinates corresponding to location, and coordinates corresponding to location (when available) to coordinates corresponding to country.</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733800"/>
                  <wp:effectExtent b="0" l="0" r="0" t="0"/>
                  <wp:docPr descr="" title="" id="27" name="Picture"/>
                  <a:graphic>
                    <a:graphicData uri="http://schemas.openxmlformats.org/drawingml/2006/picture">
                      <pic:pic>
                        <pic:nvPicPr>
                          <pic:cNvPr descr="figure/fig-graph_query_dates.png" id="28" name="Picture"/>
                          <pic:cNvPicPr>
                            <a:picLocks noChangeArrowheads="1" noChangeAspect="1"/>
                          </pic:cNvPicPr>
                        </pic:nvPicPr>
                        <pic:blipFill>
                          <a:blip r:embed="rId26"/>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Second Wikidata query</w:t>
            </w:r>
          </w:p>
        </w:tc>
      </w:tr>
    </w:tbl>
    <w:p>
      <w:pPr>
        <w:pStyle w:val="BodyText"/>
      </w:pPr>
      <w:r>
        <w:t xml:space="preserve">We carried out a second Wikidata query for each flood listed by this first query, to gather information about its time of occurrence (wdt:P585), start time (wdt:P580) and end time (wdt:P582). We hence tried to provide a date for each of the events using either one of these informations, prioritizing the date provided by time of occurrence (if available) over the average date between start time and end time (if both were available), average date between start time and end time over start time or end time (if only one was available), and start time or end time over four-digit words in the events’ label if present (as labels generally consist of a mention of type of event, time and place). Time-related information on Wikidata are specified with varying precision, which when regarding floods generally vary between dayly precision and yearly precision.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667000"/>
                  <wp:effectExtent b="0" l="0" r="0" t="0"/>
                  <wp:docPr descr="" title="" id="30" name="Picture"/>
                  <a:graphic>
                    <a:graphicData uri="http://schemas.openxmlformats.org/drawingml/2006/picture">
                      <pic:pic>
                        <pic:nvPicPr>
                          <pic:cNvPr descr="figure/fig-graph_query_country.png" id="31" name="Picture"/>
                          <pic:cNvPicPr>
                            <a:picLocks noChangeArrowheads="1" noChangeAspect="1"/>
                          </pic:cNvPicPr>
                        </pic:nvPicPr>
                        <pic:blipFill>
                          <a:blip r:embed="rId29"/>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Third Wikidata query</w:t>
            </w:r>
          </w:p>
        </w:tc>
      </w:tr>
    </w:tbl>
    <w:p>
      <w:pPr>
        <w:pStyle w:val="BodyText"/>
      </w:pPr>
      <w:r>
        <w:t xml:space="preserve">We carried out a third Wikidata query for each country listed by the first query, to gather information about their coordinates, the languages used by their population (either official or used languages), and Human Development Index (HDI) [ref].</w:t>
      </w:r>
    </w:p>
    <w:bookmarkEnd w:id="32"/>
    <w:bookmarkStart w:id="33" w:name="Xc3f5bf14053b03e17ca9ece48149f55e99fcbea"/>
    <w:p>
      <w:pPr>
        <w:pStyle w:val="Heading3"/>
      </w:pPr>
      <w:r>
        <w:t xml:space="preserve">Comparison to the Dartmouth Flood Observatory data</w:t>
      </w:r>
    </w:p>
    <w:p>
      <w:pPr>
        <w:pStyle w:val="FirstParagraph"/>
      </w:pPr>
      <w:r>
        <w:t xml:space="preserve">We wanted to confront the data about floods documented through Wikidata (WD) to the data gathered by the Dartmouth Flood Observatory (DFO)</w:t>
      </w:r>
      <w:r>
        <w:t xml:space="preserve"> </w:t>
      </w:r>
      <w:r>
        <w:t xml:space="preserve">(Brakenridge n.d.)</w:t>
      </w:r>
      <w:r>
        <w:t xml:space="preserve">. We downloaded the DFO dataset and curated it to make it more easily comparable to our WD dataset, especially regarding country labels. We then tried to match each event in WD to one event in DFO through the following algorithm</w:t>
      </w:r>
    </w:p>
    <w:p>
      <w:pPr>
        <w:pStyle w:val="BodyText"/>
      </w:pPr>
      <w:r>
        <w:t xml:space="preserve">For each WD event</w:t>
      </w:r>
      <w:r>
        <w:t xml:space="preserve"> </w:t>
      </w:r>
      <w:r>
        <w:rPr>
          <w:rStyle w:val="VerbatimChar"/>
        </w:rPr>
        <w:t xml:space="preserve">flood</w:t>
      </w:r>
      <w:r>
        <w:t xml:space="preserve">:</w:t>
      </w:r>
    </w:p>
    <w:p>
      <w:pPr>
        <w:numPr>
          <w:ilvl w:val="0"/>
          <w:numId w:val="1002"/>
        </w:numPr>
        <w:pStyle w:val="Compact"/>
      </w:pPr>
      <w:r>
        <w:t xml:space="preserve">calculate the difference in time between DFO events and</w:t>
      </w:r>
      <w:r>
        <w:t xml:space="preserve"> </w:t>
      </w:r>
      <w:r>
        <w:rPr>
          <w:rStyle w:val="VerbatimChar"/>
        </w:rPr>
        <w:t xml:space="preserve">flood</w:t>
      </w:r>
    </w:p>
    <w:p>
      <w:pPr>
        <w:numPr>
          <w:ilvl w:val="0"/>
          <w:numId w:val="1002"/>
        </w:numPr>
        <w:pStyle w:val="Compact"/>
      </w:pPr>
      <w:r>
        <w:t xml:space="preserve">calculate the distance between DFO events and</w:t>
      </w:r>
      <w:r>
        <w:t xml:space="preserve"> </w:t>
      </w:r>
      <w:r>
        <w:rPr>
          <w:rStyle w:val="VerbatimChar"/>
        </w:rPr>
        <w:t xml:space="preserve">flood</w:t>
      </w:r>
    </w:p>
    <w:p>
      <w:pPr>
        <w:numPr>
          <w:ilvl w:val="0"/>
          <w:numId w:val="1002"/>
        </w:numPr>
        <w:pStyle w:val="Compact"/>
      </w:pPr>
      <w:r>
        <w:t xml:space="preserve">check for all DFO events whether the difference in time to</w:t>
      </w:r>
      <w:r>
        <w:t xml:space="preserve"> </w:t>
      </w:r>
      <w:r>
        <w:rPr>
          <w:rStyle w:val="VerbatimChar"/>
        </w:rPr>
        <w:t xml:space="preserve">flood</w:t>
      </w:r>
      <w:r>
        <w:t xml:space="preserve"> </w:t>
      </w:r>
      <w:r>
        <w:t xml:space="preserve">is less than 400 days and the distance to</w:t>
      </w:r>
      <w:r>
        <w:t xml:space="preserve"> </w:t>
      </w:r>
      <w:r>
        <w:rPr>
          <w:rStyle w:val="VerbatimChar"/>
        </w:rPr>
        <w:t xml:space="preserve">flood</w:t>
      </w:r>
      <w:r>
        <w:t xml:space="preserve"> </w:t>
      </w:r>
      <w:r>
        <w:t xml:space="preserve">is less than 400 kms (condition 1)</w:t>
      </w:r>
    </w:p>
    <w:p>
      <w:pPr>
        <w:numPr>
          <w:ilvl w:val="0"/>
          <w:numId w:val="1002"/>
        </w:numPr>
        <w:pStyle w:val="Compact"/>
      </w:pPr>
      <w:r>
        <w:t xml:space="preserve">check for all DFO events whether the difference in time to</w:t>
      </w:r>
      <w:r>
        <w:t xml:space="preserve"> </w:t>
      </w:r>
      <w:r>
        <w:rPr>
          <w:rStyle w:val="VerbatimChar"/>
        </w:rPr>
        <w:t xml:space="preserve">flood</w:t>
      </w:r>
      <w:r>
        <w:t xml:space="preserve"> </w:t>
      </w:r>
      <w:r>
        <w:t xml:space="preserve">is less than 400 days and the countries of occurrence are the same than one of the countries registered for</w:t>
      </w:r>
      <w:r>
        <w:t xml:space="preserve"> </w:t>
      </w:r>
      <w:r>
        <w:rPr>
          <w:rStyle w:val="VerbatimChar"/>
        </w:rPr>
        <w:t xml:space="preserve">flood</w:t>
      </w:r>
      <w:r>
        <w:t xml:space="preserve"> </w:t>
      </w:r>
      <w:r>
        <w:t xml:space="preserve">(condition 2)</w:t>
      </w:r>
    </w:p>
    <w:p>
      <w:pPr>
        <w:numPr>
          <w:ilvl w:val="0"/>
          <w:numId w:val="1002"/>
        </w:numPr>
        <w:pStyle w:val="Compact"/>
      </w:pPr>
      <w:r>
        <w:t xml:space="preserve">filter all DFO events to only keep those verifying condition 1 or condition 2</w:t>
      </w:r>
    </w:p>
    <w:p>
      <w:pPr>
        <w:numPr>
          <w:ilvl w:val="0"/>
          <w:numId w:val="1002"/>
        </w:numPr>
        <w:pStyle w:val="Compact"/>
      </w:pPr>
      <w:r>
        <w:t xml:space="preserve">if several DFO events verify those conditions, retain only the one corresponding to lowest difference in time to</w:t>
      </w:r>
      <w:r>
        <w:t xml:space="preserve"> </w:t>
      </w:r>
      <w:r>
        <w:rPr>
          <w:rStyle w:val="VerbatimChar"/>
        </w:rPr>
        <w:t xml:space="preserve">flood</w:t>
      </w:r>
      <w:r>
        <w:t xml:space="preserve">, and consider that this is the DFO event that matches</w:t>
      </w:r>
      <w:r>
        <w:t xml:space="preserve"> </w:t>
      </w:r>
      <w:r>
        <w:rPr>
          <w:rStyle w:val="VerbatimChar"/>
        </w:rPr>
        <w:t xml:space="preserve">flood</w:t>
      </w:r>
    </w:p>
    <w:bookmarkEnd w:id="33"/>
    <w:bookmarkStart w:id="34" w:name="text-analysis-of-wikipedia-pages"/>
    <w:p>
      <w:pPr>
        <w:pStyle w:val="Heading2"/>
      </w:pPr>
      <w:r>
        <w:t xml:space="preserve">Text analysis of Wikipedia pages</w:t>
      </w:r>
    </w:p>
    <w:p>
      <w:pPr>
        <w:pStyle w:val="FirstParagraph"/>
      </w:pPr>
      <w:r>
        <w:t xml:space="preserve">We scraped the text (all the textual content in headers from level one (h1) to level 6 (h6) as well as paragraphs) from all listed Wikipedia pages, using the</w:t>
      </w:r>
      <w:r>
        <w:t xml:space="preserve"> </w:t>
      </w:r>
      <w:r>
        <w:rPr>
          <w:rStyle w:val="VerbatimChar"/>
        </w:rPr>
        <w:t xml:space="preserve">rvest</w:t>
      </w:r>
      <w:r>
        <w:t xml:space="preserve"> </w:t>
      </w:r>
      <w:r>
        <w:t xml:space="preserve">R package</w:t>
      </w:r>
      <w:r>
        <w:t xml:space="preserve"> </w:t>
      </w:r>
      <w:r>
        <w:t xml:space="preserve">(Wickham 2024)</w:t>
      </w:r>
      <w:r>
        <w:t xml:space="preserve">. We then translated them to English (if necessary) through Google Translate using the polyglotr R package</w:t>
      </w:r>
      <w:r>
        <w:t xml:space="preserve"> </w:t>
      </w:r>
      <w:r>
        <w:t xml:space="preserve">(Iwan 2024)</w:t>
      </w:r>
      <w:r>
        <w:t xml:space="preserve">.</w:t>
      </w:r>
    </w:p>
    <w:p>
      <w:pPr>
        <w:pStyle w:val="BodyText"/>
      </w:pPr>
      <w:r>
        <w:t xml:space="preserve">We tokenized the texts with the tidytext R package</w:t>
      </w:r>
      <w:r>
        <w:t xml:space="preserve"> </w:t>
      </w:r>
      <w:r>
        <w:t xml:space="preserve">(Silge and Robinson 2016)</w:t>
      </w:r>
      <w:r>
        <w:t xml:space="preserve">, lemmatized words and filtered out stop words based on the Iramuteq English dictionnary</w:t>
      </w:r>
      <w:r>
        <w:t xml:space="preserve"> </w:t>
      </w:r>
      <w:r>
        <w:t xml:space="preserve">(Ratinaud 2009)</w:t>
      </w:r>
      <w:r>
        <w:t xml:space="preserve">. We could then identify textual specificities based on various partitions of the corpus</w:t>
      </w:r>
      <w:r>
        <w:t xml:space="preserve"> </w:t>
      </w:r>
      <w:r>
        <w:t xml:space="preserve">(Lafon, Pierre 1980; Loiseau et al. 2022)</w:t>
      </w:r>
      <w:r>
        <w:t xml:space="preserve">.</w:t>
      </w:r>
    </w:p>
    <w:p>
      <w:pPr>
        <w:pStyle w:val="BodyText"/>
      </w:pPr>
      <w:r>
        <w:t xml:space="preserve">We used Reinert’s method</w:t>
      </w:r>
      <w:r>
        <w:t xml:space="preserve"> </w:t>
      </w:r>
      <w:r>
        <w:t xml:space="preserve">(Reinert 1990)</w:t>
      </w:r>
      <w:r>
        <w:t xml:space="preserve"> </w:t>
      </w:r>
      <w:r>
        <w:t xml:space="preserve">to classify segments of our corpus (consisting in successive parts of the Wikipedia articles, segmented in such a way that each contains 10 lemmatized, content words). To implement that method, we used the rainette package</w:t>
      </w:r>
      <w:r>
        <w:t xml:space="preserve"> </w:t>
      </w:r>
      <w:r>
        <w:t xml:space="preserve">(Barnier 2023)</w:t>
      </w:r>
      <w:r>
        <w:t xml:space="preserve"> </w:t>
      </w:r>
      <w:r>
        <w:t xml:space="preserve">and used its exploration tools to choose a meaningful and tractable number of classes. Each class is characterized as a collection of over-represented words, and we used them to label each class in a one-worded, synthetic way. We then used these labelled classes to examine the relationship between the flood characteristics and the topic contents of articles.</w:t>
      </w:r>
    </w:p>
    <w:bookmarkEnd w:id="34"/>
    <w:bookmarkEnd w:id="35"/>
    <w:bookmarkStart w:id="80" w:name="results"/>
    <w:p>
      <w:pPr>
        <w:pStyle w:val="Heading1"/>
      </w:pPr>
      <w:r>
        <w:t xml:space="preserve">Results</w:t>
      </w:r>
    </w:p>
    <w:bookmarkStart w:id="37" w:name="online-app"/>
    <w:p>
      <w:pPr>
        <w:pStyle w:val="Heading2"/>
      </w:pPr>
      <w:r>
        <w:t xml:space="preserve">Online app</w:t>
      </w:r>
    </w:p>
    <w:p>
      <w:pPr>
        <w:pStyle w:val="FirstParagraph"/>
      </w:pPr>
      <w:r>
        <w:t xml:space="preserve">The results and tables can be consulted here:</w:t>
      </w:r>
    </w:p>
    <w:p>
      <w:pPr>
        <w:pStyle w:val="BodyText"/>
      </w:pPr>
      <w:hyperlink r:id="rId36">
        <w:r>
          <w:rPr>
            <w:rStyle w:val="Hyperlink"/>
          </w:rPr>
          <w:t xml:space="preserve">link to app</w:t>
        </w:r>
      </w:hyperlink>
    </w:p>
    <w:p>
      <w:pPr>
        <w:pStyle w:val="BodyText"/>
      </w:pPr>
      <w:r>
        <w:t xml:space="preserve">The app provides maps and plots regarding all events (i.e. at the global scale) but also displays, for each event in the database, all the raw data included in the analyses.</w:t>
      </w:r>
    </w:p>
    <w:bookmarkEnd w:id="37"/>
    <w:bookmarkStart w:id="43" w:name="datasets"/>
    <w:p>
      <w:pPr>
        <w:pStyle w:val="Heading2"/>
      </w:pPr>
      <w:r>
        <w:t xml:space="preserve">Datasets</w:t>
      </w:r>
    </w:p>
    <w:p>
      <w:pPr>
        <w:pStyle w:val="FirstParagraph"/>
      </w:pPr>
      <w:r>
        <w:t xml:space="preserve">We have gathered and curated tables of data organized as follows:</w:t>
      </w:r>
    </w:p>
    <w:bookmarkStart w:id="38" w:name="wd_events"/>
    <w:p>
      <w:pPr>
        <w:pStyle w:val="Heading3"/>
      </w:pPr>
      <w:r>
        <w:t xml:space="preserve">wd_events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var</w:t>
            </w:r>
          </w:p>
        </w:tc>
        <w:tc>
          <w:tcPr/>
          <w:p>
            <w:pPr>
              <w:pStyle w:val="Compact"/>
              <w:jc w:val="left"/>
            </w:pPr>
            <w:r>
              <w:t xml:space="preserve">key</w:t>
            </w:r>
          </w:p>
        </w:tc>
        <w:tc>
          <w:tcPr/>
          <w:p>
            <w:pPr>
              <w:pStyle w:val="Compact"/>
              <w:jc w:val="left"/>
            </w:pPr>
            <w:r>
              <w:t xml:space="preserve">class</w:t>
            </w:r>
          </w:p>
        </w:tc>
        <w:tc>
          <w:tcPr/>
          <w:p>
            <w:pPr>
              <w:pStyle w:val="Compact"/>
              <w:jc w:val="right"/>
            </w:pPr>
            <w:r>
              <w:t xml:space="preserve">n_distinct</w:t>
            </w:r>
          </w:p>
        </w:tc>
        <w:tc>
          <w:tcPr/>
          <w:p>
            <w:pPr>
              <w:pStyle w:val="Compact"/>
              <w:jc w:val="left"/>
            </w:pPr>
            <w:r>
              <w:t xml:space="preserve">example</w:t>
            </w:r>
          </w:p>
        </w:tc>
      </w:tr>
      <w:tr>
        <w:tc>
          <w:tcPr/>
          <w:p>
            <w:pPr>
              <w:pStyle w:val="Compact"/>
              <w:jc w:val="left"/>
            </w:pPr>
            <w:r>
              <w:t xml:space="preserve">flood</w:t>
            </w:r>
          </w:p>
        </w:tc>
        <w:tc>
          <w:tcPr/>
          <w:p>
            <w:pPr>
              <w:pStyle w:val="Compact"/>
              <w:jc w:val="left"/>
            </w:pPr>
            <w:r>
              <w:t xml:space="preserve">*</w:t>
            </w:r>
          </w:p>
        </w:tc>
        <w:tc>
          <w:tcPr/>
          <w:p>
            <w:pPr>
              <w:pStyle w:val="Compact"/>
              <w:jc w:val="left"/>
            </w:pPr>
            <w:r>
              <w:t xml:space="preserve">character</w:t>
            </w:r>
          </w:p>
        </w:tc>
        <w:tc>
          <w:tcPr/>
          <w:p>
            <w:pPr>
              <w:pStyle w:val="Compact"/>
              <w:jc w:val="right"/>
            </w:pPr>
            <w:r>
              <w:t xml:space="preserve">792</w:t>
            </w:r>
          </w:p>
        </w:tc>
        <w:tc>
          <w:tcPr/>
          <w:p>
            <w:pPr>
              <w:pStyle w:val="Compact"/>
              <w:jc w:val="left"/>
            </w:pPr>
            <w:r>
              <w:t xml:space="preserve">wd:Q18991372</w:t>
            </w:r>
          </w:p>
        </w:tc>
      </w:tr>
      <w:tr>
        <w:tc>
          <w:tcPr/>
          <w:p>
            <w:pPr>
              <w:pStyle w:val="Compact"/>
              <w:jc w:val="left"/>
            </w:pPr>
            <w:r>
              <w:t xml:space="preserve">flood_label</w:t>
            </w:r>
          </w:p>
        </w:tc>
        <w:tc>
          <w:tcPr/>
          <w:p>
            <w:pPr>
              <w:pStyle w:val="Compact"/>
            </w:pPr>
          </w:p>
        </w:tc>
        <w:tc>
          <w:tcPr/>
          <w:p>
            <w:pPr>
              <w:pStyle w:val="Compact"/>
              <w:jc w:val="left"/>
            </w:pPr>
            <w:r>
              <w:t xml:space="preserve">character</w:t>
            </w:r>
          </w:p>
        </w:tc>
        <w:tc>
          <w:tcPr/>
          <w:p>
            <w:pPr>
              <w:pStyle w:val="Compact"/>
              <w:jc w:val="right"/>
            </w:pPr>
            <w:r>
              <w:t xml:space="preserve">698</w:t>
            </w:r>
          </w:p>
        </w:tc>
        <w:tc>
          <w:tcPr/>
          <w:p>
            <w:pPr>
              <w:pStyle w:val="Compact"/>
              <w:jc w:val="left"/>
            </w:pPr>
            <w:r>
              <w:t xml:space="preserve">1966 Kaetsu flood</w:t>
            </w:r>
          </w:p>
        </w:tc>
      </w:tr>
      <w:tr>
        <w:tc>
          <w:tcPr/>
          <w:p>
            <w:pPr>
              <w:pStyle w:val="Compact"/>
              <w:jc w:val="left"/>
            </w:pPr>
            <w:r>
              <w:t xml:space="preserve">date</w:t>
            </w:r>
          </w:p>
        </w:tc>
        <w:tc>
          <w:tcPr/>
          <w:p>
            <w:pPr>
              <w:pStyle w:val="Compact"/>
            </w:pPr>
          </w:p>
        </w:tc>
        <w:tc>
          <w:tcPr/>
          <w:p>
            <w:pPr>
              <w:pStyle w:val="Compact"/>
              <w:jc w:val="left"/>
            </w:pPr>
            <w:r>
              <w:t xml:space="preserve">Date</w:t>
            </w:r>
          </w:p>
        </w:tc>
        <w:tc>
          <w:tcPr/>
          <w:p>
            <w:pPr>
              <w:pStyle w:val="Compact"/>
              <w:jc w:val="right"/>
            </w:pPr>
            <w:r>
              <w:t xml:space="preserve">615</w:t>
            </w:r>
          </w:p>
        </w:tc>
        <w:tc>
          <w:tcPr/>
          <w:p>
            <w:pPr>
              <w:pStyle w:val="Compact"/>
              <w:jc w:val="left"/>
            </w:pPr>
            <w:r>
              <w:t xml:space="preserve">1966-07-17</w:t>
            </w:r>
          </w:p>
        </w:tc>
      </w:tr>
      <w:tr>
        <w:tc>
          <w:tcPr/>
          <w:p>
            <w:pPr>
              <w:pStyle w:val="Compact"/>
              <w:jc w:val="left"/>
            </w:pPr>
            <w:r>
              <w:t xml:space="preserve">country</w:t>
            </w:r>
          </w:p>
        </w:tc>
        <w:tc>
          <w:tcPr/>
          <w:p>
            <w:pPr>
              <w:pStyle w:val="Compact"/>
            </w:pPr>
          </w:p>
        </w:tc>
        <w:tc>
          <w:tcPr/>
          <w:p>
            <w:pPr>
              <w:pStyle w:val="Compact"/>
              <w:jc w:val="left"/>
            </w:pPr>
            <w:r>
              <w:t xml:space="preserve">character</w:t>
            </w:r>
          </w:p>
        </w:tc>
        <w:tc>
          <w:tcPr/>
          <w:p>
            <w:pPr>
              <w:pStyle w:val="Compact"/>
              <w:jc w:val="right"/>
            </w:pPr>
            <w:r>
              <w:t xml:space="preserve">154</w:t>
            </w:r>
          </w:p>
        </w:tc>
        <w:tc>
          <w:tcPr/>
          <w:p>
            <w:pPr>
              <w:pStyle w:val="Compact"/>
              <w:jc w:val="left"/>
            </w:pPr>
            <w:r>
              <w:t xml:space="preserve">wd:Q17</w:t>
            </w:r>
          </w:p>
        </w:tc>
      </w:tr>
      <w:tr>
        <w:tc>
          <w:tcPr/>
          <w:p>
            <w:pPr>
              <w:pStyle w:val="Compact"/>
              <w:jc w:val="left"/>
            </w:pPr>
            <w:r>
              <w:t xml:space="preserve">country_label</w:t>
            </w:r>
          </w:p>
        </w:tc>
        <w:tc>
          <w:tcPr/>
          <w:p>
            <w:pPr>
              <w:pStyle w:val="Compact"/>
            </w:pPr>
          </w:p>
        </w:tc>
        <w:tc>
          <w:tcPr/>
          <w:p>
            <w:pPr>
              <w:pStyle w:val="Compact"/>
              <w:jc w:val="left"/>
            </w:pPr>
            <w:r>
              <w:t xml:space="preserve">character</w:t>
            </w:r>
          </w:p>
        </w:tc>
        <w:tc>
          <w:tcPr/>
          <w:p>
            <w:pPr>
              <w:pStyle w:val="Compact"/>
              <w:jc w:val="right"/>
            </w:pPr>
            <w:r>
              <w:t xml:space="preserve">154</w:t>
            </w:r>
          </w:p>
        </w:tc>
        <w:tc>
          <w:tcPr/>
          <w:p>
            <w:pPr>
              <w:pStyle w:val="Compact"/>
              <w:jc w:val="left"/>
            </w:pPr>
            <w:r>
              <w:t xml:space="preserve">Japan</w:t>
            </w:r>
          </w:p>
        </w:tc>
      </w:tr>
      <w:tr>
        <w:tc>
          <w:tcPr/>
          <w:p>
            <w:pPr>
              <w:pStyle w:val="Compact"/>
              <w:jc w:val="left"/>
            </w:pPr>
            <w:r>
              <w:t xml:space="preserve">year</w:t>
            </w:r>
          </w:p>
        </w:tc>
        <w:tc>
          <w:tcPr/>
          <w:p>
            <w:pPr>
              <w:pStyle w:val="Compact"/>
            </w:pPr>
          </w:p>
        </w:tc>
        <w:tc>
          <w:tcPr/>
          <w:p>
            <w:pPr>
              <w:pStyle w:val="Compact"/>
              <w:jc w:val="left"/>
            </w:pPr>
            <w:r>
              <w:t xml:space="preserve">numeric</w:t>
            </w:r>
          </w:p>
        </w:tc>
        <w:tc>
          <w:tcPr/>
          <w:p>
            <w:pPr>
              <w:pStyle w:val="Compact"/>
              <w:jc w:val="right"/>
            </w:pPr>
            <w:r>
              <w:t xml:space="preserve">236</w:t>
            </w:r>
          </w:p>
        </w:tc>
        <w:tc>
          <w:tcPr/>
          <w:p>
            <w:pPr>
              <w:pStyle w:val="Compact"/>
              <w:jc w:val="left"/>
            </w:pPr>
            <w:r>
              <w:t xml:space="preserve">1966</w:t>
            </w:r>
          </w:p>
        </w:tc>
      </w:tr>
    </w:tbl>
    <w:bookmarkEnd w:id="38"/>
    <w:bookmarkStart w:id="39" w:name="wp_pages"/>
    <w:p>
      <w:pPr>
        <w:pStyle w:val="Heading3"/>
      </w:pPr>
      <w:r>
        <w:t xml:space="preserve">wp_pages</w:t>
      </w:r>
    </w:p>
    <w:tbl>
      <w:tblPr>
        <w:tblStyle w:val="Table"/>
        <w:tblW w:type="pct" w:w="5000"/>
        <w:tblLook w:firstRow="1" w:lastRow="0" w:firstColumn="0" w:lastColumn="0" w:noHBand="0" w:noVBand="0" w:val="0020"/>
        <w:jc w:val="start"/>
      </w:tblPr>
      <w:tblGrid>
        <w:gridCol w:w="647"/>
        <w:gridCol w:w="152"/>
        <w:gridCol w:w="380"/>
        <w:gridCol w:w="418"/>
        <w:gridCol w:w="6320"/>
      </w:tblGrid>
      <w:tr>
        <w:trPr>
          <w:tblHeader w:val="true"/>
        </w:trPr>
        <w:tc>
          <w:tcPr/>
          <w:p>
            <w:pPr>
              <w:pStyle w:val="Compact"/>
              <w:jc w:val="left"/>
            </w:pPr>
            <w:r>
              <w:t xml:space="preserve">var</w:t>
            </w:r>
          </w:p>
        </w:tc>
        <w:tc>
          <w:tcPr/>
          <w:p>
            <w:pPr>
              <w:pStyle w:val="Compact"/>
              <w:jc w:val="left"/>
            </w:pPr>
            <w:r>
              <w:t xml:space="preserve">key</w:t>
            </w:r>
          </w:p>
        </w:tc>
        <w:tc>
          <w:tcPr/>
          <w:p>
            <w:pPr>
              <w:pStyle w:val="Compact"/>
              <w:jc w:val="left"/>
            </w:pPr>
            <w:r>
              <w:t xml:space="preserve">class</w:t>
            </w:r>
          </w:p>
        </w:tc>
        <w:tc>
          <w:tcPr/>
          <w:p>
            <w:pPr>
              <w:pStyle w:val="Compact"/>
              <w:jc w:val="right"/>
            </w:pPr>
            <w:r>
              <w:t xml:space="preserve">n_distinct</w:t>
            </w:r>
          </w:p>
        </w:tc>
        <w:tc>
          <w:tcPr/>
          <w:p>
            <w:pPr>
              <w:pStyle w:val="Compact"/>
              <w:jc w:val="left"/>
            </w:pPr>
            <w:r>
              <w:t xml:space="preserve">example</w:t>
            </w:r>
          </w:p>
        </w:tc>
      </w:tr>
      <w:tr>
        <w:tc>
          <w:tcPr/>
          <w:p>
            <w:pPr>
              <w:pStyle w:val="Compact"/>
              <w:jc w:val="left"/>
            </w:pPr>
            <w:r>
              <w:t xml:space="preserve">flood</w:t>
            </w:r>
          </w:p>
        </w:tc>
        <w:tc>
          <w:tcPr/>
          <w:p>
            <w:pPr>
              <w:pStyle w:val="Compact"/>
            </w:pPr>
          </w:p>
        </w:tc>
        <w:tc>
          <w:tcPr/>
          <w:p>
            <w:pPr>
              <w:pStyle w:val="Compact"/>
              <w:jc w:val="left"/>
            </w:pPr>
            <w:r>
              <w:t xml:space="preserve">character</w:t>
            </w:r>
          </w:p>
        </w:tc>
        <w:tc>
          <w:tcPr/>
          <w:p>
            <w:pPr>
              <w:pStyle w:val="Compact"/>
              <w:jc w:val="right"/>
            </w:pPr>
            <w:r>
              <w:t xml:space="preserve">727</w:t>
            </w:r>
          </w:p>
        </w:tc>
        <w:tc>
          <w:tcPr/>
          <w:p>
            <w:pPr>
              <w:pStyle w:val="Compact"/>
              <w:jc w:val="left"/>
            </w:pPr>
            <w:r>
              <w:t xml:space="preserve">wd:Q524797</w:t>
            </w:r>
          </w:p>
        </w:tc>
      </w:tr>
      <w:tr>
        <w:tc>
          <w:tcPr/>
          <w:p>
            <w:pPr>
              <w:pStyle w:val="Compact"/>
              <w:jc w:val="left"/>
            </w:pPr>
            <w:r>
              <w:t xml:space="preserve">article</w:t>
            </w:r>
          </w:p>
        </w:tc>
        <w:tc>
          <w:tcPr/>
          <w:p>
            <w:pPr>
              <w:pStyle w:val="Compact"/>
              <w:jc w:val="left"/>
            </w:pPr>
            <w:r>
              <w:t xml:space="preserve">*</w:t>
            </w:r>
          </w:p>
        </w:tc>
        <w:tc>
          <w:tcPr/>
          <w:p>
            <w:pPr>
              <w:pStyle w:val="Compact"/>
              <w:jc w:val="left"/>
            </w:pPr>
            <w:r>
              <w:t xml:space="preserve">character</w:t>
            </w:r>
          </w:p>
        </w:tc>
        <w:tc>
          <w:tcPr/>
          <w:p>
            <w:pPr>
              <w:pStyle w:val="Compact"/>
              <w:jc w:val="right"/>
            </w:pPr>
            <w:r>
              <w:t xml:space="preserve">2630</w:t>
            </w:r>
          </w:p>
        </w:tc>
        <w:tc>
          <w:tcPr/>
          <w:p>
            <w:pPr>
              <w:pStyle w:val="Compact"/>
              <w:jc w:val="left"/>
            </w:pPr>
            <w:r>
              <w:t xml:space="preserve">https://uk.wikipedia.org/wiki/%D0%9F%D0%BE%D0%B2%D1%96%D0%B4%D1%8C_%D0%A1%D0%B2%D1%8F%D1%82%D0%BE%D1%97_%D0%84%D0%BB%D0%B8%D0%B7%D0%B0%D0%B2%D0%B5%D1%82%D0%B8_(1421)</w:t>
            </w:r>
          </w:p>
        </w:tc>
      </w:tr>
      <w:tr>
        <w:tc>
          <w:tcPr/>
          <w:p>
            <w:pPr>
              <w:pStyle w:val="Compact"/>
              <w:jc w:val="left"/>
            </w:pPr>
            <w:r>
              <w:t xml:space="preserve">lang</w:t>
            </w:r>
          </w:p>
        </w:tc>
        <w:tc>
          <w:tcPr/>
          <w:p>
            <w:pPr>
              <w:pStyle w:val="Compact"/>
            </w:pPr>
          </w:p>
        </w:tc>
        <w:tc>
          <w:tcPr/>
          <w:p>
            <w:pPr>
              <w:pStyle w:val="Compact"/>
              <w:jc w:val="left"/>
            </w:pPr>
            <w:r>
              <w:t xml:space="preserve">character</w:t>
            </w:r>
          </w:p>
        </w:tc>
        <w:tc>
          <w:tcPr/>
          <w:p>
            <w:pPr>
              <w:pStyle w:val="Compact"/>
              <w:jc w:val="right"/>
            </w:pPr>
            <w:r>
              <w:t xml:space="preserve">122</w:t>
            </w:r>
          </w:p>
        </w:tc>
        <w:tc>
          <w:tcPr/>
          <w:p>
            <w:pPr>
              <w:pStyle w:val="Compact"/>
              <w:jc w:val="left"/>
            </w:pPr>
            <w:r>
              <w:t xml:space="preserve">uk</w:t>
            </w:r>
          </w:p>
        </w:tc>
      </w:tr>
      <w:tr>
        <w:tc>
          <w:tcPr/>
          <w:p>
            <w:pPr>
              <w:pStyle w:val="Compact"/>
              <w:jc w:val="left"/>
            </w:pPr>
            <w:r>
              <w:t xml:space="preserve">title</w:t>
            </w:r>
          </w:p>
        </w:tc>
        <w:tc>
          <w:tcPr/>
          <w:p>
            <w:pPr>
              <w:pStyle w:val="Compact"/>
            </w:pPr>
          </w:p>
        </w:tc>
        <w:tc>
          <w:tcPr/>
          <w:p>
            <w:pPr>
              <w:pStyle w:val="Compact"/>
              <w:jc w:val="left"/>
            </w:pPr>
            <w:r>
              <w:t xml:space="preserve">character</w:t>
            </w:r>
          </w:p>
        </w:tc>
        <w:tc>
          <w:tcPr/>
          <w:p>
            <w:pPr>
              <w:pStyle w:val="Compact"/>
              <w:jc w:val="right"/>
            </w:pPr>
            <w:r>
              <w:t xml:space="preserve">2544</w:t>
            </w:r>
          </w:p>
        </w:tc>
        <w:tc>
          <w:tcPr/>
          <w:p>
            <w:pPr>
              <w:pStyle w:val="Compact"/>
              <w:jc w:val="left"/>
            </w:pPr>
            <w:r>
              <w:t xml:space="preserve">Повідь Святої Єлизавети (1421)</w:t>
            </w:r>
          </w:p>
        </w:tc>
      </w:tr>
      <w:tr>
        <w:tc>
          <w:tcPr/>
          <w:p>
            <w:pPr>
              <w:pStyle w:val="Compact"/>
              <w:jc w:val="left"/>
            </w:pPr>
            <w:r>
              <w:t xml:space="preserve">translated_title</w:t>
            </w:r>
          </w:p>
        </w:tc>
        <w:tc>
          <w:tcPr/>
          <w:p>
            <w:pPr>
              <w:pStyle w:val="Compact"/>
            </w:pPr>
          </w:p>
        </w:tc>
        <w:tc>
          <w:tcPr/>
          <w:p>
            <w:pPr>
              <w:pStyle w:val="Compact"/>
              <w:jc w:val="left"/>
            </w:pPr>
            <w:r>
              <w:t xml:space="preserve">character</w:t>
            </w:r>
          </w:p>
        </w:tc>
        <w:tc>
          <w:tcPr/>
          <w:p>
            <w:pPr>
              <w:pStyle w:val="Compact"/>
              <w:jc w:val="right"/>
            </w:pPr>
            <w:r>
              <w:t xml:space="preserve">2067</w:t>
            </w:r>
          </w:p>
        </w:tc>
        <w:tc>
          <w:tcPr/>
          <w:p>
            <w:pPr>
              <w:pStyle w:val="Compact"/>
              <w:jc w:val="left"/>
            </w:pPr>
            <w:r>
              <w:t xml:space="preserve">Leash of Saint Elizabeth (1421)</w:t>
            </w:r>
          </w:p>
        </w:tc>
      </w:tr>
      <w:tr>
        <w:tc>
          <w:tcPr/>
          <w:p>
            <w:pPr>
              <w:pStyle w:val="Compact"/>
              <w:jc w:val="left"/>
            </w:pPr>
            <w:r>
              <w:t xml:space="preserve">text</w:t>
            </w:r>
          </w:p>
        </w:tc>
        <w:tc>
          <w:tcPr/>
          <w:p>
            <w:pPr>
              <w:pStyle w:val="Compact"/>
            </w:pPr>
          </w:p>
        </w:tc>
        <w:tc>
          <w:tcPr/>
          <w:p>
            <w:pPr>
              <w:pStyle w:val="Compact"/>
              <w:jc w:val="left"/>
            </w:pPr>
            <w:r>
              <w:t xml:space="preserve">character</w:t>
            </w:r>
          </w:p>
        </w:tc>
        <w:tc>
          <w:tcPr/>
          <w:p>
            <w:pPr>
              <w:pStyle w:val="Compact"/>
              <w:jc w:val="right"/>
            </w:pPr>
            <w:r>
              <w:t xml:space="preserve">2614</w:t>
            </w:r>
          </w:p>
        </w:tc>
        <w:tc>
          <w:tcPr/>
          <w:p>
            <w:pPr>
              <w:pStyle w:val="Compact"/>
              <w:jc w:val="left"/>
            </w:pPr>
            <w:r>
              <w:t xml:space="preserve">Повідь Святої Єлизавети (нід. Sint-Elisabethsvloed, 18 листопада — 19 листопада 1421 року; також Дру… [truncated]</w:t>
            </w:r>
          </w:p>
        </w:tc>
      </w:tr>
      <w:tr>
        <w:tc>
          <w:tcPr/>
          <w:p>
            <w:pPr>
              <w:pStyle w:val="Compact"/>
              <w:jc w:val="left"/>
            </w:pPr>
            <w:r>
              <w:t xml:space="preserve">textt</w:t>
            </w:r>
          </w:p>
        </w:tc>
        <w:tc>
          <w:tcPr/>
          <w:p>
            <w:pPr>
              <w:pStyle w:val="Compact"/>
            </w:pPr>
          </w:p>
        </w:tc>
        <w:tc>
          <w:tcPr/>
          <w:p>
            <w:pPr>
              <w:pStyle w:val="Compact"/>
              <w:jc w:val="left"/>
            </w:pPr>
            <w:r>
              <w:t xml:space="preserve">character</w:t>
            </w:r>
          </w:p>
        </w:tc>
        <w:tc>
          <w:tcPr/>
          <w:p>
            <w:pPr>
              <w:pStyle w:val="Compact"/>
              <w:jc w:val="right"/>
            </w:pPr>
            <w:r>
              <w:t xml:space="preserve">2447</w:t>
            </w:r>
          </w:p>
        </w:tc>
        <w:tc>
          <w:tcPr/>
          <w:p>
            <w:pPr>
              <w:pStyle w:val="Compact"/>
              <w:jc w:val="left"/>
            </w:pPr>
            <w:r>
              <w:t xml:space="preserve">St. Elizabeth’s Leash (n. Sint-Elisabethsvloed, 18 November – 19 November 1421; also Second St. Eliz… [truncated]</w:t>
            </w:r>
          </w:p>
        </w:tc>
      </w:tr>
      <w:tr>
        <w:tc>
          <w:tcPr/>
          <w:p>
            <w:pPr>
              <w:pStyle w:val="Compact"/>
              <w:jc w:val="left"/>
            </w:pPr>
            <w:r>
              <w:t xml:space="preserve">length</w:t>
            </w:r>
          </w:p>
        </w:tc>
        <w:tc>
          <w:tcPr/>
          <w:p>
            <w:pPr>
              <w:pStyle w:val="Compact"/>
            </w:pPr>
          </w:p>
        </w:tc>
        <w:tc>
          <w:tcPr/>
          <w:p>
            <w:pPr>
              <w:pStyle w:val="Compact"/>
              <w:jc w:val="left"/>
            </w:pPr>
            <w:r>
              <w:t xml:space="preserve">numeric</w:t>
            </w:r>
          </w:p>
        </w:tc>
        <w:tc>
          <w:tcPr/>
          <w:p>
            <w:pPr>
              <w:pStyle w:val="Compact"/>
              <w:jc w:val="right"/>
            </w:pPr>
            <w:r>
              <w:t xml:space="preserve">1999</w:t>
            </w:r>
          </w:p>
        </w:tc>
        <w:tc>
          <w:tcPr/>
          <w:p>
            <w:pPr>
              <w:pStyle w:val="Compact"/>
              <w:jc w:val="left"/>
            </w:pPr>
            <w:r>
              <w:t xml:space="preserve">1483</w:t>
            </w:r>
          </w:p>
        </w:tc>
      </w:tr>
      <w:tr>
        <w:tc>
          <w:tcPr/>
          <w:p>
            <w:pPr>
              <w:pStyle w:val="Compact"/>
              <w:jc w:val="left"/>
            </w:pPr>
            <w:r>
              <w:t xml:space="preserve">local</w:t>
            </w:r>
          </w:p>
        </w:tc>
        <w:tc>
          <w:tcPr/>
          <w:p>
            <w:pPr>
              <w:pStyle w:val="Compact"/>
            </w:pPr>
          </w:p>
        </w:tc>
        <w:tc>
          <w:tcPr/>
          <w:p>
            <w:pPr>
              <w:pStyle w:val="Compact"/>
              <w:jc w:val="left"/>
            </w:pPr>
            <w:r>
              <w:t xml:space="preserve">logical</w:t>
            </w:r>
          </w:p>
        </w:tc>
        <w:tc>
          <w:tcPr/>
          <w:p>
            <w:pPr>
              <w:pStyle w:val="Compact"/>
              <w:jc w:val="right"/>
            </w:pPr>
            <w:r>
              <w:t xml:space="preserve">2</w:t>
            </w:r>
          </w:p>
        </w:tc>
        <w:tc>
          <w:tcPr/>
          <w:p>
            <w:pPr>
              <w:pStyle w:val="Compact"/>
              <w:jc w:val="left"/>
            </w:pPr>
            <w:r>
              <w:t xml:space="preserve">FALSE</w:t>
            </w:r>
          </w:p>
        </w:tc>
      </w:tr>
    </w:tbl>
    <w:bookmarkEnd w:id="39"/>
    <w:bookmarkStart w:id="40" w:name="wp_revisions"/>
    <w:p>
      <w:pPr>
        <w:pStyle w:val="Heading3"/>
      </w:pPr>
      <w:r>
        <w:t xml:space="preserve">wp_revisions</w:t>
      </w:r>
    </w:p>
    <w:tbl>
      <w:tblPr>
        <w:tblStyle w:val="Table"/>
        <w:tblW w:type="pct" w:w="5000"/>
        <w:tblLook w:firstRow="1" w:lastRow="0" w:firstColumn="0" w:lastColumn="0" w:noHBand="0" w:noVBand="0" w:val="0020"/>
        <w:jc w:val="start"/>
      </w:tblPr>
      <w:tblGrid>
        <w:gridCol w:w="851"/>
        <w:gridCol w:w="340"/>
        <w:gridCol w:w="851"/>
        <w:gridCol w:w="936"/>
        <w:gridCol w:w="4939"/>
      </w:tblGrid>
      <w:tr>
        <w:trPr>
          <w:tblHeader w:val="true"/>
        </w:trPr>
        <w:tc>
          <w:tcPr/>
          <w:p>
            <w:pPr>
              <w:pStyle w:val="Compact"/>
              <w:jc w:val="left"/>
            </w:pPr>
            <w:r>
              <w:t xml:space="preserve">var</w:t>
            </w:r>
          </w:p>
        </w:tc>
        <w:tc>
          <w:tcPr/>
          <w:p>
            <w:pPr>
              <w:pStyle w:val="Compact"/>
              <w:jc w:val="left"/>
            </w:pPr>
            <w:r>
              <w:t xml:space="preserve">key</w:t>
            </w:r>
          </w:p>
        </w:tc>
        <w:tc>
          <w:tcPr/>
          <w:p>
            <w:pPr>
              <w:pStyle w:val="Compact"/>
              <w:jc w:val="left"/>
            </w:pPr>
            <w:r>
              <w:t xml:space="preserve">class</w:t>
            </w:r>
          </w:p>
        </w:tc>
        <w:tc>
          <w:tcPr/>
          <w:p>
            <w:pPr>
              <w:pStyle w:val="Compact"/>
              <w:jc w:val="right"/>
            </w:pPr>
            <w:r>
              <w:t xml:space="preserve">n_distinct</w:t>
            </w:r>
          </w:p>
        </w:tc>
        <w:tc>
          <w:tcPr/>
          <w:p>
            <w:pPr>
              <w:pStyle w:val="Compact"/>
              <w:jc w:val="left"/>
            </w:pPr>
            <w:r>
              <w:t xml:space="preserve">example</w:t>
            </w:r>
          </w:p>
        </w:tc>
      </w:tr>
      <w:tr>
        <w:tc>
          <w:tcPr/>
          <w:p>
            <w:pPr>
              <w:pStyle w:val="Compact"/>
              <w:jc w:val="left"/>
            </w:pPr>
            <w:r>
              <w:t xml:space="preserve">article</w:t>
            </w:r>
          </w:p>
        </w:tc>
        <w:tc>
          <w:tcPr/>
          <w:p>
            <w:pPr>
              <w:pStyle w:val="Compact"/>
              <w:jc w:val="left"/>
            </w:pPr>
            <w:r>
              <w:t xml:space="preserve">*</w:t>
            </w:r>
          </w:p>
        </w:tc>
        <w:tc>
          <w:tcPr/>
          <w:p>
            <w:pPr>
              <w:pStyle w:val="Compact"/>
              <w:jc w:val="left"/>
            </w:pPr>
            <w:r>
              <w:t xml:space="preserve">character</w:t>
            </w:r>
          </w:p>
        </w:tc>
        <w:tc>
          <w:tcPr/>
          <w:p>
            <w:pPr>
              <w:pStyle w:val="Compact"/>
              <w:jc w:val="right"/>
            </w:pPr>
            <w:r>
              <w:t xml:space="preserve">2790</w:t>
            </w:r>
          </w:p>
        </w:tc>
        <w:tc>
          <w:tcPr/>
          <w:p>
            <w:pPr>
              <w:pStyle w:val="Compact"/>
              <w:jc w:val="left"/>
            </w:pPr>
            <w:r>
              <w:t xml:space="preserve">https://eu.wikipedia.org/wiki/2010eko_Pakistango_uholdeak</w:t>
            </w:r>
          </w:p>
        </w:tc>
      </w:tr>
      <w:tr>
        <w:tc>
          <w:tcPr/>
          <w:p>
            <w:pPr>
              <w:pStyle w:val="Compact"/>
              <w:jc w:val="left"/>
            </w:pPr>
            <w:r>
              <w:t xml:space="preserve">id</w:t>
            </w:r>
          </w:p>
        </w:tc>
        <w:tc>
          <w:tcPr/>
          <w:p>
            <w:pPr>
              <w:pStyle w:val="Compact"/>
            </w:pPr>
          </w:p>
        </w:tc>
        <w:tc>
          <w:tcPr/>
          <w:p>
            <w:pPr>
              <w:pStyle w:val="Compact"/>
              <w:jc w:val="left"/>
            </w:pPr>
            <w:r>
              <w:t xml:space="preserve">integer</w:t>
            </w:r>
          </w:p>
        </w:tc>
        <w:tc>
          <w:tcPr/>
          <w:p>
            <w:pPr>
              <w:pStyle w:val="Compact"/>
              <w:jc w:val="right"/>
            </w:pPr>
            <w:r>
              <w:t xml:space="preserve">195484</w:t>
            </w:r>
          </w:p>
        </w:tc>
        <w:tc>
          <w:tcPr/>
          <w:p>
            <w:pPr>
              <w:pStyle w:val="Compact"/>
              <w:jc w:val="left"/>
            </w:pPr>
            <w:r>
              <w:t xml:space="preserve">1688053</w:t>
            </w:r>
          </w:p>
        </w:tc>
      </w:tr>
      <w:tr>
        <w:tc>
          <w:tcPr/>
          <w:p>
            <w:pPr>
              <w:pStyle w:val="Compact"/>
              <w:jc w:val="left"/>
            </w:pPr>
            <w:r>
              <w:t xml:space="preserve">timestamp</w:t>
            </w:r>
          </w:p>
        </w:tc>
        <w:tc>
          <w:tcPr/>
          <w:p>
            <w:pPr>
              <w:pStyle w:val="Compact"/>
            </w:pPr>
          </w:p>
        </w:tc>
        <w:tc>
          <w:tcPr/>
          <w:p>
            <w:pPr>
              <w:pStyle w:val="Compact"/>
              <w:jc w:val="left"/>
            </w:pPr>
            <w:r>
              <w:t xml:space="preserve">character</w:t>
            </w:r>
          </w:p>
        </w:tc>
        <w:tc>
          <w:tcPr/>
          <w:p>
            <w:pPr>
              <w:pStyle w:val="Compact"/>
              <w:jc w:val="right"/>
            </w:pPr>
            <w:r>
              <w:t xml:space="preserve">192838</w:t>
            </w:r>
          </w:p>
        </w:tc>
        <w:tc>
          <w:tcPr/>
          <w:p>
            <w:pPr>
              <w:pStyle w:val="Compact"/>
              <w:jc w:val="left"/>
            </w:pPr>
            <w:r>
              <w:t xml:space="preserve">2010-09-03T06:02:23Z</w:t>
            </w:r>
          </w:p>
        </w:tc>
      </w:tr>
      <w:tr>
        <w:tc>
          <w:tcPr/>
          <w:p>
            <w:pPr>
              <w:pStyle w:val="Compact"/>
              <w:jc w:val="left"/>
            </w:pPr>
            <w:r>
              <w:t xml:space="preserve">minor</w:t>
            </w:r>
          </w:p>
        </w:tc>
        <w:tc>
          <w:tcPr/>
          <w:p>
            <w:pPr>
              <w:pStyle w:val="Compact"/>
            </w:pPr>
          </w:p>
        </w:tc>
        <w:tc>
          <w:tcPr/>
          <w:p>
            <w:pPr>
              <w:pStyle w:val="Compact"/>
              <w:jc w:val="left"/>
            </w:pPr>
            <w:r>
              <w:t xml:space="preserve">logical</w:t>
            </w:r>
          </w:p>
        </w:tc>
        <w:tc>
          <w:tcPr/>
          <w:p>
            <w:pPr>
              <w:pStyle w:val="Compact"/>
              <w:jc w:val="right"/>
            </w:pPr>
            <w:r>
              <w:t xml:space="preserve">3</w:t>
            </w:r>
          </w:p>
        </w:tc>
        <w:tc>
          <w:tcPr/>
          <w:p>
            <w:pPr>
              <w:pStyle w:val="Compact"/>
              <w:jc w:val="left"/>
            </w:pPr>
            <w:r>
              <w:t xml:space="preserve">TRUE</w:t>
            </w:r>
          </w:p>
        </w:tc>
      </w:tr>
      <w:tr>
        <w:tc>
          <w:tcPr/>
          <w:p>
            <w:pPr>
              <w:pStyle w:val="Compact"/>
              <w:jc w:val="left"/>
            </w:pPr>
            <w:r>
              <w:t xml:space="preserve">size</w:t>
            </w:r>
          </w:p>
        </w:tc>
        <w:tc>
          <w:tcPr/>
          <w:p>
            <w:pPr>
              <w:pStyle w:val="Compact"/>
            </w:pPr>
          </w:p>
        </w:tc>
        <w:tc>
          <w:tcPr/>
          <w:p>
            <w:pPr>
              <w:pStyle w:val="Compact"/>
              <w:jc w:val="left"/>
            </w:pPr>
            <w:r>
              <w:t xml:space="preserve">integer</w:t>
            </w:r>
          </w:p>
        </w:tc>
        <w:tc>
          <w:tcPr/>
          <w:p>
            <w:pPr>
              <w:pStyle w:val="Compact"/>
              <w:jc w:val="right"/>
            </w:pPr>
            <w:r>
              <w:t xml:space="preserve">61689</w:t>
            </w:r>
          </w:p>
        </w:tc>
        <w:tc>
          <w:tcPr/>
          <w:p>
            <w:pPr>
              <w:pStyle w:val="Compact"/>
              <w:jc w:val="left"/>
            </w:pPr>
            <w:r>
              <w:t xml:space="preserve">3619</w:t>
            </w:r>
          </w:p>
        </w:tc>
      </w:tr>
      <w:tr>
        <w:tc>
          <w:tcPr/>
          <w:p>
            <w:pPr>
              <w:pStyle w:val="Compact"/>
              <w:jc w:val="left"/>
            </w:pPr>
            <w:r>
              <w:t xml:space="preserve">comment</w:t>
            </w:r>
          </w:p>
        </w:tc>
        <w:tc>
          <w:tcPr/>
          <w:p>
            <w:pPr>
              <w:pStyle w:val="Compact"/>
            </w:pPr>
          </w:p>
        </w:tc>
        <w:tc>
          <w:tcPr/>
          <w:p>
            <w:pPr>
              <w:pStyle w:val="Compact"/>
              <w:jc w:val="left"/>
            </w:pPr>
            <w:r>
              <w:t xml:space="preserve">character</w:t>
            </w:r>
          </w:p>
        </w:tc>
        <w:tc>
          <w:tcPr/>
          <w:p>
            <w:pPr>
              <w:pStyle w:val="Compact"/>
              <w:jc w:val="right"/>
            </w:pPr>
            <w:r>
              <w:t xml:space="preserve">94509</w:t>
            </w:r>
          </w:p>
        </w:tc>
        <w:tc>
          <w:tcPr/>
          <w:p>
            <w:pPr>
              <w:pStyle w:val="Compact"/>
              <w:jc w:val="left"/>
            </w:pPr>
            <w:r>
              <w:t xml:space="preserve">robota Erantsia: [[fa:سیل پاکستان (۲۰۱۰)]]</w:t>
            </w:r>
          </w:p>
        </w:tc>
      </w:tr>
      <w:tr>
        <w:tc>
          <w:tcPr/>
          <w:p>
            <w:pPr>
              <w:pStyle w:val="Compact"/>
              <w:jc w:val="left"/>
            </w:pPr>
            <w:r>
              <w:t xml:space="preserve">delta</w:t>
            </w:r>
          </w:p>
        </w:tc>
        <w:tc>
          <w:tcPr/>
          <w:p>
            <w:pPr>
              <w:pStyle w:val="Compact"/>
            </w:pPr>
          </w:p>
        </w:tc>
        <w:tc>
          <w:tcPr/>
          <w:p>
            <w:pPr>
              <w:pStyle w:val="Compact"/>
              <w:jc w:val="left"/>
            </w:pPr>
            <w:r>
              <w:t xml:space="preserve">integer</w:t>
            </w:r>
          </w:p>
        </w:tc>
        <w:tc>
          <w:tcPr/>
          <w:p>
            <w:pPr>
              <w:pStyle w:val="Compact"/>
              <w:jc w:val="right"/>
            </w:pPr>
            <w:r>
              <w:t xml:space="preserve">7182</w:t>
            </w:r>
          </w:p>
        </w:tc>
        <w:tc>
          <w:tcPr/>
          <w:p>
            <w:pPr>
              <w:pStyle w:val="Compact"/>
              <w:jc w:val="left"/>
            </w:pPr>
            <w:r>
              <w:t xml:space="preserve">40</w:t>
            </w:r>
          </w:p>
        </w:tc>
      </w:tr>
      <w:tr>
        <w:tc>
          <w:tcPr/>
          <w:p>
            <w:pPr>
              <w:pStyle w:val="Compact"/>
              <w:jc w:val="left"/>
            </w:pPr>
            <w:r>
              <w:t xml:space="preserve">user_id</w:t>
            </w:r>
          </w:p>
        </w:tc>
        <w:tc>
          <w:tcPr/>
          <w:p>
            <w:pPr>
              <w:pStyle w:val="Compact"/>
            </w:pPr>
          </w:p>
        </w:tc>
        <w:tc>
          <w:tcPr/>
          <w:p>
            <w:pPr>
              <w:pStyle w:val="Compact"/>
              <w:jc w:val="left"/>
            </w:pPr>
            <w:r>
              <w:t xml:space="preserve">integer</w:t>
            </w:r>
          </w:p>
        </w:tc>
        <w:tc>
          <w:tcPr/>
          <w:p>
            <w:pPr>
              <w:pStyle w:val="Compact"/>
              <w:jc w:val="right"/>
            </w:pPr>
            <w:r>
              <w:t xml:space="preserve">25752</w:t>
            </w:r>
          </w:p>
        </w:tc>
        <w:tc>
          <w:tcPr/>
          <w:p>
            <w:pPr>
              <w:pStyle w:val="Compact"/>
              <w:jc w:val="left"/>
            </w:pPr>
            <w:r>
              <w:t xml:space="preserve">15795</w:t>
            </w:r>
          </w:p>
        </w:tc>
      </w:tr>
      <w:tr>
        <w:tc>
          <w:tcPr/>
          <w:p>
            <w:pPr>
              <w:pStyle w:val="Compact"/>
              <w:jc w:val="left"/>
            </w:pPr>
            <w:r>
              <w:t xml:space="preserve">user_name</w:t>
            </w:r>
          </w:p>
        </w:tc>
        <w:tc>
          <w:tcPr/>
          <w:p>
            <w:pPr>
              <w:pStyle w:val="Compact"/>
            </w:pPr>
          </w:p>
        </w:tc>
        <w:tc>
          <w:tcPr/>
          <w:p>
            <w:pPr>
              <w:pStyle w:val="Compact"/>
              <w:jc w:val="left"/>
            </w:pPr>
            <w:r>
              <w:t xml:space="preserve">character</w:t>
            </w:r>
          </w:p>
        </w:tc>
        <w:tc>
          <w:tcPr/>
          <w:p>
            <w:pPr>
              <w:pStyle w:val="Compact"/>
              <w:jc w:val="right"/>
            </w:pPr>
            <w:r>
              <w:t xml:space="preserve">44109</w:t>
            </w:r>
          </w:p>
        </w:tc>
        <w:tc>
          <w:tcPr/>
          <w:p>
            <w:pPr>
              <w:pStyle w:val="Compact"/>
              <w:jc w:val="left"/>
            </w:pPr>
            <w:r>
              <w:t xml:space="preserve">EmausBot</w:t>
            </w:r>
          </w:p>
        </w:tc>
      </w:tr>
    </w:tbl>
    <w:bookmarkEnd w:id="40"/>
    <w:bookmarkStart w:id="41" w:name="wp_segments"/>
    <w:p>
      <w:pPr>
        <w:pStyle w:val="Heading3"/>
      </w:pPr>
      <w:r>
        <w:t xml:space="preserve">wp_segments</w:t>
      </w:r>
    </w:p>
    <w:tbl>
      <w:tblPr>
        <w:tblStyle w:val="Table"/>
        <w:tblW w:type="pct" w:w="5000"/>
        <w:tblLook w:firstRow="1" w:lastRow="0" w:firstColumn="0" w:lastColumn="0" w:noHBand="0" w:noVBand="0" w:val="0020"/>
        <w:jc w:val="start"/>
      </w:tblPr>
      <w:tblGrid>
        <w:gridCol w:w="405"/>
        <w:gridCol w:w="147"/>
        <w:gridCol w:w="368"/>
        <w:gridCol w:w="405"/>
        <w:gridCol w:w="6593"/>
      </w:tblGrid>
      <w:tr>
        <w:trPr>
          <w:tblHeader w:val="true"/>
        </w:trPr>
        <w:tc>
          <w:tcPr/>
          <w:p>
            <w:pPr>
              <w:pStyle w:val="Compact"/>
              <w:jc w:val="left"/>
            </w:pPr>
            <w:r>
              <w:t xml:space="preserve">var</w:t>
            </w:r>
          </w:p>
        </w:tc>
        <w:tc>
          <w:tcPr/>
          <w:p>
            <w:pPr>
              <w:pStyle w:val="Compact"/>
              <w:jc w:val="left"/>
            </w:pPr>
            <w:r>
              <w:t xml:space="preserve">key</w:t>
            </w:r>
          </w:p>
        </w:tc>
        <w:tc>
          <w:tcPr/>
          <w:p>
            <w:pPr>
              <w:pStyle w:val="Compact"/>
              <w:jc w:val="left"/>
            </w:pPr>
            <w:r>
              <w:t xml:space="preserve">class</w:t>
            </w:r>
          </w:p>
        </w:tc>
        <w:tc>
          <w:tcPr/>
          <w:p>
            <w:pPr>
              <w:pStyle w:val="Compact"/>
              <w:jc w:val="right"/>
            </w:pPr>
            <w:r>
              <w:t xml:space="preserve">n_distinct</w:t>
            </w:r>
          </w:p>
        </w:tc>
        <w:tc>
          <w:tcPr/>
          <w:p>
            <w:pPr>
              <w:pStyle w:val="Compact"/>
              <w:jc w:val="left"/>
            </w:pPr>
            <w:r>
              <w:t xml:space="preserve">example</w:t>
            </w:r>
          </w:p>
        </w:tc>
      </w:tr>
      <w:tr>
        <w:tc>
          <w:tcPr/>
          <w:p>
            <w:pPr>
              <w:pStyle w:val="Compact"/>
              <w:jc w:val="left"/>
            </w:pPr>
            <w:r>
              <w:t xml:space="preserve">article</w:t>
            </w:r>
          </w:p>
        </w:tc>
        <w:tc>
          <w:tcPr/>
          <w:p>
            <w:pPr>
              <w:pStyle w:val="Compact"/>
              <w:jc w:val="left"/>
            </w:pPr>
            <w:r>
              <w:t xml:space="preserve">*</w:t>
            </w:r>
          </w:p>
        </w:tc>
        <w:tc>
          <w:tcPr/>
          <w:p>
            <w:pPr>
              <w:pStyle w:val="Compact"/>
              <w:jc w:val="left"/>
            </w:pPr>
            <w:r>
              <w:t xml:space="preserve">character</w:t>
            </w:r>
          </w:p>
        </w:tc>
        <w:tc>
          <w:tcPr/>
          <w:p>
            <w:pPr>
              <w:pStyle w:val="Compact"/>
              <w:jc w:val="right"/>
            </w:pPr>
            <w:r>
              <w:t xml:space="preserve">2630</w:t>
            </w:r>
          </w:p>
        </w:tc>
        <w:tc>
          <w:tcPr/>
          <w:p>
            <w:pPr>
              <w:pStyle w:val="Compact"/>
              <w:jc w:val="left"/>
            </w:pPr>
            <w:r>
              <w:t xml:space="preserve">https://de.wikipedia.org/wiki/Februarflut_1825</w:t>
            </w:r>
          </w:p>
        </w:tc>
      </w:tr>
      <w:tr>
        <w:tc>
          <w:tcPr/>
          <w:p>
            <w:pPr>
              <w:pStyle w:val="Compact"/>
              <w:jc w:val="left"/>
            </w:pPr>
            <w:r>
              <w:t xml:space="preserve">text_all</w:t>
            </w:r>
          </w:p>
        </w:tc>
        <w:tc>
          <w:tcPr/>
          <w:p>
            <w:pPr>
              <w:pStyle w:val="Compact"/>
            </w:pPr>
          </w:p>
        </w:tc>
        <w:tc>
          <w:tcPr/>
          <w:p>
            <w:pPr>
              <w:pStyle w:val="Compact"/>
              <w:jc w:val="left"/>
            </w:pPr>
            <w:r>
              <w:t xml:space="preserve">character</w:t>
            </w:r>
          </w:p>
        </w:tc>
        <w:tc>
          <w:tcPr/>
          <w:p>
            <w:pPr>
              <w:pStyle w:val="Compact"/>
              <w:jc w:val="right"/>
            </w:pPr>
            <w:r>
              <w:t xml:space="preserve">64198</w:t>
            </w:r>
          </w:p>
        </w:tc>
        <w:tc>
          <w:tcPr/>
          <w:p>
            <w:pPr>
              <w:pStyle w:val="Compact"/>
              <w:jc w:val="left"/>
            </w:pPr>
            <w:r>
              <w:t xml:space="preserve">dike on the ostland which was not yet connected to the western part of the island broke so that the entire agricultural area there was flooded on juist there were also large dune</w:t>
            </w:r>
          </w:p>
        </w:tc>
      </w:tr>
      <w:tr>
        <w:tc>
          <w:tcPr/>
          <w:p>
            <w:pPr>
              <w:pStyle w:val="Compact"/>
              <w:jc w:val="left"/>
            </w:pPr>
            <w:r>
              <w:t xml:space="preserve">text_sig</w:t>
            </w:r>
          </w:p>
        </w:tc>
        <w:tc>
          <w:tcPr/>
          <w:p>
            <w:pPr>
              <w:pStyle w:val="Compact"/>
            </w:pPr>
          </w:p>
        </w:tc>
        <w:tc>
          <w:tcPr/>
          <w:p>
            <w:pPr>
              <w:pStyle w:val="Compact"/>
              <w:jc w:val="left"/>
            </w:pPr>
            <w:r>
              <w:t xml:space="preserve">character</w:t>
            </w:r>
          </w:p>
        </w:tc>
        <w:tc>
          <w:tcPr/>
          <w:p>
            <w:pPr>
              <w:pStyle w:val="Compact"/>
              <w:jc w:val="right"/>
            </w:pPr>
            <w:r>
              <w:t xml:space="preserve">64147</w:t>
            </w:r>
          </w:p>
        </w:tc>
        <w:tc>
          <w:tcPr/>
          <w:p>
            <w:pPr>
              <w:pStyle w:val="Compact"/>
              <w:jc w:val="left"/>
            </w:pPr>
            <w:r>
              <w:t xml:space="preserve">dike connect western part island break entire area large dune</w:t>
            </w:r>
          </w:p>
        </w:tc>
      </w:tr>
      <w:tr>
        <w:tc>
          <w:tcPr/>
          <w:p>
            <w:pPr>
              <w:pStyle w:val="Compact"/>
              <w:jc w:val="left"/>
            </w:pPr>
            <w:r>
              <w:t xml:space="preserve">class</w:t>
            </w:r>
          </w:p>
        </w:tc>
        <w:tc>
          <w:tcPr/>
          <w:p>
            <w:pPr>
              <w:pStyle w:val="Compact"/>
            </w:pPr>
          </w:p>
        </w:tc>
        <w:tc>
          <w:tcPr/>
          <w:p>
            <w:pPr>
              <w:pStyle w:val="Compact"/>
              <w:jc w:val="left"/>
            </w:pPr>
            <w:r>
              <w:t xml:space="preserve">factor</w:t>
            </w:r>
          </w:p>
        </w:tc>
        <w:tc>
          <w:tcPr/>
          <w:p>
            <w:pPr>
              <w:pStyle w:val="Compact"/>
              <w:jc w:val="right"/>
            </w:pPr>
            <w:r>
              <w:t xml:space="preserve">7</w:t>
            </w:r>
          </w:p>
        </w:tc>
        <w:tc>
          <w:tcPr/>
          <w:p>
            <w:pPr>
              <w:pStyle w:val="Compact"/>
              <w:jc w:val="left"/>
            </w:pPr>
            <w:r>
              <w:t xml:space="preserve">class_4</w:t>
            </w:r>
          </w:p>
        </w:tc>
      </w:tr>
      <w:tr>
        <w:tc>
          <w:tcPr/>
          <w:p>
            <w:pPr>
              <w:pStyle w:val="Compact"/>
              <w:jc w:val="left"/>
            </w:pPr>
            <w:r>
              <w:t xml:space="preserve">class_name</w:t>
            </w:r>
          </w:p>
        </w:tc>
        <w:tc>
          <w:tcPr/>
          <w:p>
            <w:pPr>
              <w:pStyle w:val="Compact"/>
            </w:pPr>
          </w:p>
        </w:tc>
        <w:tc>
          <w:tcPr/>
          <w:p>
            <w:pPr>
              <w:pStyle w:val="Compact"/>
              <w:jc w:val="left"/>
            </w:pPr>
            <w:r>
              <w:t xml:space="preserve">factor</w:t>
            </w:r>
          </w:p>
        </w:tc>
        <w:tc>
          <w:tcPr/>
          <w:p>
            <w:pPr>
              <w:pStyle w:val="Compact"/>
              <w:jc w:val="right"/>
            </w:pPr>
            <w:r>
              <w:t xml:space="preserve">7</w:t>
            </w:r>
          </w:p>
        </w:tc>
        <w:tc>
          <w:tcPr/>
          <w:p>
            <w:pPr>
              <w:pStyle w:val="Compact"/>
              <w:jc w:val="left"/>
            </w:pPr>
            <w:r>
              <w:t xml:space="preserve">hydrology</w:t>
            </w:r>
          </w:p>
        </w:tc>
      </w:tr>
      <w:tr>
        <w:tc>
          <w:tcPr/>
          <w:p>
            <w:pPr>
              <w:pStyle w:val="Compact"/>
              <w:jc w:val="left"/>
            </w:pPr>
            <w:r>
              <w:t xml:space="preserve">color</w:t>
            </w:r>
          </w:p>
        </w:tc>
        <w:tc>
          <w:tcPr/>
          <w:p>
            <w:pPr>
              <w:pStyle w:val="Compact"/>
            </w:pPr>
          </w:p>
        </w:tc>
        <w:tc>
          <w:tcPr/>
          <w:p>
            <w:pPr>
              <w:pStyle w:val="Compact"/>
              <w:jc w:val="left"/>
            </w:pPr>
            <w:r>
              <w:t xml:space="preserve">character</w:t>
            </w:r>
          </w:p>
        </w:tc>
        <w:tc>
          <w:tcPr/>
          <w:p>
            <w:pPr>
              <w:pStyle w:val="Compact"/>
              <w:jc w:val="right"/>
            </w:pPr>
            <w:r>
              <w:t xml:space="preserve">7</w:t>
            </w:r>
          </w:p>
        </w:tc>
        <w:tc>
          <w:tcPr/>
          <w:p>
            <w:pPr>
              <w:pStyle w:val="Compact"/>
              <w:jc w:val="left"/>
            </w:pPr>
            <w:r>
              <w:t xml:space="preserve">#76B7B2</w:t>
            </w:r>
          </w:p>
        </w:tc>
      </w:tr>
    </w:tbl>
    <w:bookmarkEnd w:id="41"/>
    <w:bookmarkStart w:id="42" w:name="countries"/>
    <w:p>
      <w:pPr>
        <w:pStyle w:val="Heading3"/>
      </w:pPr>
      <w:r>
        <w:t xml:space="preserve">countries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var</w:t>
            </w:r>
          </w:p>
        </w:tc>
        <w:tc>
          <w:tcPr/>
          <w:p>
            <w:pPr>
              <w:pStyle w:val="Compact"/>
              <w:jc w:val="left"/>
            </w:pPr>
            <w:r>
              <w:t xml:space="preserve">key</w:t>
            </w:r>
          </w:p>
        </w:tc>
        <w:tc>
          <w:tcPr/>
          <w:p>
            <w:pPr>
              <w:pStyle w:val="Compact"/>
              <w:jc w:val="left"/>
            </w:pPr>
            <w:r>
              <w:t xml:space="preserve">class</w:t>
            </w:r>
          </w:p>
        </w:tc>
        <w:tc>
          <w:tcPr/>
          <w:p>
            <w:pPr>
              <w:pStyle w:val="Compact"/>
              <w:jc w:val="right"/>
            </w:pPr>
            <w:r>
              <w:t xml:space="preserve">n_distinct</w:t>
            </w:r>
          </w:p>
        </w:tc>
        <w:tc>
          <w:tcPr/>
          <w:p>
            <w:pPr>
              <w:pStyle w:val="Compact"/>
              <w:jc w:val="left"/>
            </w:pPr>
            <w:r>
              <w:t xml:space="preserve">example</w:t>
            </w:r>
          </w:p>
        </w:tc>
      </w:tr>
      <w:tr>
        <w:tc>
          <w:tcPr/>
          <w:p>
            <w:pPr>
              <w:pStyle w:val="Compact"/>
              <w:jc w:val="left"/>
            </w:pPr>
            <w:r>
              <w:t xml:space="preserve">country</w:t>
            </w:r>
          </w:p>
        </w:tc>
        <w:tc>
          <w:tcPr/>
          <w:p>
            <w:pPr>
              <w:pStyle w:val="Compact"/>
              <w:jc w:val="left"/>
            </w:pPr>
            <w:r>
              <w:t xml:space="preserve">*</w:t>
            </w:r>
          </w:p>
        </w:tc>
        <w:tc>
          <w:tcPr/>
          <w:p>
            <w:pPr>
              <w:pStyle w:val="Compact"/>
              <w:jc w:val="left"/>
            </w:pPr>
            <w:r>
              <w:t xml:space="preserve">character</w:t>
            </w:r>
          </w:p>
        </w:tc>
        <w:tc>
          <w:tcPr/>
          <w:p>
            <w:pPr>
              <w:pStyle w:val="Compact"/>
              <w:jc w:val="right"/>
            </w:pPr>
            <w:r>
              <w:t xml:space="preserve">110</w:t>
            </w:r>
          </w:p>
        </w:tc>
        <w:tc>
          <w:tcPr/>
          <w:p>
            <w:pPr>
              <w:pStyle w:val="Compact"/>
              <w:jc w:val="left"/>
            </w:pPr>
            <w:r>
              <w:t xml:space="preserve">wd:Q29</w:t>
            </w:r>
          </w:p>
        </w:tc>
      </w:tr>
      <w:tr>
        <w:tc>
          <w:tcPr/>
          <w:p>
            <w:pPr>
              <w:pStyle w:val="Compact"/>
              <w:jc w:val="left"/>
            </w:pPr>
            <w:r>
              <w:t xml:space="preserve">country_label</w:t>
            </w:r>
          </w:p>
        </w:tc>
        <w:tc>
          <w:tcPr/>
          <w:p>
            <w:pPr>
              <w:pStyle w:val="Compact"/>
              <w:jc w:val="left"/>
            </w:pPr>
            <w:r>
              <w:t xml:space="preserve">*</w:t>
            </w:r>
          </w:p>
        </w:tc>
        <w:tc>
          <w:tcPr/>
          <w:p>
            <w:pPr>
              <w:pStyle w:val="Compact"/>
              <w:jc w:val="left"/>
            </w:pPr>
            <w:r>
              <w:t xml:space="preserve">character</w:t>
            </w:r>
          </w:p>
        </w:tc>
        <w:tc>
          <w:tcPr/>
          <w:p>
            <w:pPr>
              <w:pStyle w:val="Compact"/>
              <w:jc w:val="right"/>
            </w:pPr>
            <w:r>
              <w:t xml:space="preserve">110</w:t>
            </w:r>
          </w:p>
        </w:tc>
        <w:tc>
          <w:tcPr/>
          <w:p>
            <w:pPr>
              <w:pStyle w:val="Compact"/>
              <w:jc w:val="left"/>
            </w:pPr>
            <w:r>
              <w:t xml:space="preserve">Spain</w:t>
            </w:r>
          </w:p>
        </w:tc>
      </w:tr>
      <w:tr>
        <w:tc>
          <w:tcPr/>
          <w:p>
            <w:pPr>
              <w:pStyle w:val="Compact"/>
              <w:jc w:val="left"/>
            </w:pPr>
            <w:r>
              <w:t xml:space="preserve">coords_country</w:t>
            </w:r>
          </w:p>
        </w:tc>
        <w:tc>
          <w:tcPr/>
          <w:p>
            <w:pPr>
              <w:pStyle w:val="Compact"/>
            </w:pPr>
          </w:p>
        </w:tc>
        <w:tc>
          <w:tcPr/>
          <w:p>
            <w:pPr>
              <w:pStyle w:val="Compact"/>
              <w:jc w:val="left"/>
            </w:pPr>
            <w:r>
              <w:t xml:space="preserve">character</w:t>
            </w:r>
          </w:p>
        </w:tc>
        <w:tc>
          <w:tcPr/>
          <w:p>
            <w:pPr>
              <w:pStyle w:val="Compact"/>
              <w:jc w:val="right"/>
            </w:pPr>
            <w:r>
              <w:t xml:space="preserve">110</w:t>
            </w:r>
          </w:p>
        </w:tc>
        <w:tc>
          <w:tcPr/>
          <w:p>
            <w:pPr>
              <w:pStyle w:val="Compact"/>
              <w:jc w:val="left"/>
            </w:pPr>
            <w:r>
              <w:t xml:space="preserve">Point(-3.5 40.2)</w:t>
            </w:r>
          </w:p>
        </w:tc>
      </w:tr>
      <w:tr>
        <w:tc>
          <w:tcPr/>
          <w:p>
            <w:pPr>
              <w:pStyle w:val="Compact"/>
              <w:jc w:val="left"/>
            </w:pPr>
            <w:r>
              <w:t xml:space="preserve">HDI</w:t>
            </w:r>
          </w:p>
        </w:tc>
        <w:tc>
          <w:tcPr/>
          <w:p>
            <w:pPr>
              <w:pStyle w:val="Compact"/>
            </w:pPr>
          </w:p>
        </w:tc>
        <w:tc>
          <w:tcPr/>
          <w:p>
            <w:pPr>
              <w:pStyle w:val="Compact"/>
              <w:jc w:val="left"/>
            </w:pPr>
            <w:r>
              <w:t xml:space="preserve">numeric</w:t>
            </w:r>
          </w:p>
        </w:tc>
        <w:tc>
          <w:tcPr/>
          <w:p>
            <w:pPr>
              <w:pStyle w:val="Compact"/>
              <w:jc w:val="right"/>
            </w:pPr>
            <w:r>
              <w:t xml:space="preserve">101</w:t>
            </w:r>
          </w:p>
        </w:tc>
        <w:tc>
          <w:tcPr/>
          <w:p>
            <w:pPr>
              <w:pStyle w:val="Compact"/>
              <w:jc w:val="left"/>
            </w:pPr>
            <w:r>
              <w:t xml:space="preserve">0.905</w:t>
            </w:r>
          </w:p>
        </w:tc>
      </w:tr>
      <w:tr>
        <w:tc>
          <w:tcPr/>
          <w:p>
            <w:pPr>
              <w:pStyle w:val="Compact"/>
              <w:jc w:val="left"/>
            </w:pPr>
            <w:r>
              <w:t xml:space="preserve">lang_type</w:t>
            </w:r>
          </w:p>
        </w:tc>
        <w:tc>
          <w:tcPr/>
          <w:p>
            <w:pPr>
              <w:pStyle w:val="Compact"/>
            </w:pPr>
          </w:p>
        </w:tc>
        <w:tc>
          <w:tcPr/>
          <w:p>
            <w:pPr>
              <w:pStyle w:val="Compact"/>
              <w:jc w:val="left"/>
            </w:pPr>
            <w:r>
              <w:t xml:space="preserve">character</w:t>
            </w:r>
          </w:p>
        </w:tc>
        <w:tc>
          <w:tcPr/>
          <w:p>
            <w:pPr>
              <w:pStyle w:val="Compact"/>
              <w:jc w:val="right"/>
            </w:pPr>
            <w:r>
              <w:t xml:space="preserve">2</w:t>
            </w:r>
          </w:p>
        </w:tc>
        <w:tc>
          <w:tcPr/>
          <w:p>
            <w:pPr>
              <w:pStyle w:val="Compact"/>
              <w:jc w:val="left"/>
            </w:pPr>
            <w:r>
              <w:t xml:space="preserve">used</w:t>
            </w:r>
          </w:p>
        </w:tc>
      </w:tr>
      <w:tr>
        <w:tc>
          <w:tcPr/>
          <w:p>
            <w:pPr>
              <w:pStyle w:val="Compact"/>
              <w:jc w:val="left"/>
            </w:pPr>
            <w:r>
              <w:t xml:space="preserve">language</w:t>
            </w:r>
          </w:p>
        </w:tc>
        <w:tc>
          <w:tcPr/>
          <w:p>
            <w:pPr>
              <w:pStyle w:val="Compact"/>
            </w:pPr>
          </w:p>
        </w:tc>
        <w:tc>
          <w:tcPr/>
          <w:p>
            <w:pPr>
              <w:pStyle w:val="Compact"/>
              <w:jc w:val="left"/>
            </w:pPr>
            <w:r>
              <w:t xml:space="preserve">character</w:t>
            </w:r>
          </w:p>
        </w:tc>
        <w:tc>
          <w:tcPr/>
          <w:p>
            <w:pPr>
              <w:pStyle w:val="Compact"/>
              <w:jc w:val="right"/>
            </w:pPr>
            <w:r>
              <w:t xml:space="preserve">442</w:t>
            </w:r>
          </w:p>
        </w:tc>
        <w:tc>
          <w:tcPr/>
          <w:p>
            <w:pPr>
              <w:pStyle w:val="Compact"/>
              <w:jc w:val="left"/>
            </w:pPr>
            <w:r>
              <w:t xml:space="preserve">Basque</w:t>
            </w:r>
          </w:p>
        </w:tc>
      </w:tr>
      <w:tr>
        <w:tc>
          <w:tcPr/>
          <w:p>
            <w:pPr>
              <w:pStyle w:val="Compact"/>
              <w:jc w:val="left"/>
            </w:pPr>
            <w:r>
              <w:t xml:space="preserve">language_code</w:t>
            </w:r>
          </w:p>
        </w:tc>
        <w:tc>
          <w:tcPr/>
          <w:p>
            <w:pPr>
              <w:pStyle w:val="Compact"/>
            </w:pPr>
          </w:p>
        </w:tc>
        <w:tc>
          <w:tcPr/>
          <w:p>
            <w:pPr>
              <w:pStyle w:val="Compact"/>
              <w:jc w:val="left"/>
            </w:pPr>
            <w:r>
              <w:t xml:space="preserve">character</w:t>
            </w:r>
          </w:p>
        </w:tc>
        <w:tc>
          <w:tcPr/>
          <w:p>
            <w:pPr>
              <w:pStyle w:val="Compact"/>
              <w:jc w:val="right"/>
            </w:pPr>
            <w:r>
              <w:t xml:space="preserve">441</w:t>
            </w:r>
          </w:p>
        </w:tc>
        <w:tc>
          <w:tcPr/>
          <w:p>
            <w:pPr>
              <w:pStyle w:val="Compact"/>
              <w:jc w:val="left"/>
            </w:pPr>
            <w:r>
              <w:t xml:space="preserve">eu</w:t>
            </w:r>
          </w:p>
        </w:tc>
      </w:tr>
    </w:tbl>
    <w:bookmarkEnd w:id="42"/>
    <w:bookmarkEnd w:id="43"/>
    <w:bookmarkStart w:id="44" w:name="wikidata-on-floods"/>
    <w:p>
      <w:pPr>
        <w:pStyle w:val="Heading2"/>
      </w:pPr>
      <w:r>
        <w:t xml:space="preserve">Wikidata on floods</w:t>
      </w:r>
    </w:p>
    <w:p>
      <w:pPr>
        <w:pStyle w:val="FirstParagraph"/>
      </w:pPr>
      <w:r>
        <w:t xml:space="preserve">The initial query provided</w:t>
      </w:r>
      <w:r>
        <w:t xml:space="preserve"> </w:t>
      </w:r>
      <w:r>
        <w:rPr>
          <w:bCs/>
          <w:b/>
        </w:rPr>
        <w:t xml:space="preserve">1018 Wikidata flood events</w:t>
      </w:r>
      <w:r>
        <w:t xml:space="preserve">. In terms of spatial precision, most coordinates are inferred from either variable country or variable location (the major part of provided locations being countries too). The date of most events is documented either directly or through the label of the event. Most events’ dates are provided with day precision but an important proportion (about one third) is provided with only annual precision.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coords_from</w:t>
            </w:r>
          </w:p>
        </w:tc>
        <w:tc>
          <w:tcPr/>
          <w:p>
            <w:pPr>
              <w:pStyle w:val="Compact"/>
              <w:jc w:val="left"/>
            </w:pPr>
            <w:r>
              <w:t xml:space="preserve">is_country</w:t>
            </w:r>
          </w:p>
        </w:tc>
        <w:tc>
          <w:tcPr/>
          <w:p>
            <w:pPr>
              <w:pStyle w:val="Compact"/>
              <w:jc w:val="right"/>
            </w:pPr>
            <w:r>
              <w:t xml:space="preserve">n</w:t>
            </w:r>
          </w:p>
        </w:tc>
      </w:tr>
      <w:tr>
        <w:tc>
          <w:tcPr/>
          <w:p>
            <w:pPr>
              <w:pStyle w:val="Compact"/>
              <w:jc w:val="left"/>
            </w:pPr>
            <w:r>
              <w:t xml:space="preserve">1) direct</w:t>
            </w:r>
          </w:p>
        </w:tc>
        <w:tc>
          <w:tcPr/>
          <w:p>
            <w:pPr>
              <w:pStyle w:val="Compact"/>
            </w:pPr>
          </w:p>
        </w:tc>
        <w:tc>
          <w:tcPr/>
          <w:p>
            <w:pPr>
              <w:pStyle w:val="Compact"/>
              <w:jc w:val="right"/>
            </w:pPr>
            <w:r>
              <w:t xml:space="preserve">11</w:t>
            </w:r>
          </w:p>
        </w:tc>
      </w:tr>
      <w:tr>
        <w:tc>
          <w:tcPr/>
          <w:p>
            <w:pPr>
              <w:pStyle w:val="Compact"/>
              <w:jc w:val="left"/>
            </w:pPr>
            <w:r>
              <w:t xml:space="preserve">2) location</w:t>
            </w:r>
          </w:p>
        </w:tc>
        <w:tc>
          <w:tcPr/>
          <w:p>
            <w:pPr>
              <w:pStyle w:val="Compact"/>
              <w:jc w:val="left"/>
            </w:pPr>
            <w:r>
              <w:t xml:space="preserve">no</w:t>
            </w:r>
          </w:p>
        </w:tc>
        <w:tc>
          <w:tcPr/>
          <w:p>
            <w:pPr>
              <w:pStyle w:val="Compact"/>
              <w:jc w:val="right"/>
            </w:pPr>
            <w:r>
              <w:t xml:space="preserve">189</w:t>
            </w:r>
          </w:p>
        </w:tc>
      </w:tr>
      <w:tr>
        <w:tc>
          <w:tcPr/>
          <w:p>
            <w:pPr>
              <w:pStyle w:val="Compact"/>
              <w:jc w:val="left"/>
            </w:pPr>
            <w:r>
              <w:t xml:space="preserve">2) location</w:t>
            </w:r>
          </w:p>
        </w:tc>
        <w:tc>
          <w:tcPr/>
          <w:p>
            <w:pPr>
              <w:pStyle w:val="Compact"/>
              <w:jc w:val="left"/>
            </w:pPr>
            <w:r>
              <w:t xml:space="preserve">yes</w:t>
            </w:r>
          </w:p>
        </w:tc>
        <w:tc>
          <w:tcPr/>
          <w:p>
            <w:pPr>
              <w:pStyle w:val="Compact"/>
              <w:jc w:val="right"/>
            </w:pPr>
            <w:r>
              <w:t xml:space="preserve">495</w:t>
            </w:r>
          </w:p>
        </w:tc>
      </w:tr>
      <w:tr>
        <w:tc>
          <w:tcPr/>
          <w:p>
            <w:pPr>
              <w:pStyle w:val="Compact"/>
              <w:jc w:val="left"/>
            </w:pPr>
            <w:r>
              <w:t xml:space="preserve">3) country</w:t>
            </w:r>
          </w:p>
        </w:tc>
        <w:tc>
          <w:tcPr/>
          <w:p>
            <w:pPr>
              <w:pStyle w:val="Compact"/>
            </w:pPr>
          </w:p>
        </w:tc>
        <w:tc>
          <w:tcPr/>
          <w:p>
            <w:pPr>
              <w:pStyle w:val="Compact"/>
              <w:jc w:val="right"/>
            </w:pPr>
            <w:r>
              <w:t xml:space="preserve">17</w:t>
            </w:r>
          </w:p>
        </w:tc>
      </w:tr>
      <w:tr>
        <w:tc>
          <w:tcPr/>
          <w:p>
            <w:pPr>
              <w:pStyle w:val="Compact"/>
              <w:jc w:val="left"/>
            </w:pPr>
            <w:r>
              <w:t xml:space="preserve">4) no coordinates</w:t>
            </w:r>
          </w:p>
        </w:tc>
        <w:tc>
          <w:tcPr/>
          <w:p>
            <w:pPr>
              <w:pStyle w:val="Compact"/>
            </w:pPr>
          </w:p>
        </w:tc>
        <w:tc>
          <w:tcPr/>
          <w:p>
            <w:pPr>
              <w:pStyle w:val="Compact"/>
              <w:jc w:val="right"/>
            </w:pPr>
            <w:r>
              <w:t xml:space="preserve">86</w:t>
            </w:r>
          </w:p>
        </w:tc>
      </w:tr>
    </w:tbl>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date_from</w:t>
            </w:r>
          </w:p>
        </w:tc>
        <w:tc>
          <w:tcPr/>
          <w:p>
            <w:pPr>
              <w:pStyle w:val="Compact"/>
              <w:jc w:val="left"/>
            </w:pPr>
            <w:r>
              <w:t xml:space="preserve">date_precision</w:t>
            </w:r>
          </w:p>
        </w:tc>
        <w:tc>
          <w:tcPr/>
          <w:p>
            <w:pPr>
              <w:pStyle w:val="Compact"/>
              <w:jc w:val="right"/>
            </w:pPr>
            <w:r>
              <w:t xml:space="preserve">n</w:t>
            </w:r>
          </w:p>
        </w:tc>
      </w:tr>
      <w:tr>
        <w:tc>
          <w:tcPr/>
          <w:p>
            <w:pPr>
              <w:pStyle w:val="Compact"/>
              <w:jc w:val="left"/>
            </w:pPr>
            <w:r>
              <w:t xml:space="preserve">av_start_end</w:t>
            </w:r>
          </w:p>
        </w:tc>
        <w:tc>
          <w:tcPr/>
          <w:p>
            <w:pPr>
              <w:pStyle w:val="Compact"/>
              <w:jc w:val="left"/>
            </w:pPr>
            <w:r>
              <w:t xml:space="preserve">day</w:t>
            </w:r>
          </w:p>
        </w:tc>
        <w:tc>
          <w:tcPr/>
          <w:p>
            <w:pPr>
              <w:pStyle w:val="Compact"/>
              <w:jc w:val="right"/>
            </w:pPr>
            <w:r>
              <w:t xml:space="preserve">145</w:t>
            </w:r>
          </w:p>
        </w:tc>
      </w:tr>
      <w:tr>
        <w:tc>
          <w:tcPr/>
          <w:p>
            <w:pPr>
              <w:pStyle w:val="Compact"/>
              <w:jc w:val="left"/>
            </w:pPr>
            <w:r>
              <w:t xml:space="preserve">direct</w:t>
            </w:r>
          </w:p>
        </w:tc>
        <w:tc>
          <w:tcPr/>
          <w:p>
            <w:pPr>
              <w:pStyle w:val="Compact"/>
              <w:jc w:val="left"/>
            </w:pPr>
            <w:r>
              <w:t xml:space="preserve">day</w:t>
            </w:r>
          </w:p>
        </w:tc>
        <w:tc>
          <w:tcPr/>
          <w:p>
            <w:pPr>
              <w:pStyle w:val="Compact"/>
              <w:jc w:val="right"/>
            </w:pPr>
            <w:r>
              <w:t xml:space="preserve">224</w:t>
            </w:r>
          </w:p>
        </w:tc>
      </w:tr>
      <w:tr>
        <w:tc>
          <w:tcPr/>
          <w:p>
            <w:pPr>
              <w:pStyle w:val="Compact"/>
              <w:jc w:val="left"/>
            </w:pPr>
            <w:r>
              <w:t xml:space="preserve">direct</w:t>
            </w:r>
          </w:p>
        </w:tc>
        <w:tc>
          <w:tcPr/>
          <w:p>
            <w:pPr>
              <w:pStyle w:val="Compact"/>
              <w:jc w:val="left"/>
            </w:pPr>
            <w:r>
              <w:t xml:space="preserve">month</w:t>
            </w:r>
          </w:p>
        </w:tc>
        <w:tc>
          <w:tcPr/>
          <w:p>
            <w:pPr>
              <w:pStyle w:val="Compact"/>
              <w:jc w:val="right"/>
            </w:pPr>
            <w:r>
              <w:t xml:space="preserve">122</w:t>
            </w:r>
          </w:p>
        </w:tc>
      </w:tr>
      <w:tr>
        <w:tc>
          <w:tcPr/>
          <w:p>
            <w:pPr>
              <w:pStyle w:val="Compact"/>
              <w:jc w:val="left"/>
            </w:pPr>
            <w:r>
              <w:t xml:space="preserve">direct</w:t>
            </w:r>
          </w:p>
        </w:tc>
        <w:tc>
          <w:tcPr/>
          <w:p>
            <w:pPr>
              <w:pStyle w:val="Compact"/>
              <w:jc w:val="left"/>
            </w:pPr>
            <w:r>
              <w:t xml:space="preserve">year</w:t>
            </w:r>
          </w:p>
        </w:tc>
        <w:tc>
          <w:tcPr/>
          <w:p>
            <w:pPr>
              <w:pStyle w:val="Compact"/>
              <w:jc w:val="right"/>
            </w:pPr>
            <w:r>
              <w:t xml:space="preserve">107</w:t>
            </w:r>
          </w:p>
        </w:tc>
      </w:tr>
      <w:tr>
        <w:tc>
          <w:tcPr/>
          <w:p>
            <w:pPr>
              <w:pStyle w:val="Compact"/>
              <w:jc w:val="left"/>
            </w:pPr>
            <w:r>
              <w:t xml:space="preserve">flood_label</w:t>
            </w:r>
          </w:p>
        </w:tc>
        <w:tc>
          <w:tcPr/>
          <w:p>
            <w:pPr>
              <w:pStyle w:val="Compact"/>
              <w:jc w:val="left"/>
            </w:pPr>
            <w:r>
              <w:t xml:space="preserve">year</w:t>
            </w:r>
          </w:p>
        </w:tc>
        <w:tc>
          <w:tcPr/>
          <w:p>
            <w:pPr>
              <w:pStyle w:val="Compact"/>
              <w:jc w:val="right"/>
            </w:pPr>
            <w:r>
              <w:t xml:space="preserve">138</w:t>
            </w:r>
          </w:p>
        </w:tc>
      </w:tr>
      <w:tr>
        <w:tc>
          <w:tcPr/>
          <w:p>
            <w:pPr>
              <w:pStyle w:val="Compact"/>
              <w:jc w:val="left"/>
            </w:pPr>
            <w:r>
              <w:t xml:space="preserve">start</w:t>
            </w:r>
          </w:p>
        </w:tc>
        <w:tc>
          <w:tcPr/>
          <w:p>
            <w:pPr>
              <w:pStyle w:val="Compact"/>
              <w:jc w:val="left"/>
            </w:pPr>
            <w:r>
              <w:t xml:space="preserve">day</w:t>
            </w:r>
          </w:p>
        </w:tc>
        <w:tc>
          <w:tcPr/>
          <w:p>
            <w:pPr>
              <w:pStyle w:val="Compact"/>
              <w:jc w:val="right"/>
            </w:pPr>
            <w:r>
              <w:t xml:space="preserve">45</w:t>
            </w:r>
          </w:p>
        </w:tc>
      </w:tr>
      <w:tr>
        <w:tc>
          <w:tcPr/>
          <w:p>
            <w:pPr>
              <w:pStyle w:val="Compact"/>
              <w:jc w:val="left"/>
            </w:pPr>
            <w:r>
              <w:t xml:space="preserve">NA</w:t>
            </w:r>
          </w:p>
        </w:tc>
        <w:tc>
          <w:tcPr/>
          <w:p>
            <w:pPr>
              <w:pStyle w:val="Compact"/>
              <w:jc w:val="left"/>
            </w:pPr>
            <w:r>
              <w:t xml:space="preserve">NA</w:t>
            </w:r>
          </w:p>
        </w:tc>
        <w:tc>
          <w:tcPr/>
          <w:p>
            <w:pPr>
              <w:pStyle w:val="Compact"/>
              <w:jc w:val="right"/>
            </w:pPr>
            <w:r>
              <w:t xml:space="preserve">31</w:t>
            </w:r>
          </w:p>
        </w:tc>
      </w:tr>
    </w:tbl>
    <w:bookmarkEnd w:id="44"/>
    <w:bookmarkStart w:id="53" w:name="compare-to-dfo-data"/>
    <w:p>
      <w:pPr>
        <w:pStyle w:val="Heading2"/>
      </w:pPr>
      <w:r>
        <w:t xml:space="preserve">Compare to DFO data</w:t>
      </w:r>
    </w:p>
    <w:p>
      <w:pPr>
        <w:pStyle w:val="FirstParagraph"/>
      </w:pPr>
      <w:r>
        <w:t xml:space="preserve">We compare the number of events in both datasets (WD and DFO) according to Human Development Index of the country where the event took place.</w:t>
      </w:r>
    </w:p>
    <w:tbl>
      <w:tblPr>
        <w:tblStyle w:val="Table"/>
        <w:tblW w:type="pct" w:w="5000"/>
        <w:tblLook w:firstRow="0" w:lastRow="0" w:firstColumn="0" w:lastColumn="0" w:noHBand="0" w:noVBand="0" w:val="0000"/>
        <w:jc w:val="start"/>
      </w:tblPr>
      <w:tblGrid>
        <w:gridCol w:w="7920"/>
      </w:tblGrid>
      <w:tr>
        <w:tc>
          <w:tcPr/>
          <w:bookmarkStart w:id="48" w:name="fig-freq_events_in_datasets"/>
          <w:p>
            <w:pPr>
              <w:jc w:val="center"/>
            </w:pPr>
            <w:r>
              <w:drawing>
                <wp:inline>
                  <wp:extent cx="5334000" cy="2667000"/>
                  <wp:effectExtent b="0" l="0" r="0" t="0"/>
                  <wp:docPr descr="" title="" id="46" name="Picture"/>
                  <a:graphic>
                    <a:graphicData uri="http://schemas.openxmlformats.org/drawingml/2006/picture">
                      <pic:pic>
                        <pic:nvPicPr>
                          <pic:cNvPr descr="index_files/figure-docx/fig-freq_events_in_datasets-1.png" id="47"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Number of flood events documented in Wikidata (wd), DFO (dfo) or both datasets according to our matching algorithm. The number of events is displayed according to the Human Development Index (HDI) class of the country where the event took place (countries are pooled in the first, second, third or fourth quartile).</w:t>
            </w:r>
          </w:p>
          <w:bookmarkEnd w:id="48"/>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52" w:name="fig-HDI_deathtoll_data"/>
          <w:p>
            <w:pPr>
              <w:jc w:val="center"/>
            </w:pPr>
            <w:r>
              <w:drawing>
                <wp:inline>
                  <wp:extent cx="4620126" cy="3696101"/>
                  <wp:effectExtent b="0" l="0" r="0" t="0"/>
                  <wp:docPr descr="" title="" id="50" name="Picture"/>
                  <a:graphic>
                    <a:graphicData uri="http://schemas.openxmlformats.org/drawingml/2006/picture">
                      <pic:pic>
                        <pic:nvPicPr>
                          <pic:cNvPr descr="index_files/figure-docx/fig-HDI_deathtoll_data-1.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Deathtoll per event according to HDI class and occurrence in one or both datasets. The estimate considered for deathtoll comes either from the DFO dataset, or by default from the Wikidata dataset (some events are not associated to any deathtoll estimate, in which case they are excluded from this figure). Some events happened in places where the country name changed through time making it difficult to link them to a HDI value: these are the ones represented by a NA (not available) HDI class.</w:t>
            </w:r>
          </w:p>
          <w:bookmarkEnd w:id="52"/>
        </w:tc>
      </w:tr>
    </w:tbl>
    <w:p>
      <w:pPr>
        <w:pStyle w:val="BodyText"/>
      </w:pPr>
      <w:hyperlink w:anchor="fig-HDI_deathtoll_data">
        <w:r>
          <w:rPr>
            <w:rStyle w:val="Hyperlink"/>
          </w:rPr>
          <w:t xml:space="preserve">Figure 2</w:t>
        </w:r>
      </w:hyperlink>
      <w:r>
        <w:t xml:space="preserve"> </w:t>
      </w:r>
      <w:r>
        <w:t xml:space="preserve">shows that events in Wikidata are generally associated with higher deathtoll compared to those documented in DFO only or DFO and WD both. For DFO-documented events, the lower the HDI class, the higher the deathtoll, while for WD-documented events, the few events which occurred in lowest HDI countries also correspond to (very) high deathtolls indeed, but so do the ones which have occurred in the richest countries.</w:t>
      </w:r>
      <w:r>
        <w:t xml:space="preserve"> </w:t>
      </w:r>
      <w:r>
        <w:rPr>
          <w:iCs/>
          <w:i/>
        </w:rPr>
        <w:t xml:space="preserve">(and I don’t quite know how to explain that… maybe a tendency to overestimation or to consider</w:t>
      </w:r>
      <w:r>
        <w:rPr>
          <w:iCs/>
          <w:i/>
        </w:rPr>
        <w:t xml:space="preserve"> </w:t>
      </w:r>
      <w:r>
        <w:rPr>
          <w:iCs/>
          <w:i/>
        </w:rPr>
        <w:t xml:space="preserve">“</w:t>
      </w:r>
      <w:r>
        <w:rPr>
          <w:iCs/>
          <w:i/>
        </w:rPr>
        <w:t xml:space="preserve">far-reaching</w:t>
      </w:r>
      <w:r>
        <w:rPr>
          <w:iCs/>
          <w:i/>
        </w:rPr>
        <w:t xml:space="preserve">”</w:t>
      </w:r>
      <w:r>
        <w:rPr>
          <w:iCs/>
          <w:i/>
        </w:rPr>
        <w:t xml:space="preserve"> </w:t>
      </w:r>
      <w:r>
        <w:rPr>
          <w:iCs/>
          <w:i/>
        </w:rPr>
        <w:t xml:space="preserve">consequences?)</w:t>
      </w:r>
    </w:p>
    <w:bookmarkEnd w:id="53"/>
    <w:bookmarkStart w:id="54" w:name="wikipedia-on-floods"/>
    <w:p>
      <w:pPr>
        <w:pStyle w:val="Heading2"/>
      </w:pPr>
      <w:r>
        <w:t xml:space="preserve">Wikipedia on floods</w:t>
      </w:r>
    </w:p>
    <w:p>
      <w:pPr>
        <w:pStyle w:val="FirstParagraph"/>
      </w:pPr>
      <w:r>
        <w:t xml:space="preserve">There are</w:t>
      </w:r>
      <w:r>
        <w:t xml:space="preserve"> </w:t>
      </w:r>
      <w:r>
        <w:rPr>
          <w:bCs/>
          <w:b/>
        </w:rPr>
        <w:t xml:space="preserve">2630 Wikipedia pages</w:t>
      </w:r>
      <w:r>
        <w:t xml:space="preserve"> </w:t>
      </w:r>
      <w:r>
        <w:t xml:space="preserve">associated to these events (i.e. on average 2.58 Wikipedia pages per event). 727 flood events are associated to at least one Wikipedia page.</w:t>
      </w:r>
    </w:p>
    <w:p>
      <w:pPr>
        <w:pStyle w:val="BodyText"/>
      </w:pPr>
      <w:r>
        <w:t xml:space="preserve">455 Wikipedia pages are in English. Out of the 2175 remaining pages, we could translate most pages to English, except 175 pages which were in languages that Google Translate did not support. We based all subsequent textometric analyses on the texts in English, either natively so or translated.</w:t>
      </w:r>
    </w:p>
    <w:p>
      <w:pPr>
        <w:pStyle w:val="BodyText"/>
      </w:pPr>
      <w:r>
        <w:t xml:space="preserve">The average length of articles (in English or translated to English) is 4348 characters. The 10% shortest articles represent less than 448 characters and the 10% longest ones are more than 9362 characters long.</w:t>
      </w:r>
    </w:p>
    <w:p>
      <w:pPr>
        <w:pStyle w:val="BodyText"/>
      </w:pPr>
      <w:r>
        <w:t xml:space="preserve">There are</w:t>
      </w:r>
      <w:r>
        <w:t xml:space="preserve"> </w:t>
      </w:r>
      <w:r>
        <w:rPr>
          <w:bCs/>
          <w:b/>
        </w:rPr>
        <w:t xml:space="preserve">216245 revisions</w:t>
      </w:r>
      <w:r>
        <w:t xml:space="preserve"> </w:t>
      </w:r>
      <w:r>
        <w:t xml:space="preserve">that produced the Wikipedia pages as they appear to this date, which represents an average 82 revisions per page. 175107 (80.98%) of these revisions appear to have been done by human editors and not bots (Wikipedia usernames do not contain the strings</w:t>
      </w:r>
      <w:r>
        <w:t xml:space="preserve"> </w:t>
      </w:r>
      <w:r>
        <w:t xml:space="preserve">“</w:t>
      </w:r>
      <w:r>
        <w:t xml:space="preserve">bot</w:t>
      </w:r>
      <w:r>
        <w:t xml:space="preserve">”</w:t>
      </w:r>
      <w:r>
        <w:t xml:space="preserve"> </w:t>
      </w:r>
      <w:r>
        <w:t xml:space="preserve">or</w:t>
      </w:r>
      <w:r>
        <w:t xml:space="preserve"> </w:t>
      </w:r>
      <w:r>
        <w:t xml:space="preserve">“</w:t>
      </w:r>
      <w:r>
        <w:t xml:space="preserve">Bot</w:t>
      </w:r>
      <w:r>
        <w:t xml:space="preserve">”</w:t>
      </w:r>
      <w:r>
        <w:t xml:space="preserve">). There are</w:t>
      </w:r>
      <w:r>
        <w:t xml:space="preserve"> </w:t>
      </w:r>
      <w:r>
        <w:rPr>
          <w:bCs/>
          <w:b/>
        </w:rPr>
        <w:t xml:space="preserve">44109 distinct editors</w:t>
      </w:r>
      <w:r>
        <w:t xml:space="preserve">, 40101 (90.91%) of which appear to be humans. On average, each human editor in our corpus is responsible for 4.37 edits. The number of articles (in the corpus) edited by each human editor is distributed as follows: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number_of_articles_edited</w:t>
            </w:r>
          </w:p>
        </w:tc>
        <w:tc>
          <w:tcPr/>
          <w:p>
            <w:pPr>
              <w:pStyle w:val="Compact"/>
              <w:jc w:val="right"/>
            </w:pPr>
            <w:r>
              <w:t xml:space="preserve">number_of_editors</w:t>
            </w:r>
          </w:p>
        </w:tc>
        <w:tc>
          <w:tcPr/>
          <w:p>
            <w:pPr>
              <w:pStyle w:val="Compact"/>
              <w:jc w:val="right"/>
            </w:pPr>
            <w:r>
              <w:t xml:space="preserve">proportion_of_editors</w:t>
            </w:r>
          </w:p>
        </w:tc>
      </w:tr>
      <w:tr>
        <w:tc>
          <w:tcPr/>
          <w:p>
            <w:pPr>
              <w:pStyle w:val="Compact"/>
              <w:jc w:val="left"/>
            </w:pPr>
            <w:r>
              <w:t xml:space="preserve">(0,1]</w:t>
            </w:r>
          </w:p>
        </w:tc>
        <w:tc>
          <w:tcPr/>
          <w:p>
            <w:pPr>
              <w:pStyle w:val="Compact"/>
              <w:jc w:val="right"/>
            </w:pPr>
            <w:r>
              <w:t xml:space="preserve">27372</w:t>
            </w:r>
          </w:p>
        </w:tc>
        <w:tc>
          <w:tcPr/>
          <w:p>
            <w:pPr>
              <w:pStyle w:val="Compact"/>
              <w:jc w:val="right"/>
            </w:pPr>
            <w:r>
              <w:t xml:space="preserve">68.26</w:t>
            </w:r>
          </w:p>
        </w:tc>
      </w:tr>
      <w:tr>
        <w:tc>
          <w:tcPr/>
          <w:p>
            <w:pPr>
              <w:pStyle w:val="Compact"/>
              <w:jc w:val="left"/>
            </w:pPr>
            <w:r>
              <w:t xml:space="preserve">(1,2]</w:t>
            </w:r>
          </w:p>
        </w:tc>
        <w:tc>
          <w:tcPr/>
          <w:p>
            <w:pPr>
              <w:pStyle w:val="Compact"/>
              <w:jc w:val="right"/>
            </w:pPr>
            <w:r>
              <w:t xml:space="preserve">8396</w:t>
            </w:r>
          </w:p>
        </w:tc>
        <w:tc>
          <w:tcPr/>
          <w:p>
            <w:pPr>
              <w:pStyle w:val="Compact"/>
              <w:jc w:val="right"/>
            </w:pPr>
            <w:r>
              <w:t xml:space="preserve">20.94</w:t>
            </w:r>
          </w:p>
        </w:tc>
      </w:tr>
      <w:tr>
        <w:tc>
          <w:tcPr/>
          <w:p>
            <w:pPr>
              <w:pStyle w:val="Compact"/>
              <w:jc w:val="left"/>
            </w:pPr>
            <w:r>
              <w:t xml:space="preserve">(2,5]</w:t>
            </w:r>
          </w:p>
        </w:tc>
        <w:tc>
          <w:tcPr/>
          <w:p>
            <w:pPr>
              <w:pStyle w:val="Compact"/>
              <w:jc w:val="right"/>
            </w:pPr>
            <w:r>
              <w:t xml:space="preserve">2976</w:t>
            </w:r>
          </w:p>
        </w:tc>
        <w:tc>
          <w:tcPr/>
          <w:p>
            <w:pPr>
              <w:pStyle w:val="Compact"/>
              <w:jc w:val="right"/>
            </w:pPr>
            <w:r>
              <w:t xml:space="preserve">7.42</w:t>
            </w:r>
          </w:p>
        </w:tc>
      </w:tr>
      <w:tr>
        <w:tc>
          <w:tcPr/>
          <w:p>
            <w:pPr>
              <w:pStyle w:val="Compact"/>
              <w:jc w:val="left"/>
            </w:pPr>
            <w:r>
              <w:t xml:space="preserve">(5,10]</w:t>
            </w:r>
          </w:p>
        </w:tc>
        <w:tc>
          <w:tcPr/>
          <w:p>
            <w:pPr>
              <w:pStyle w:val="Compact"/>
              <w:jc w:val="right"/>
            </w:pPr>
            <w:r>
              <w:t xml:space="preserve">862</w:t>
            </w:r>
          </w:p>
        </w:tc>
        <w:tc>
          <w:tcPr/>
          <w:p>
            <w:pPr>
              <w:pStyle w:val="Compact"/>
              <w:jc w:val="right"/>
            </w:pPr>
            <w:r>
              <w:t xml:space="preserve">2.15</w:t>
            </w:r>
          </w:p>
        </w:tc>
      </w:tr>
      <w:tr>
        <w:tc>
          <w:tcPr/>
          <w:p>
            <w:pPr>
              <w:pStyle w:val="Compact"/>
              <w:jc w:val="left"/>
            </w:pPr>
            <w:r>
              <w:t xml:space="preserve">(10,100]</w:t>
            </w:r>
          </w:p>
        </w:tc>
        <w:tc>
          <w:tcPr/>
          <w:p>
            <w:pPr>
              <w:pStyle w:val="Compact"/>
              <w:jc w:val="right"/>
            </w:pPr>
            <w:r>
              <w:t xml:space="preserve">487</w:t>
            </w:r>
          </w:p>
        </w:tc>
        <w:tc>
          <w:tcPr/>
          <w:p>
            <w:pPr>
              <w:pStyle w:val="Compact"/>
              <w:jc w:val="right"/>
            </w:pPr>
            <w:r>
              <w:t xml:space="preserve">1.21</w:t>
            </w:r>
          </w:p>
        </w:tc>
      </w:tr>
      <w:tr>
        <w:tc>
          <w:tcPr/>
          <w:p>
            <w:pPr>
              <w:pStyle w:val="Compact"/>
              <w:jc w:val="left"/>
            </w:pPr>
            <w:r>
              <w:t xml:space="preserve">(100,400]</w:t>
            </w:r>
          </w:p>
        </w:tc>
        <w:tc>
          <w:tcPr/>
          <w:p>
            <w:pPr>
              <w:pStyle w:val="Compact"/>
              <w:jc w:val="right"/>
            </w:pPr>
            <w:r>
              <w:t xml:space="preserve">8</w:t>
            </w:r>
          </w:p>
        </w:tc>
        <w:tc>
          <w:tcPr/>
          <w:p>
            <w:pPr>
              <w:pStyle w:val="Compact"/>
              <w:jc w:val="right"/>
            </w:pPr>
            <w:r>
              <w:t xml:space="preserve">0.02</w:t>
            </w:r>
          </w:p>
        </w:tc>
      </w:tr>
    </w:tbl>
    <w:bookmarkEnd w:id="54"/>
    <w:bookmarkStart w:id="79" w:name="wikipedia-history-topics-and-curation"/>
    <w:p>
      <w:pPr>
        <w:pStyle w:val="Heading2"/>
      </w:pPr>
      <w:r>
        <w:t xml:space="preserve">Wikipedia history, topics and curation</w:t>
      </w:r>
    </w:p>
    <w:tbl>
      <w:tblPr>
        <w:tblStyle w:val="Table"/>
        <w:tblW w:type="pct" w:w="5000"/>
        <w:tblLook w:firstRow="0" w:lastRow="0" w:firstColumn="0" w:lastColumn="0" w:noHBand="0" w:noVBand="0" w:val="0000"/>
        <w:jc w:val="start"/>
      </w:tblPr>
      <w:tblGrid>
        <w:gridCol w:w="7920"/>
      </w:tblGrid>
      <w:tr>
        <w:tc>
          <w:tcPr/>
          <w:bookmarkStart w:id="58" w:name="fig-delay_revisions"/>
          <w:p>
            <w:pPr>
              <w:jc w:val="center"/>
            </w:pPr>
            <w:r>
              <w:drawing>
                <wp:inline>
                  <wp:extent cx="5334000" cy="4267200"/>
                  <wp:effectExtent b="0" l="0" r="0" t="0"/>
                  <wp:docPr descr="" title="" id="56" name="Picture"/>
                  <a:graphic>
                    <a:graphicData uri="http://schemas.openxmlformats.org/drawingml/2006/picture">
                      <pic:pic>
                        <pic:nvPicPr>
                          <pic:cNvPr descr="index_files/figure-docx/fig-delay_revisions-1.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Time delay (in years) between events and revisions to the Wikipedia articles documenting them. The delay might be negative (the edits about an event began before the recorded, average date for the event, hinting to an event with long duration or event with a low-precision recorded date). The color indicates the precision of the recorded event date (it can be accurate to the day, month or year).</w:t>
            </w:r>
          </w:p>
          <w:bookmarkEnd w:id="58"/>
        </w:tc>
      </w:tr>
    </w:tbl>
    <w:p>
      <w:pPr>
        <w:pStyle w:val="BodyText"/>
      </w:pPr>
      <w:hyperlink w:anchor="fig-delay_revisions">
        <w:r>
          <w:rPr>
            <w:rStyle w:val="Hyperlink"/>
          </w:rPr>
          <w:t xml:space="preserve">Figure 3</w:t>
        </w:r>
      </w:hyperlink>
      <w:r>
        <w:t xml:space="preserve"> </w:t>
      </w:r>
      <w:r>
        <w:t xml:space="preserve">shows that most of the writing of Wikipedia articles related to flood events take place during the month of their occurrence (except of course when Wikipedia did not exist (before 2001) or when it was still moderately used to document current events. This highlights the fact that Wikipedia articles about recent flood events can be viewed as news rather than encyclopedic reports on past events. Conversely, one can argue that articles exhibiting a large proportion of revisions implemented a long time after the occurrence of the event could be indicative of an ongoing debate or controversy, or be the ongoing focus of some social or human interest.</w:t>
      </w:r>
      <w:r>
        <w:t xml:space="preserve"> </w:t>
      </w:r>
      <w:r>
        <w:rPr>
          <w:iCs/>
          <w:i/>
        </w:rPr>
        <w:t xml:space="preserve">Notez que je ne l’ai pas fait pour l’instant car je croule déjà sous les données, mais il serait possible (et pas trop compliqué) de récupérer les statistiques de consultation de chacune des pages (et donc de considérer l’intérêt porté à un article du point de vue du lecteur plutôt que du point de vue du créateur de contenu…). Est-ce que vous pensez que je dois me lancer là-dedans?</w:t>
      </w:r>
    </w:p>
    <w:tbl>
      <w:tblPr>
        <w:tblStyle w:val="Table"/>
        <w:tblW w:type="pct" w:w="5000"/>
        <w:tblLook w:firstRow="0" w:lastRow="0" w:firstColumn="0" w:lastColumn="0" w:noHBand="0" w:noVBand="0" w:val="0000"/>
        <w:jc w:val="start"/>
      </w:tblPr>
      <w:tblGrid>
        <w:gridCol w:w="7920"/>
      </w:tblGrid>
      <w:tr>
        <w:tc>
          <w:tcPr/>
          <w:bookmarkStart w:id="62" w:name="fig-topics"/>
          <w:p>
            <w:pPr>
              <w:jc w:val="center"/>
            </w:pPr>
            <w:r>
              <w:drawing>
                <wp:inline>
                  <wp:extent cx="5334000" cy="4267200"/>
                  <wp:effectExtent b="0" l="0" r="0" t="0"/>
                  <wp:docPr descr="" title="" id="60" name="Picture"/>
                  <a:graphic>
                    <a:graphicData uri="http://schemas.openxmlformats.org/drawingml/2006/picture">
                      <pic:pic>
                        <pic:nvPicPr>
                          <pic:cNvPr descr="index_files/figure-docx/fig-topics-1.png" id="61"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Topics identified by the Reinert classification method. Based on the over-represented terms in each cluster we propose the following labelling of the classes:</w:t>
            </w:r>
            <w:r>
              <w:t xml:space="preserve"> </w:t>
            </w:r>
            <w:r>
              <w:t xml:space="preserve">‘</w:t>
            </w:r>
            <w:r>
              <w:t xml:space="preserve">governance</w:t>
            </w:r>
            <w:r>
              <w:t xml:space="preserve">’</w:t>
            </w:r>
            <w:r>
              <w:t xml:space="preserve"> </w:t>
            </w:r>
            <w:r>
              <w:t xml:space="preserve">for cluster1,</w:t>
            </w:r>
            <w:r>
              <w:t xml:space="preserve"> </w:t>
            </w:r>
            <w:r>
              <w:t xml:space="preserve">‘</w:t>
            </w:r>
            <w:r>
              <w:t xml:space="preserve">relief</w:t>
            </w:r>
            <w:r>
              <w:t xml:space="preserve">’</w:t>
            </w:r>
            <w:r>
              <w:t xml:space="preserve"> </w:t>
            </w:r>
            <w:r>
              <w:t xml:space="preserve">for cluster2,</w:t>
            </w:r>
            <w:r>
              <w:t xml:space="preserve"> </w:t>
            </w:r>
            <w:r>
              <w:t xml:space="preserve">‘</w:t>
            </w:r>
            <w:r>
              <w:t xml:space="preserve">damage</w:t>
            </w:r>
            <w:r>
              <w:t xml:space="preserve">’</w:t>
            </w:r>
            <w:r>
              <w:t xml:space="preserve"> </w:t>
            </w:r>
            <w:r>
              <w:t xml:space="preserve">for cluster3,</w:t>
            </w:r>
            <w:r>
              <w:t xml:space="preserve"> </w:t>
            </w:r>
            <w:r>
              <w:t xml:space="preserve">‘</w:t>
            </w:r>
            <w:r>
              <w:t xml:space="preserve">hydrology</w:t>
            </w:r>
            <w:r>
              <w:t xml:space="preserve">’</w:t>
            </w:r>
            <w:r>
              <w:t xml:space="preserve"> </w:t>
            </w:r>
            <w:r>
              <w:t xml:space="preserve">for cluster4,</w:t>
            </w:r>
            <w:r>
              <w:t xml:space="preserve"> </w:t>
            </w:r>
            <w:r>
              <w:t xml:space="preserve">‘</w:t>
            </w:r>
            <w:r>
              <w:t xml:space="preserve">anticipation</w:t>
            </w:r>
            <w:r>
              <w:t xml:space="preserve">’</w:t>
            </w:r>
            <w:r>
              <w:t xml:space="preserve"> </w:t>
            </w:r>
            <w:r>
              <w:t xml:space="preserve">for cluster5, and</w:t>
            </w:r>
            <w:r>
              <w:t xml:space="preserve"> </w:t>
            </w:r>
            <w:r>
              <w:t xml:space="preserve">‘</w:t>
            </w:r>
            <w:r>
              <w:t xml:space="preserve">weather</w:t>
            </w:r>
            <w:r>
              <w:t xml:space="preserve">’</w:t>
            </w:r>
            <w:r>
              <w:t xml:space="preserve"> </w:t>
            </w:r>
            <w:r>
              <w:t xml:space="preserve">for cluster6.</w:t>
            </w:r>
          </w:p>
          <w:bookmarkEnd w:id="62"/>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66" w:name="fig-topic_per_length"/>
          <w:p>
            <w:pPr>
              <w:jc w:val="center"/>
            </w:pPr>
            <w:r>
              <w:drawing>
                <wp:inline>
                  <wp:extent cx="4620126" cy="3696101"/>
                  <wp:effectExtent b="0" l="0" r="0" t="0"/>
                  <wp:docPr descr="" title="" id="64" name="Picture"/>
                  <a:graphic>
                    <a:graphicData uri="http://schemas.openxmlformats.org/drawingml/2006/picture">
                      <pic:pic>
                        <pic:nvPicPr>
                          <pic:cNvPr descr="index_files/figure-docx/fig-topic_per_length-1.png" id="65"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Link between total article’s length and topics identified by the Reinert classification method. The articles are classified into 4 categories according to their lengths k (number of segments used for the Reinert classification and identification of topics). The 25% shortest articles represent 1&lt;k&lt;=4 segments while the 25% longest represent 26&lt;k&lt;860 segments. The proportion of segments falling into each category is calculated and the distribution of these proportions is displayed through boxplots for each article length category. The red dots correspond to the median proportions of topics throughout all articles irrespective of articles’ length.</w:t>
            </w:r>
          </w:p>
          <w:bookmarkEnd w:id="66"/>
        </w:tc>
      </w:tr>
    </w:tbl>
    <w:p>
      <w:pPr>
        <w:pStyle w:val="BodyText"/>
      </w:pPr>
      <w:hyperlink w:anchor="fig-topic_per_length">
        <w:r>
          <w:rPr>
            <w:rStyle w:val="Hyperlink"/>
          </w:rPr>
          <w:t xml:space="preserve">Figure 5</w:t>
        </w:r>
      </w:hyperlink>
      <w:r>
        <w:t xml:space="preserve"> </w:t>
      </w:r>
      <w:r>
        <w:t xml:space="preserve">shows that the length of the article is probably a very important factor in the topics addressed (or conversely, the topics addressed determine the length of the article), with shorter articles corresponding to factual statements regarding physical features of the event (weather), and justifying reporting that event based on its consequences (damage), while longer articles might convey more extensive reports on the physical causes (hydrology) and management of the crisis (anticipation, governance, relief).</w:t>
      </w:r>
    </w:p>
    <w:tbl>
      <w:tblPr>
        <w:tblStyle w:val="Table"/>
        <w:tblW w:type="pct" w:w="5000"/>
        <w:tblLook w:firstRow="0" w:lastRow="0" w:firstColumn="0" w:lastColumn="0" w:noHBand="0" w:noVBand="0" w:val="0000"/>
        <w:jc w:val="start"/>
      </w:tblPr>
      <w:tblGrid>
        <w:gridCol w:w="7920"/>
      </w:tblGrid>
      <w:tr>
        <w:tc>
          <w:tcPr/>
          <w:bookmarkStart w:id="70" w:name="fig-curation"/>
          <w:p>
            <w:pPr>
              <w:jc w:val="center"/>
            </w:pPr>
            <w:r>
              <w:drawing>
                <wp:inline>
                  <wp:extent cx="5334000" cy="2370666"/>
                  <wp:effectExtent b="0" l="0" r="0" t="0"/>
                  <wp:docPr descr="" title="" id="68" name="Picture"/>
                  <a:graphic>
                    <a:graphicData uri="http://schemas.openxmlformats.org/drawingml/2006/picture">
                      <pic:pic>
                        <pic:nvPicPr>
                          <pic:cNvPr descr="index_files/figure-docx/fig-curation-1.png" id="69" name="Picture"/>
                          <pic:cNvPicPr>
                            <a:picLocks noChangeArrowheads="1" noChangeAspect="1"/>
                          </pic:cNvPicPr>
                        </pic:nvPicPr>
                        <pic:blipFill>
                          <a:blip r:embed="rId67"/>
                          <a:stretch>
                            <a:fillRect/>
                          </a:stretch>
                        </pic:blipFill>
                        <pic:spPr bwMode="auto">
                          <a:xfrm>
                            <a:off x="0" y="0"/>
                            <a:ext cx="5334000" cy="23706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Mean length of edits as a function of number of edits. A relative length of edit for each article is calculated based on this relationship. b) Relative length of edit as a function of total length. A measure of article curation (independent of total length) is calculated based on this relationship. The articles in language</w:t>
            </w:r>
            <w:r>
              <w:t xml:space="preserve"> </w:t>
            </w:r>
            <w:r>
              <w:t xml:space="preserve">‘</w:t>
            </w:r>
            <w:r>
              <w:t xml:space="preserve">simple</w:t>
            </w:r>
            <w:r>
              <w:t xml:space="preserve">’</w:t>
            </w:r>
            <w:r>
              <w:t xml:space="preserve"> </w:t>
            </w:r>
            <w:r>
              <w:t xml:space="preserve">(for</w:t>
            </w:r>
            <w:r>
              <w:t xml:space="preserve"> </w:t>
            </w:r>
            <w:r>
              <w:t xml:space="preserve">‘</w:t>
            </w:r>
            <w:r>
              <w:t xml:space="preserve">simple English</w:t>
            </w:r>
            <w:r>
              <w:t xml:space="preserve">’</w:t>
            </w:r>
            <w:r>
              <w:t xml:space="preserve">) being destined to be particularly synthetic, we did not take include them in the model.</w:t>
            </w:r>
          </w:p>
          <w:bookmarkEnd w:id="70"/>
        </w:tc>
      </w:tr>
    </w:tbl>
    <w:p>
      <w:pPr>
        <w:pStyle w:val="BodyText"/>
      </w:pPr>
      <w:hyperlink w:anchor="fig-curation">
        <w:r>
          <w:rPr>
            <w:rStyle w:val="Hyperlink"/>
          </w:rPr>
          <w:t xml:space="preserve">Figure 6</w:t>
        </w:r>
      </w:hyperlink>
      <w:r>
        <w:t xml:space="preserve"> </w:t>
      </w:r>
      <w:r>
        <w:t xml:space="preserve">.a shows that beyond a few edits (here, we consider the threshold is 10), the mean edit length for an article depends on the total number of edits for that same article, in an approximately linear relationship with both variables being log-transformed. The more edits a page has undergone, the lower the mean edit length: there is a tendency towards lower mean edit length as the page</w:t>
      </w:r>
      <w:r>
        <w:t xml:space="preserve"> </w:t>
      </w:r>
      <w:r>
        <w:t xml:space="preserve">‘</w:t>
      </w:r>
      <w:r>
        <w:t xml:space="preserve">matures</w:t>
      </w:r>
      <w:r>
        <w:t xml:space="preserve">’</w:t>
      </w:r>
      <w:r>
        <w:t xml:space="preserve">, with edits in a more advanced writing stage corresponding to suppressions, corrections, or slight modifications while edits at the beginning of the writing process tend to be more frequently text additions. We consider the difference between actual mean edit length edit and predicted mean edit length (based on number of edits) as a measure of relative edit length (it corresponds to a measure of mean edit length decorrelated from this previously described writing stage effect). By construction and as shown by</w:t>
      </w:r>
      <w:r>
        <w:t xml:space="preserve"> </w:t>
      </w:r>
      <w:hyperlink w:anchor="fig-curation">
        <w:r>
          <w:rPr>
            <w:rStyle w:val="Hyperlink"/>
          </w:rPr>
          <w:t xml:space="preserve">Figure 6</w:t>
        </w:r>
      </w:hyperlink>
      <w:r>
        <w:t xml:space="preserve"> </w:t>
      </w:r>
      <w:r>
        <w:t xml:space="preserve">.b, the relative edit length is highly correlated to total article length, though we would like to dispose of a length-independent curation measure for further analyses purposes. Hence we calculate the curation score based on the residuals of the linear relationship of the relative edit length to total length (both log-transformed). These residuals are normalized to correspond to scores ranging from -1 (rather lowly curated articles) to 1 (very highly curated articles). We argue that this could be used as a measure of a particular effort having been devoted to the establishment of the current text and could thus be interpreted as a sign of possible controversy or debate in its writing process.</w:t>
      </w:r>
    </w:p>
    <w:tbl>
      <w:tblPr>
        <w:tblStyle w:val="Table"/>
        <w:tblW w:type="pct" w:w="5000"/>
        <w:tblLook w:firstRow="0" w:lastRow="0" w:firstColumn="0" w:lastColumn="0" w:noHBand="0" w:noVBand="0" w:val="0000"/>
        <w:jc w:val="start"/>
      </w:tblPr>
      <w:tblGrid>
        <w:gridCol w:w="7920"/>
      </w:tblGrid>
      <w:tr>
        <w:tc>
          <w:tcPr/>
          <w:bookmarkStart w:id="74" w:name="fig-curation_topics"/>
          <w:p>
            <w:pPr>
              <w:jc w:val="center"/>
            </w:pPr>
            <w:r>
              <w:drawing>
                <wp:inline>
                  <wp:extent cx="5334000" cy="3809999"/>
                  <wp:effectExtent b="0" l="0" r="0" t="0"/>
                  <wp:docPr descr="" title="" id="72" name="Picture"/>
                  <a:graphic>
                    <a:graphicData uri="http://schemas.openxmlformats.org/drawingml/2006/picture">
                      <pic:pic>
                        <pic:nvPicPr>
                          <pic:cNvPr descr="index_files/figure-docx/fig-curation_topics-1.png" id="73" name="Picture"/>
                          <pic:cNvPicPr>
                            <a:picLocks noChangeArrowheads="1" noChangeAspect="1"/>
                          </pic:cNvPicPr>
                        </pic:nvPicPr>
                        <pic:blipFill>
                          <a:blip r:embed="rId71"/>
                          <a:stretch>
                            <a:fillRect/>
                          </a:stretch>
                        </pic:blipFill>
                        <pic:spPr bwMode="auto">
                          <a:xfrm>
                            <a:off x="0" y="0"/>
                            <a:ext cx="5334000" cy="380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Proportion of topics in each article according to its curation level. We classified articles into two categories representing the 33% most curated articles (high curation) vs all other articles. For each class we tested the difference in proportion based on a Wilcoxon rank test.</w:t>
            </w:r>
          </w:p>
          <w:bookmarkEnd w:id="74"/>
        </w:tc>
      </w:tr>
    </w:tbl>
    <w:p>
      <w:pPr>
        <w:pStyle w:val="BodyText"/>
      </w:pPr>
      <w:hyperlink w:anchor="fig-curation_topics">
        <w:r>
          <w:rPr>
            <w:rStyle w:val="Hyperlink"/>
          </w:rPr>
          <w:t xml:space="preserve">Figure 7</w:t>
        </w:r>
      </w:hyperlink>
      <w:r>
        <w:t xml:space="preserve"> </w:t>
      </w:r>
      <w:r>
        <w:t xml:space="preserve">shows that articles with high levels of curation tend to deal with topics such as relief (diff=0.045</w:t>
      </w:r>
      <w:r>
        <w:rPr>
          <w:bCs/>
          <w:b/>
          <w:iCs/>
          <w:i/>
        </w:rPr>
        <w:t xml:space="preserve">), and governance (diff=0.028</w:t>
      </w:r>
      <w:r>
        <w:rPr>
          <w:iCs/>
          <w:i/>
        </w:rPr>
        <w:t xml:space="preserve">), while weather (diff=-0.023</w:t>
      </w:r>
      <w:r>
        <w:t xml:space="preserve">) is a bit less addressed. This hints at relief and governance being sensitive topics, which probably require and elicit more careful editing, discussion and fact-checking than e.g. reports on weather.</w:t>
      </w:r>
    </w:p>
    <w:tbl>
      <w:tblPr>
        <w:tblStyle w:val="Table"/>
        <w:tblW w:type="pct" w:w="5000"/>
        <w:tblLook w:firstRow="0" w:lastRow="0" w:firstColumn="0" w:lastColumn="0" w:noHBand="0" w:noVBand="0" w:val="0000"/>
        <w:jc w:val="start"/>
      </w:tblPr>
      <w:tblGrid>
        <w:gridCol w:w="7920"/>
      </w:tblGrid>
      <w:tr>
        <w:tc>
          <w:tcPr/>
          <w:bookmarkStart w:id="78" w:name="fig-curation_causes"/>
          <w:p>
            <w:pPr>
              <w:jc w:val="center"/>
            </w:pPr>
            <w:r>
              <w:drawing>
                <wp:inline>
                  <wp:extent cx="5334000" cy="2000250"/>
                  <wp:effectExtent b="0" l="0" r="0" t="0"/>
                  <wp:docPr descr="" title="" id="76" name="Picture"/>
                  <a:graphic>
                    <a:graphicData uri="http://schemas.openxmlformats.org/drawingml/2006/picture">
                      <pic:pic>
                        <pic:nvPicPr>
                          <pic:cNvPr descr="index_files/figure-docx/fig-curation_causes-1.png" id="77" name="Picture"/>
                          <pic:cNvPicPr>
                            <a:picLocks noChangeArrowheads="1" noChangeAspect="1"/>
                          </pic:cNvPicPr>
                        </pic:nvPicPr>
                        <pic:blipFill>
                          <a:blip r:embed="rId75"/>
                          <a:stretch>
                            <a:fillRect/>
                          </a:stretch>
                        </pic:blipFill>
                        <pic:spPr bwMode="auto">
                          <a:xfrm>
                            <a:off x="0" y="0"/>
                            <a:ext cx="5334000" cy="20002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a) Effect of the article being in a local language on curation. b) Effect of deathtoll and of the article being in a local language on curation.</w:t>
            </w:r>
          </w:p>
          <w:bookmarkEnd w:id="78"/>
        </w:tc>
      </w:tr>
    </w:tbl>
    <w:p>
      <w:pPr>
        <w:pStyle w:val="BodyText"/>
      </w:pPr>
      <w:hyperlink w:anchor="fig-curation_causes">
        <w:r>
          <w:rPr>
            <w:rStyle w:val="Hyperlink"/>
          </w:rPr>
          <w:t xml:space="preserve">Figure 8</w:t>
        </w:r>
      </w:hyperlink>
      <w:r>
        <w:t xml:space="preserve"> </w:t>
      </w:r>
      <w:r>
        <w:t xml:space="preserve">.a shows that the articles’ being written in a local language (considering the event location) tends to be associated with a lower level of article curation (effect estimate= -0.084, t value=-10, Pr(&gt;|t|)=0). This could be due to local articles being used more as information or managing crises tools than educational or encyclopedic carefully curated sources of knowledge. This hypothesis is reinforced by</w:t>
      </w:r>
      <w:r>
        <w:t xml:space="preserve"> </w:t>
      </w:r>
      <w:hyperlink w:anchor="fig-curation_causes">
        <w:r>
          <w:rPr>
            <w:rStyle w:val="Hyperlink"/>
          </w:rPr>
          <w:t xml:space="preserve">Figure 8</w:t>
        </w:r>
      </w:hyperlink>
      <w:r>
        <w:t xml:space="preserve"> </w:t>
      </w:r>
      <w:r>
        <w:t xml:space="preserve">.b which shows that the higher the deathtoll of an event, the less curated the local articles (slope for local articles -0.02, t value= -4.32, Pr(&gt;|t|)=0.00002).</w:t>
      </w:r>
    </w:p>
    <w:bookmarkEnd w:id="79"/>
    <w:bookmarkEnd w:id="80"/>
    <w:bookmarkStart w:id="179" w:name="conclusion"/>
    <w:p>
      <w:pPr>
        <w:pStyle w:val="Heading1"/>
      </w:pPr>
      <w:r>
        <w:t xml:space="preserve">Conclusion</w:t>
      </w:r>
    </w:p>
    <w:p>
      <w:pPr>
        <w:pStyle w:val="FirstParagraph"/>
      </w:pPr>
      <w:r>
        <w:t xml:space="preserve">This study demonstrates the possibility to list and collect information on flood events on a large temporal and spatial scale through Wikidata, Wikimedia and Wikipedia projects. Although these data exhibit some heterogeneity</w:t>
      </w:r>
      <w:r>
        <w:t xml:space="preserve"> </w:t>
      </w:r>
      <w:r>
        <w:t xml:space="preserve">(Lorini et al. 2020; Ruprechter, Burghardt, and Helic 2023)</w:t>
      </w:r>
      <w:r>
        <w:t xml:space="preserve"> </w:t>
      </w:r>
      <w:r>
        <w:t xml:space="preserve">due to economic and digital inequities, being able to rely on a preexistent, rich global dataset spanning a large time period is still a priceless asset in studying floods, and could be a first step to better-quality curated datasets. Besides, large-scale institutional data sources themselves are not immune to spatial heterogeneities due to scarcity of research activity in some areas, linguistic barriers, varying degrees of public investment in disaster management, or other sources of environmental, political and social inequities.</w:t>
      </w:r>
    </w:p>
    <w:p>
      <w:pPr>
        <w:pStyle w:val="BodyText"/>
      </w:pPr>
      <w:r>
        <w:t xml:space="preserve">Linked Open Data such as Wikidata hold great interest for the study of natural or social events due to their inherent ability to offer contextual information to documented items. Linking semantically events when they are documented in fundamentally different datasets (such as DFO and Wikidata) might remain very difficult. Neverthelss, the interconnected nature of Wikidata’s model (as a knowledge graph) as well as their link to other data silos in the Linked Open Data framework allow users to easily access additional information or related resources linked to a particular event. The present study hence demonstrates the strength of such a data source to provide context on a global scale (social, in particular) through the integration of Wikipedia discourse elements.</w:t>
      </w:r>
    </w:p>
    <w:bookmarkStart w:id="178" w:name="refs"/>
    <w:bookmarkStart w:id="82" w:name="ref-antin_my_2011"/>
    <w:p>
      <w:pPr>
        <w:pStyle w:val="Bibliography"/>
      </w:pPr>
      <w:r>
        <w:t xml:space="preserve">Antin, Judd. 2011.</w:t>
      </w:r>
      <w:r>
        <w:t xml:space="preserve"> </w:t>
      </w:r>
      <w:r>
        <w:t xml:space="preserve">“My Kind of People?: Perceptions about Wikipedia Contributors and Their Motivations.”</w:t>
      </w:r>
      <w:r>
        <w:t xml:space="preserve"> </w:t>
      </w:r>
      <w:r>
        <w:t xml:space="preserve">In</w:t>
      </w:r>
      <w:r>
        <w:t xml:space="preserve"> </w:t>
      </w:r>
      <w:r>
        <w:rPr>
          <w:iCs/>
          <w:i/>
        </w:rPr>
        <w:t xml:space="preserve">Proceedings of the</w:t>
      </w:r>
      <w:r>
        <w:rPr>
          <w:iCs/>
          <w:i/>
        </w:rPr>
        <w:t xml:space="preserve"> </w:t>
      </w:r>
      <w:r>
        <w:rPr>
          <w:iCs/>
          <w:i/>
        </w:rPr>
        <w:t xml:space="preserve">SIGCHI</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Human</w:t>
      </w:r>
      <w:r>
        <w:rPr>
          <w:iCs/>
          <w:i/>
        </w:rPr>
        <w:t xml:space="preserve"> </w:t>
      </w:r>
      <w:r>
        <w:rPr>
          <w:iCs/>
          <w:i/>
        </w:rPr>
        <w:t xml:space="preserve">Factors</w:t>
      </w:r>
      <w:r>
        <w:rPr>
          <w:iCs/>
          <w:i/>
        </w:rPr>
        <w:t xml:space="preserve"> </w:t>
      </w:r>
      <w:r>
        <w:rPr>
          <w:iCs/>
          <w:i/>
        </w:rPr>
        <w:t xml:space="preserve">in</w:t>
      </w:r>
      <w:r>
        <w:rPr>
          <w:iCs/>
          <w:i/>
        </w:rPr>
        <w:t xml:space="preserve"> </w:t>
      </w:r>
      <w:r>
        <w:rPr>
          <w:iCs/>
          <w:i/>
        </w:rPr>
        <w:t xml:space="preserve">Computing</w:t>
      </w:r>
      <w:r>
        <w:rPr>
          <w:iCs/>
          <w:i/>
        </w:rPr>
        <w:t xml:space="preserve"> </w:t>
      </w:r>
      <w:r>
        <w:rPr>
          <w:iCs/>
          <w:i/>
        </w:rPr>
        <w:t xml:space="preserve">Systems</w:t>
      </w:r>
      <w:r>
        <w:t xml:space="preserve">, 3411–20. Vancouver BC Canada: ACM.</w:t>
      </w:r>
      <w:r>
        <w:t xml:space="preserve"> </w:t>
      </w:r>
      <w:hyperlink r:id="rId81">
        <w:r>
          <w:rPr>
            <w:rStyle w:val="Hyperlink"/>
          </w:rPr>
          <w:t xml:space="preserve">https://doi.org/10.1145/1978942.1979451</w:t>
        </w:r>
      </w:hyperlink>
      <w:r>
        <w:t xml:space="preserve">.</w:t>
      </w:r>
    </w:p>
    <w:bookmarkEnd w:id="82"/>
    <w:bookmarkStart w:id="84" w:name="ref-ballatore_angeles_2020"/>
    <w:p>
      <w:pPr>
        <w:pStyle w:val="Bibliography"/>
      </w:pPr>
      <w:r>
        <w:t xml:space="preserve">Ballatore, Andrea, and Stefano De Sabbata. 2020.</w:t>
      </w:r>
      <w:r>
        <w:t xml:space="preserve"> </w:t>
      </w:r>
      <w:r>
        <w:t xml:space="preserve">“Los</w:t>
      </w:r>
      <w:r>
        <w:t xml:space="preserve"> </w:t>
      </w:r>
      <w:r>
        <w:t xml:space="preserve">Angeles</w:t>
      </w:r>
      <w:r>
        <w:t xml:space="preserve"> </w:t>
      </w:r>
      <w:r>
        <w:t xml:space="preserve">as a Digital Place:</w:t>
      </w:r>
      <w:r>
        <w:t xml:space="preserve"> </w:t>
      </w:r>
      <w:r>
        <w:t xml:space="preserve">The</w:t>
      </w:r>
      <w:r>
        <w:t xml:space="preserve"> </w:t>
      </w:r>
      <w:r>
        <w:t xml:space="preserve">Geographies of User‐generated Content.”</w:t>
      </w:r>
      <w:r>
        <w:t xml:space="preserve"> </w:t>
      </w:r>
      <w:r>
        <w:rPr>
          <w:iCs/>
          <w:i/>
        </w:rPr>
        <w:t xml:space="preserve">Transactions in GIS</w:t>
      </w:r>
      <w:r>
        <w:t xml:space="preserve"> </w:t>
      </w:r>
      <w:r>
        <w:t xml:space="preserve">24 (4): 880–902.</w:t>
      </w:r>
      <w:r>
        <w:t xml:space="preserve"> </w:t>
      </w:r>
      <w:hyperlink r:id="rId83">
        <w:r>
          <w:rPr>
            <w:rStyle w:val="Hyperlink"/>
          </w:rPr>
          <w:t xml:space="preserve">https://doi.org/10.1111/tgis.12600</w:t>
        </w:r>
      </w:hyperlink>
      <w:r>
        <w:t xml:space="preserve">.</w:t>
      </w:r>
    </w:p>
    <w:bookmarkEnd w:id="84"/>
    <w:bookmarkStart w:id="86" w:name="ref-ballatore_digital_2017"/>
    <w:p>
      <w:pPr>
        <w:pStyle w:val="Bibliography"/>
      </w:pPr>
      <w:r>
        <w:t xml:space="preserve">Ballatore, Andrea, Mark Graham, and Shilad Sen. 2017.</w:t>
      </w:r>
      <w:r>
        <w:t xml:space="preserve"> </w:t>
      </w:r>
      <w:r>
        <w:t xml:space="preserve">“Digital</w:t>
      </w:r>
      <w:r>
        <w:t xml:space="preserve"> </w:t>
      </w:r>
      <w:r>
        <w:t xml:space="preserve">Hegemonies</w:t>
      </w:r>
      <w:r>
        <w:t xml:space="preserve">:</w:t>
      </w:r>
      <w:r>
        <w:t xml:space="preserve"> </w:t>
      </w:r>
      <w:r>
        <w:t xml:space="preserve">The</w:t>
      </w:r>
      <w:r>
        <w:t xml:space="preserve"> </w:t>
      </w:r>
      <w:r>
        <w:t xml:space="preserve">Localness</w:t>
      </w:r>
      <w:r>
        <w:t xml:space="preserve"> </w:t>
      </w:r>
      <w:r>
        <w:t xml:space="preserve">of</w:t>
      </w:r>
      <w:r>
        <w:t xml:space="preserve"> </w:t>
      </w:r>
      <w:r>
        <w:t xml:space="preserve">Search</w:t>
      </w:r>
      <w:r>
        <w:t xml:space="preserve"> </w:t>
      </w:r>
      <w:r>
        <w:t xml:space="preserve">Engine</w:t>
      </w:r>
      <w:r>
        <w:t xml:space="preserve"> </w:t>
      </w:r>
      <w:r>
        <w:t xml:space="preserve">Results</w:t>
      </w:r>
      <w:r>
        <w:t xml:space="preserve">.”</w:t>
      </w:r>
      <w:r>
        <w:t xml:space="preserve"> </w:t>
      </w:r>
      <w:r>
        <w:rPr>
          <w:iCs/>
          <w:i/>
        </w:rPr>
        <w:t xml:space="preserve">Annals of the American Association of Geographers</w:t>
      </w:r>
      <w:r>
        <w:t xml:space="preserve"> </w:t>
      </w:r>
      <w:r>
        <w:t xml:space="preserve">107 (5): 1194–1215.</w:t>
      </w:r>
      <w:r>
        <w:t xml:space="preserve"> </w:t>
      </w:r>
      <w:hyperlink r:id="rId85">
        <w:r>
          <w:rPr>
            <w:rStyle w:val="Hyperlink"/>
          </w:rPr>
          <w:t xml:space="preserve">https://doi.org/10.1080/24694452.2017.1308240</w:t>
        </w:r>
      </w:hyperlink>
      <w:r>
        <w:t xml:space="preserve">.</w:t>
      </w:r>
    </w:p>
    <w:bookmarkEnd w:id="86"/>
    <w:bookmarkStart w:id="88" w:name="ref-barnier_rainette_2023"/>
    <w:p>
      <w:pPr>
        <w:pStyle w:val="Bibliography"/>
      </w:pPr>
      <w:r>
        <w:t xml:space="preserve">Barnier, Julien. 2023.</w:t>
      </w:r>
      <w:r>
        <w:t xml:space="preserve"> </w:t>
      </w:r>
      <w:r>
        <w:rPr>
          <w:iCs/>
          <w:i/>
        </w:rPr>
        <w:t xml:space="preserve">Rainette:</w:t>
      </w:r>
      <w:r>
        <w:rPr>
          <w:iCs/>
          <w:i/>
        </w:rPr>
        <w:t xml:space="preserve"> </w:t>
      </w:r>
      <w:r>
        <w:rPr>
          <w:iCs/>
          <w:i/>
        </w:rPr>
        <w:t xml:space="preserve">The</w:t>
      </w:r>
      <w:r>
        <w:rPr>
          <w:iCs/>
          <w:i/>
        </w:rPr>
        <w:t xml:space="preserve"> </w:t>
      </w:r>
      <w:r>
        <w:rPr>
          <w:iCs/>
          <w:i/>
        </w:rPr>
        <w:t xml:space="preserve">Reinert</w:t>
      </w:r>
      <w:r>
        <w:rPr>
          <w:iCs/>
          <w:i/>
        </w:rPr>
        <w:t xml:space="preserve"> </w:t>
      </w:r>
      <w:r>
        <w:rPr>
          <w:iCs/>
          <w:i/>
        </w:rPr>
        <w:t xml:space="preserve">Method</w:t>
      </w:r>
      <w:r>
        <w:rPr>
          <w:iCs/>
          <w:i/>
        </w:rPr>
        <w:t xml:space="preserve"> </w:t>
      </w:r>
      <w:r>
        <w:rPr>
          <w:iCs/>
          <w:i/>
        </w:rPr>
        <w:t xml:space="preserve">for</w:t>
      </w:r>
      <w:r>
        <w:rPr>
          <w:iCs/>
          <w:i/>
        </w:rPr>
        <w:t xml:space="preserve"> </w:t>
      </w:r>
      <w:r>
        <w:rPr>
          <w:iCs/>
          <w:i/>
        </w:rPr>
        <w:t xml:space="preserve">Textual</w:t>
      </w:r>
      <w:r>
        <w:rPr>
          <w:iCs/>
          <w:i/>
        </w:rPr>
        <w:t xml:space="preserve"> </w:t>
      </w:r>
      <w:r>
        <w:rPr>
          <w:iCs/>
          <w:i/>
        </w:rPr>
        <w:t xml:space="preserve">Data</w:t>
      </w:r>
      <w:r>
        <w:rPr>
          <w:iCs/>
          <w:i/>
        </w:rPr>
        <w:t xml:space="preserve"> </w:t>
      </w:r>
      <w:r>
        <w:rPr>
          <w:iCs/>
          <w:i/>
        </w:rPr>
        <w:t xml:space="preserve">Clustering</w:t>
      </w:r>
      <w:r>
        <w:t xml:space="preserve">.</w:t>
      </w:r>
      <w:r>
        <w:t xml:space="preserve"> </w:t>
      </w:r>
      <w:hyperlink r:id="rId87">
        <w:r>
          <w:rPr>
            <w:rStyle w:val="Hyperlink"/>
          </w:rPr>
          <w:t xml:space="preserve">https://juba.github.io/rainette/</w:t>
        </w:r>
      </w:hyperlink>
      <w:r>
        <w:t xml:space="preserve">.</w:t>
      </w:r>
    </w:p>
    <w:bookmarkEnd w:id="88"/>
    <w:bookmarkStart w:id="90" w:name="ref-bittner_diversity_2017"/>
    <w:p>
      <w:pPr>
        <w:pStyle w:val="Bibliography"/>
      </w:pPr>
      <w:r>
        <w:t xml:space="preserve">Bittner, Christian. 2017.</w:t>
      </w:r>
      <w:r>
        <w:t xml:space="preserve"> </w:t>
      </w:r>
      <w:r>
        <w:t xml:space="preserve">“Diversity in Volunteered Geographic Information: Comparing</w:t>
      </w:r>
      <w:r>
        <w:t xml:space="preserve"> </w:t>
      </w:r>
      <w:r>
        <w:t xml:space="preserve">OpenStreetMap</w:t>
      </w:r>
      <w:r>
        <w:t xml:space="preserve"> </w:t>
      </w:r>
      <w:r>
        <w:t xml:space="preserve">and</w:t>
      </w:r>
      <w:r>
        <w:t xml:space="preserve"> </w:t>
      </w:r>
      <w:r>
        <w:t xml:space="preserve">Wikimapia</w:t>
      </w:r>
      <w:r>
        <w:t xml:space="preserve"> </w:t>
      </w:r>
      <w:r>
        <w:t xml:space="preserve">in</w:t>
      </w:r>
      <w:r>
        <w:t xml:space="preserve"> </w:t>
      </w:r>
      <w:r>
        <w:t xml:space="preserve">Jerusalem</w:t>
      </w:r>
      <w:r>
        <w:t xml:space="preserve">.”</w:t>
      </w:r>
      <w:r>
        <w:t xml:space="preserve"> </w:t>
      </w:r>
      <w:r>
        <w:rPr>
          <w:iCs/>
          <w:i/>
        </w:rPr>
        <w:t xml:space="preserve">GeoJournal</w:t>
      </w:r>
      <w:r>
        <w:t xml:space="preserve"> </w:t>
      </w:r>
      <w:r>
        <w:t xml:space="preserve">82 (5): 887–906.</w:t>
      </w:r>
      <w:r>
        <w:t xml:space="preserve"> </w:t>
      </w:r>
      <w:hyperlink r:id="rId89">
        <w:r>
          <w:rPr>
            <w:rStyle w:val="Hyperlink"/>
          </w:rPr>
          <w:t xml:space="preserve">https://doi.org/10.1007/s10708-016-9721-3</w:t>
        </w:r>
      </w:hyperlink>
      <w:r>
        <w:t xml:space="preserve">.</w:t>
      </w:r>
    </w:p>
    <w:bookmarkEnd w:id="90"/>
    <w:bookmarkStart w:id="92" w:name="ref-brakenridge_global_nodate"/>
    <w:p>
      <w:pPr>
        <w:pStyle w:val="Bibliography"/>
      </w:pPr>
      <w:r>
        <w:t xml:space="preserve">Brakenridge, G. Robert. n.d.</w:t>
      </w:r>
      <w:r>
        <w:t xml:space="preserve"> </w:t>
      </w:r>
      <w:r>
        <w:t xml:space="preserve">“Global</w:t>
      </w:r>
      <w:r>
        <w:t xml:space="preserve"> </w:t>
      </w:r>
      <w:r>
        <w:t xml:space="preserve">Active</w:t>
      </w:r>
      <w:r>
        <w:t xml:space="preserve"> </w:t>
      </w:r>
      <w:r>
        <w:t xml:space="preserve">Archive</w:t>
      </w:r>
      <w:r>
        <w:t xml:space="preserve"> </w:t>
      </w:r>
      <w:r>
        <w:t xml:space="preserve">of</w:t>
      </w:r>
      <w:r>
        <w:t xml:space="preserve"> </w:t>
      </w:r>
      <w:r>
        <w:t xml:space="preserve">Large</w:t>
      </w:r>
      <w:r>
        <w:t xml:space="preserve"> </w:t>
      </w:r>
      <w:r>
        <w:t xml:space="preserve">Flood</w:t>
      </w:r>
      <w:r>
        <w:t xml:space="preserve"> </w:t>
      </w:r>
      <w:r>
        <w:t xml:space="preserve">Events</w:t>
      </w:r>
      <w:r>
        <w:t xml:space="preserve">.”</w:t>
      </w:r>
      <w:r>
        <w:t xml:space="preserve"> Dartmouth Flood Observatory, University of Colorado, USA. Accessed December 1, 2023.</w:t>
      </w:r>
      <w:r>
        <w:t xml:space="preserve"> </w:t>
      </w:r>
      <w:hyperlink r:id="rId91">
        <w:r>
          <w:rPr>
            <w:rStyle w:val="Hyperlink"/>
          </w:rPr>
          <w:t xml:space="preserve">https://floodobservatory.colorado.edu/Archives/index.html</w:t>
        </w:r>
      </w:hyperlink>
      <w:r>
        <w:t xml:space="preserve">.</w:t>
      </w:r>
    </w:p>
    <w:bookmarkEnd w:id="92"/>
    <w:bookmarkStart w:id="94" w:name="X12dabc56d9645348127a3cb0682b59a0fde6a16"/>
    <w:p>
      <w:pPr>
        <w:pStyle w:val="Bibliography"/>
      </w:pPr>
      <w:r>
        <w:t xml:space="preserve">Burgstaller-Muehlbacher, Sebastian, Andra Waagmeester, Elvira Mitraka, Julia Turner, Tim Putman, Justin Leong, Chinmay Naik, et al. 2016.</w:t>
      </w:r>
      <w:r>
        <w:t xml:space="preserve"> </w:t>
      </w:r>
      <w:r>
        <w:t xml:space="preserve">“Wikidata as a Semantic Framework for the</w:t>
      </w:r>
      <w:r>
        <w:t xml:space="preserve"> </w:t>
      </w:r>
      <w:r>
        <w:t xml:space="preserve">Gene</w:t>
      </w:r>
      <w:r>
        <w:t xml:space="preserve"> </w:t>
      </w:r>
      <w:r>
        <w:t xml:space="preserve">Wiki</w:t>
      </w:r>
      <w:r>
        <w:t xml:space="preserve"> </w:t>
      </w:r>
      <w:r>
        <w:t xml:space="preserve">Initiative.”</w:t>
      </w:r>
      <w:r>
        <w:t xml:space="preserve"> </w:t>
      </w:r>
      <w:r>
        <w:rPr>
          <w:iCs/>
          <w:i/>
        </w:rPr>
        <w:t xml:space="preserve">Database</w:t>
      </w:r>
      <w:r>
        <w:t xml:space="preserve"> </w:t>
      </w:r>
      <w:r>
        <w:t xml:space="preserve">2016: baw015.</w:t>
      </w:r>
      <w:r>
        <w:t xml:space="preserve"> </w:t>
      </w:r>
      <w:hyperlink r:id="rId93">
        <w:r>
          <w:rPr>
            <w:rStyle w:val="Hyperlink"/>
          </w:rPr>
          <w:t xml:space="preserve">https://doi.org/10.1093/database/baw015</w:t>
        </w:r>
      </w:hyperlink>
      <w:r>
        <w:t xml:space="preserve">.</w:t>
      </w:r>
    </w:p>
    <w:bookmarkEnd w:id="94"/>
    <w:bookmarkStart w:id="96" w:name="ref-colavizza_covid-19_2020"/>
    <w:p>
      <w:pPr>
        <w:pStyle w:val="Bibliography"/>
      </w:pPr>
      <w:r>
        <w:t xml:space="preserve">Colavizza, Giovanni. 2020.</w:t>
      </w:r>
      <w:r>
        <w:t xml:space="preserve"> </w:t>
      </w:r>
      <w:r>
        <w:t xml:space="preserve">“</w:t>
      </w:r>
      <w:r>
        <w:t xml:space="preserve">COVID</w:t>
      </w:r>
      <w:r>
        <w:t xml:space="preserve">-19 Research in</w:t>
      </w:r>
      <w:r>
        <w:t xml:space="preserve"> </w:t>
      </w:r>
      <w:r>
        <w:t xml:space="preserve">Wikipedia</w:t>
      </w:r>
      <w:r>
        <w:t xml:space="preserve">.”</w:t>
      </w:r>
      <w:r>
        <w:t xml:space="preserve"> </w:t>
      </w:r>
      <w:r>
        <w:rPr>
          <w:iCs/>
          <w:i/>
        </w:rPr>
        <w:t xml:space="preserve">Quantitative Science Studies</w:t>
      </w:r>
      <w:r>
        <w:t xml:space="preserve"> </w:t>
      </w:r>
      <w:r>
        <w:t xml:space="preserve">1 (4): 1349–80.</w:t>
      </w:r>
      <w:r>
        <w:t xml:space="preserve"> </w:t>
      </w:r>
      <w:hyperlink r:id="rId95">
        <w:r>
          <w:rPr>
            <w:rStyle w:val="Hyperlink"/>
          </w:rPr>
          <w:t xml:space="preserve">https://doi.org/10.1162/qss_a_00080</w:t>
        </w:r>
      </w:hyperlink>
      <w:r>
        <w:t xml:space="preserve">.</w:t>
      </w:r>
    </w:p>
    <w:bookmarkEnd w:id="96"/>
    <w:bookmarkStart w:id="98" w:name="ref-crampton_beyond_2013"/>
    <w:p>
      <w:pPr>
        <w:pStyle w:val="Bibliography"/>
      </w:pPr>
      <w:r>
        <w:t xml:space="preserve">Crampton, Jeremy W., Mark Graham, Ate Poorthuis, Taylor Shelton, Monica Stephens, Matthew W. Wilson, and Matthew Zook. 2013.</w:t>
      </w:r>
      <w:r>
        <w:t xml:space="preserve"> </w:t>
      </w:r>
      <w:r>
        <w:t xml:space="preserve">“Beyond the Geotag: Situating</w:t>
      </w:r>
      <w:r>
        <w:t xml:space="preserve"> </w:t>
      </w:r>
      <w:r>
        <w:t xml:space="preserve">‘Big Data’</w:t>
      </w:r>
      <w:r>
        <w:t xml:space="preserve"> </w:t>
      </w:r>
      <w:r>
        <w:t xml:space="preserve">and Leveraging the Potential of the Geoweb.”</w:t>
      </w:r>
      <w:r>
        <w:t xml:space="preserve"> </w:t>
      </w:r>
      <w:r>
        <w:rPr>
          <w:iCs/>
          <w:i/>
        </w:rPr>
        <w:t xml:space="preserve">Cartography and Geographic Information Science</w:t>
      </w:r>
      <w:r>
        <w:t xml:space="preserve"> </w:t>
      </w:r>
      <w:r>
        <w:t xml:space="preserve">40 (2): 130–39.</w:t>
      </w:r>
      <w:r>
        <w:t xml:space="preserve"> </w:t>
      </w:r>
      <w:hyperlink r:id="rId97">
        <w:r>
          <w:rPr>
            <w:rStyle w:val="Hyperlink"/>
          </w:rPr>
          <w:t xml:space="preserve">https://doi.org/10.1080/15230406.2013.777137</w:t>
        </w:r>
      </w:hyperlink>
      <w:r>
        <w:t xml:space="preserve">.</w:t>
      </w:r>
    </w:p>
    <w:bookmarkEnd w:id="98"/>
    <w:bookmarkStart w:id="100" w:name="ref-dixon_role_2021"/>
    <w:p>
      <w:pPr>
        <w:pStyle w:val="Bibliography"/>
      </w:pPr>
      <w:r>
        <w:t xml:space="preserve">Dixon, Barnali, RebeccaA. Johns, and Amada Fernandez. 2021.</w:t>
      </w:r>
      <w:r>
        <w:t xml:space="preserve"> </w:t>
      </w:r>
      <w:r>
        <w:t xml:space="preserve">“The Role of Crowdsourced Data, Participatory Decision-Making and Mapping of Flood Related Events.”</w:t>
      </w:r>
      <w:r>
        <w:t xml:space="preserve"> </w:t>
      </w:r>
      <w:r>
        <w:rPr>
          <w:iCs/>
          <w:i/>
        </w:rPr>
        <w:t xml:space="preserve">Applied Geography</w:t>
      </w:r>
      <w:r>
        <w:t xml:space="preserve"> </w:t>
      </w:r>
      <w:r>
        <w:t xml:space="preserve">128 (March): 102393.</w:t>
      </w:r>
      <w:r>
        <w:t xml:space="preserve"> </w:t>
      </w:r>
      <w:hyperlink r:id="rId99">
        <w:r>
          <w:rPr>
            <w:rStyle w:val="Hyperlink"/>
          </w:rPr>
          <w:t xml:space="preserve">https://doi.org/10.1016/j.apgeog.2021.102393</w:t>
        </w:r>
      </w:hyperlink>
      <w:r>
        <w:t xml:space="preserve">.</w:t>
      </w:r>
    </w:p>
    <w:bookmarkEnd w:id="100"/>
    <w:bookmarkStart w:id="102" w:name="ref-farda-sarbas_wikidata_2019"/>
    <w:p>
      <w:pPr>
        <w:pStyle w:val="Bibliography"/>
      </w:pPr>
      <w:r>
        <w:t xml:space="preserve">Farda-Sarbas, Mariam, and Claudia Müller-Birn. 2019.</w:t>
      </w:r>
      <w:r>
        <w:t xml:space="preserve"> </w:t>
      </w:r>
      <w:r>
        <w:t xml:space="preserve">“Wikidata from a</w:t>
      </w:r>
      <w:r>
        <w:t xml:space="preserve"> </w:t>
      </w:r>
      <w:r>
        <w:t xml:space="preserve">Research</w:t>
      </w:r>
      <w:r>
        <w:t xml:space="preserve"> </w:t>
      </w:r>
      <w:r>
        <w:t xml:space="preserve">Perspective</w:t>
      </w:r>
      <w:r>
        <w:t xml:space="preserve"> </w:t>
      </w:r>
      <w:r>
        <w:t xml:space="preserve">–</w:t>
      </w:r>
      <w:r>
        <w:t xml:space="preserve"> </w:t>
      </w:r>
      <w:r>
        <w:t xml:space="preserve">A</w:t>
      </w:r>
      <w:r>
        <w:t xml:space="preserve"> </w:t>
      </w:r>
      <w:r>
        <w:t xml:space="preserve">Systematic</w:t>
      </w:r>
      <w:r>
        <w:t xml:space="preserve"> </w:t>
      </w:r>
      <w:r>
        <w:t xml:space="preserve">Mapping</w:t>
      </w:r>
      <w:r>
        <w:t xml:space="preserve"> </w:t>
      </w:r>
      <w:r>
        <w:t xml:space="preserve">Study</w:t>
      </w:r>
      <w:r>
        <w:t xml:space="preserve"> </w:t>
      </w:r>
      <w:r>
        <w:t xml:space="preserve">of</w:t>
      </w:r>
      <w:r>
        <w:t xml:space="preserve"> </w:t>
      </w:r>
      <w:r>
        <w:t xml:space="preserve">Wikidata</w:t>
      </w:r>
      <w:r>
        <w:t xml:space="preserve">.”</w:t>
      </w:r>
      <w:r>
        <w:t xml:space="preserve"> </w:t>
      </w:r>
      <w:r>
        <w:t xml:space="preserve">arXiv.</w:t>
      </w:r>
      <w:r>
        <w:t xml:space="preserve"> </w:t>
      </w:r>
      <w:hyperlink r:id="rId101">
        <w:r>
          <w:rPr>
            <w:rStyle w:val="Hyperlink"/>
          </w:rPr>
          <w:t xml:space="preserve">http://arxiv.org/abs/1908.11153</w:t>
        </w:r>
      </w:hyperlink>
      <w:r>
        <w:t xml:space="preserve">.</w:t>
      </w:r>
    </w:p>
    <w:bookmarkEnd w:id="102"/>
    <w:bookmarkStart w:id="104" w:name="ref-gardner_quantifying_2020"/>
    <w:p>
      <w:pPr>
        <w:pStyle w:val="Bibliography"/>
      </w:pPr>
      <w:r>
        <w:t xml:space="preserve">Gardner, Z., P. Mooney, S. De Sabbata, and L. Dowthwaite. 2020.</w:t>
      </w:r>
      <w:r>
        <w:t xml:space="preserve"> </w:t>
      </w:r>
      <w:r>
        <w:t xml:space="preserve">“Quantifying Gendered Participation in</w:t>
      </w:r>
      <w:r>
        <w:t xml:space="preserve"> </w:t>
      </w:r>
      <w:r>
        <w:t xml:space="preserve">OpenStreetMap</w:t>
      </w:r>
      <w:r>
        <w:t xml:space="preserve">: Responding to Theories of Female (Under) Representation in Crowdsourced Mapping.”</w:t>
      </w:r>
      <w:r>
        <w:t xml:space="preserve"> </w:t>
      </w:r>
      <w:r>
        <w:rPr>
          <w:iCs/>
          <w:i/>
        </w:rPr>
        <w:t xml:space="preserve">GeoJournal</w:t>
      </w:r>
      <w:r>
        <w:t xml:space="preserve"> </w:t>
      </w:r>
      <w:r>
        <w:t xml:space="preserve">85 (6): 1603–20.</w:t>
      </w:r>
      <w:r>
        <w:t xml:space="preserve"> </w:t>
      </w:r>
      <w:hyperlink r:id="rId103">
        <w:r>
          <w:rPr>
            <w:rStyle w:val="Hyperlink"/>
          </w:rPr>
          <w:t xml:space="preserve">https://doi.org/10.1007/s10708-019-10035-z</w:t>
        </w:r>
      </w:hyperlink>
      <w:r>
        <w:t xml:space="preserve">.</w:t>
      </w:r>
    </w:p>
    <w:bookmarkEnd w:id="104"/>
    <w:bookmarkStart w:id="106" w:name="ref-giles_internet_2005"/>
    <w:p>
      <w:pPr>
        <w:pStyle w:val="Bibliography"/>
      </w:pPr>
      <w:r>
        <w:t xml:space="preserve">Giles, Jim. 2005.</w:t>
      </w:r>
      <w:r>
        <w:t xml:space="preserve"> </w:t>
      </w:r>
      <w:r>
        <w:t xml:space="preserve">“Internet Encyclopaedias Go Head to Head.”</w:t>
      </w:r>
      <w:r>
        <w:t xml:space="preserve"> </w:t>
      </w:r>
      <w:r>
        <w:rPr>
          <w:iCs/>
          <w:i/>
        </w:rPr>
        <w:t xml:space="preserve">Nature</w:t>
      </w:r>
      <w:r>
        <w:t xml:space="preserve"> </w:t>
      </w:r>
      <w:r>
        <w:t xml:space="preserve">438 (7070): 900–901.</w:t>
      </w:r>
      <w:r>
        <w:t xml:space="preserve"> </w:t>
      </w:r>
      <w:hyperlink r:id="rId105">
        <w:r>
          <w:rPr>
            <w:rStyle w:val="Hyperlink"/>
          </w:rPr>
          <w:t xml:space="preserve">https://doi.org/10.1038/438900a</w:t>
        </w:r>
      </w:hyperlink>
      <w:r>
        <w:t xml:space="preserve">.</w:t>
      </w:r>
    </w:p>
    <w:bookmarkEnd w:id="106"/>
    <w:bookmarkStart w:id="108" w:name="ref-goodchild_citizens_2007"/>
    <w:p>
      <w:pPr>
        <w:pStyle w:val="Bibliography"/>
      </w:pPr>
      <w:r>
        <w:t xml:space="preserve">Goodchild, Michael F. 2007.</w:t>
      </w:r>
      <w:r>
        <w:t xml:space="preserve"> </w:t>
      </w:r>
      <w:r>
        <w:t xml:space="preserve">“Citizens as Sensors: The World of Volunteered Geography.”</w:t>
      </w:r>
      <w:r>
        <w:t xml:space="preserve"> </w:t>
      </w:r>
      <w:r>
        <w:rPr>
          <w:iCs/>
          <w:i/>
        </w:rPr>
        <w:t xml:space="preserve">GeoJournal</w:t>
      </w:r>
      <w:r>
        <w:t xml:space="preserve"> </w:t>
      </w:r>
      <w:r>
        <w:t xml:space="preserve">69 (4): 211–21.</w:t>
      </w:r>
      <w:r>
        <w:t xml:space="preserve"> </w:t>
      </w:r>
      <w:hyperlink r:id="rId107">
        <w:r>
          <w:rPr>
            <w:rStyle w:val="Hyperlink"/>
          </w:rPr>
          <w:t xml:space="preserve">https://doi.org/10.1007/s10708-007-9111-y</w:t>
        </w:r>
      </w:hyperlink>
      <w:r>
        <w:t xml:space="preserve">.</w:t>
      </w:r>
    </w:p>
    <w:bookmarkEnd w:id="108"/>
    <w:bookmarkStart w:id="110" w:name="ref-graham_inequitable_2014"/>
    <w:p>
      <w:pPr>
        <w:pStyle w:val="Bibliography"/>
      </w:pPr>
      <w:r>
        <w:t xml:space="preserve">Graham, Mark. 2014.</w:t>
      </w:r>
      <w:r>
        <w:t xml:space="preserve"> </w:t>
      </w:r>
      <w:r>
        <w:t xml:space="preserve">“Inequitable</w:t>
      </w:r>
      <w:r>
        <w:t xml:space="preserve"> </w:t>
      </w:r>
      <w:r>
        <w:t xml:space="preserve">Distributions</w:t>
      </w:r>
      <w:r>
        <w:t xml:space="preserve"> </w:t>
      </w:r>
      <w:r>
        <w:t xml:space="preserve">in</w:t>
      </w:r>
      <w:r>
        <w:t xml:space="preserve"> </w:t>
      </w:r>
      <w:r>
        <w:t xml:space="preserve">Internet</w:t>
      </w:r>
      <w:r>
        <w:t xml:space="preserve"> </w:t>
      </w:r>
      <w:r>
        <w:t xml:space="preserve">Geographies</w:t>
      </w:r>
      <w:r>
        <w:t xml:space="preserve">:</w:t>
      </w:r>
      <w:r>
        <w:t xml:space="preserve"> </w:t>
      </w:r>
      <w:r>
        <w:t xml:space="preserve">The</w:t>
      </w:r>
      <w:r>
        <w:t xml:space="preserve"> </w:t>
      </w:r>
      <w:r>
        <w:t xml:space="preserve">Global</w:t>
      </w:r>
      <w:r>
        <w:t xml:space="preserve"> </w:t>
      </w:r>
      <w:r>
        <w:t xml:space="preserve">South</w:t>
      </w:r>
      <w:r>
        <w:t xml:space="preserve"> </w:t>
      </w:r>
      <w:r>
        <w:t xml:space="preserve">Is</w:t>
      </w:r>
      <w:r>
        <w:t xml:space="preserve"> </w:t>
      </w:r>
      <w:r>
        <w:t xml:space="preserve">Gaining</w:t>
      </w:r>
      <w:r>
        <w:t xml:space="preserve"> </w:t>
      </w:r>
      <w:r>
        <w:t xml:space="preserve">Access</w:t>
      </w:r>
      <w:r>
        <w:t xml:space="preserve">, but</w:t>
      </w:r>
      <w:r>
        <w:t xml:space="preserve"> </w:t>
      </w:r>
      <w:r>
        <w:t xml:space="preserve">Lags</w:t>
      </w:r>
      <w:r>
        <w:t xml:space="preserve"> </w:t>
      </w:r>
      <w:r>
        <w:t xml:space="preserve">in</w:t>
      </w:r>
      <w:r>
        <w:t xml:space="preserve"> </w:t>
      </w:r>
      <w:r>
        <w:t xml:space="preserve">Local</w:t>
      </w:r>
      <w:r>
        <w:t xml:space="preserve"> </w:t>
      </w:r>
      <w:r>
        <w:t xml:space="preserve">Content</w:t>
      </w:r>
      <w:r>
        <w:t xml:space="preserve">.”</w:t>
      </w:r>
      <w:r>
        <w:t xml:space="preserve"> </w:t>
      </w:r>
      <w:r>
        <w:rPr>
          <w:iCs/>
          <w:i/>
        </w:rPr>
        <w:t xml:space="preserve">Innovations: Technology, Governance, Globalization</w:t>
      </w:r>
      <w:r>
        <w:t xml:space="preserve"> </w:t>
      </w:r>
      <w:r>
        <w:t xml:space="preserve">9 (3-4): 3–19.</w:t>
      </w:r>
      <w:r>
        <w:t xml:space="preserve"> </w:t>
      </w:r>
      <w:hyperlink r:id="rId109">
        <w:r>
          <w:rPr>
            <w:rStyle w:val="Hyperlink"/>
          </w:rPr>
          <w:t xml:space="preserve">https://doi.org/10.1162/inov_a_00212</w:t>
        </w:r>
      </w:hyperlink>
      <w:r>
        <w:t xml:space="preserve">.</w:t>
      </w:r>
    </w:p>
    <w:bookmarkEnd w:id="110"/>
    <w:bookmarkStart w:id="112" w:name="ref-kollektiv_orangotango_uneven_2018"/>
    <w:p>
      <w:pPr>
        <w:pStyle w:val="Bibliography"/>
      </w:pPr>
      <w:r>
        <w:t xml:space="preserve">Graham, Mark, Stefano De Sabbata, Ralph Straumann, and Sanna Ojanperä. 2018.</w:t>
      </w:r>
      <w:r>
        <w:t xml:space="preserve"> </w:t>
      </w:r>
      <w:r>
        <w:t xml:space="preserve">“Uneven</w:t>
      </w:r>
      <w:r>
        <w:t xml:space="preserve"> </w:t>
      </w:r>
      <w:r>
        <w:t xml:space="preserve">Digital</w:t>
      </w:r>
      <w:r>
        <w:t xml:space="preserve"> </w:t>
      </w:r>
      <w:r>
        <w:t xml:space="preserve">Geographies</w:t>
      </w:r>
      <w:r>
        <w:t xml:space="preserve"> </w:t>
      </w:r>
      <w:r>
        <w:t xml:space="preserve">… and</w:t>
      </w:r>
      <w:r>
        <w:t xml:space="preserve"> </w:t>
      </w:r>
      <w:r>
        <w:t xml:space="preserve">Why</w:t>
      </w:r>
      <w:r>
        <w:t xml:space="preserve"> </w:t>
      </w:r>
      <w:r>
        <w:t xml:space="preserve">They</w:t>
      </w:r>
      <w:r>
        <w:t xml:space="preserve"> </w:t>
      </w:r>
      <w:r>
        <w:t xml:space="preserve">Matter</w:t>
      </w:r>
      <w:r>
        <w:t xml:space="preserve">.”</w:t>
      </w:r>
      <w:r>
        <w:t xml:space="preserve"> </w:t>
      </w:r>
      <w:r>
        <w:t xml:space="preserve">In</w:t>
      </w:r>
      <w:r>
        <w:t xml:space="preserve"> </w:t>
      </w:r>
      <w:r>
        <w:rPr>
          <w:iCs/>
          <w:i/>
        </w:rPr>
        <w:t xml:space="preserve">Sozial- Und</w:t>
      </w:r>
      <w:r>
        <w:rPr>
          <w:iCs/>
          <w:i/>
        </w:rPr>
        <w:t xml:space="preserve"> </w:t>
      </w:r>
      <w:r>
        <w:rPr>
          <w:iCs/>
          <w:i/>
        </w:rPr>
        <w:t xml:space="preserve">Kulturgeographie</w:t>
      </w:r>
      <w:r>
        <w:t xml:space="preserve">, edited by kollektiv orangotango+, 2nd ed., 26:308–15. Bielefeld, Germany: transcript Verlag.</w:t>
      </w:r>
      <w:r>
        <w:t xml:space="preserve"> </w:t>
      </w:r>
      <w:hyperlink r:id="rId111">
        <w:r>
          <w:rPr>
            <w:rStyle w:val="Hyperlink"/>
          </w:rPr>
          <w:t xml:space="preserve">https://doi.org/10.14361/9783839445198-041</w:t>
        </w:r>
      </w:hyperlink>
      <w:r>
        <w:t xml:space="preserve">.</w:t>
      </w:r>
    </w:p>
    <w:bookmarkEnd w:id="112"/>
    <w:bookmarkStart w:id="114" w:name="ref-graham_towards_2015"/>
    <w:p>
      <w:pPr>
        <w:pStyle w:val="Bibliography"/>
      </w:pPr>
      <w:r>
        <w:t xml:space="preserve">Graham, Mark, Stefano De Sabbata, and Matthew A. Zook. 2015.</w:t>
      </w:r>
      <w:r>
        <w:t xml:space="preserve"> </w:t>
      </w:r>
      <w:r>
        <w:t xml:space="preserve">“Towards a Study of Information Geographies: (Im)mutable Augmentations and a Mapping of the Geographies of Information.”</w:t>
      </w:r>
      <w:r>
        <w:t xml:space="preserve"> </w:t>
      </w:r>
      <w:r>
        <w:rPr>
          <w:iCs/>
          <w:i/>
        </w:rPr>
        <w:t xml:space="preserve">Geo: Geography and Environment</w:t>
      </w:r>
      <w:r>
        <w:t xml:space="preserve"> </w:t>
      </w:r>
      <w:r>
        <w:t xml:space="preserve">2 (1): 88–105.</w:t>
      </w:r>
      <w:r>
        <w:t xml:space="preserve"> </w:t>
      </w:r>
      <w:hyperlink r:id="rId113">
        <w:r>
          <w:rPr>
            <w:rStyle w:val="Hyperlink"/>
          </w:rPr>
          <w:t xml:space="preserve">https://doi.org/10.1002/geo2.8</w:t>
        </w:r>
      </w:hyperlink>
      <w:r>
        <w:t xml:space="preserve">.</w:t>
      </w:r>
    </w:p>
    <w:bookmarkEnd w:id="114"/>
    <w:bookmarkStart w:id="115" w:name="ref-haklay_why_2016"/>
    <w:p>
      <w:pPr>
        <w:pStyle w:val="Bibliography"/>
      </w:pPr>
      <w:r>
        <w:t xml:space="preserve">Haklay, Mordechai (Muki). 2016.</w:t>
      </w:r>
      <w:r>
        <w:t xml:space="preserve"> </w:t>
      </w:r>
      <w:r>
        <w:t xml:space="preserve">“Why Is Participation Inequality Important?”</w:t>
      </w:r>
      <w:r>
        <w:t xml:space="preserve"> In</w:t>
      </w:r>
      <w:r>
        <w:t xml:space="preserve"> </w:t>
      </w:r>
      <w:r>
        <w:rPr>
          <w:iCs/>
          <w:i/>
        </w:rPr>
        <w:t xml:space="preserve">European</w:t>
      </w:r>
      <w:r>
        <w:rPr>
          <w:iCs/>
          <w:i/>
        </w:rPr>
        <w:t xml:space="preserve"> </w:t>
      </w:r>
      <w:r>
        <w:rPr>
          <w:iCs/>
          <w:i/>
        </w:rPr>
        <w:t xml:space="preserve">Handbook</w:t>
      </w:r>
      <w:r>
        <w:rPr>
          <w:iCs/>
          <w:i/>
        </w:rPr>
        <w:t xml:space="preserve"> </w:t>
      </w:r>
      <w:r>
        <w:rPr>
          <w:iCs/>
          <w:i/>
        </w:rPr>
        <w:t xml:space="preserve">of</w:t>
      </w:r>
      <w:r>
        <w:rPr>
          <w:iCs/>
          <w:i/>
        </w:rPr>
        <w:t xml:space="preserve"> </w:t>
      </w:r>
      <w:r>
        <w:rPr>
          <w:iCs/>
          <w:i/>
        </w:rPr>
        <w:t xml:space="preserve">Crowdsourced</w:t>
      </w:r>
      <w:r>
        <w:rPr>
          <w:iCs/>
          <w:i/>
        </w:rPr>
        <w:t xml:space="preserve"> </w:t>
      </w:r>
      <w:r>
        <w:rPr>
          <w:iCs/>
          <w:i/>
        </w:rPr>
        <w:t xml:space="preserve">Geographic</w:t>
      </w:r>
      <w:r>
        <w:rPr>
          <w:iCs/>
          <w:i/>
        </w:rPr>
        <w:t xml:space="preserve"> </w:t>
      </w:r>
      <w:r>
        <w:rPr>
          <w:iCs/>
          <w:i/>
        </w:rPr>
        <w:t xml:space="preserve">Information</w:t>
      </w:r>
      <w:r>
        <w:t xml:space="preserve">, Cristina Capineri, Muki Haklay, H Huang, Vyron Antoniou, J Kettunen, F Ostermann, and R Purve, 35–44. London: Ubiquity Press.</w:t>
      </w:r>
    </w:p>
    <w:bookmarkEnd w:id="115"/>
    <w:bookmarkStart w:id="117" w:name="ref-halavais_analysis_2008"/>
    <w:p>
      <w:pPr>
        <w:pStyle w:val="Bibliography"/>
      </w:pPr>
      <w:r>
        <w:t xml:space="preserve">Halavais, Alexander, and Derek Lackaff. 2008.</w:t>
      </w:r>
      <w:r>
        <w:t xml:space="preserve"> </w:t>
      </w:r>
      <w:r>
        <w:t xml:space="preserve">“An</w:t>
      </w:r>
      <w:r>
        <w:t xml:space="preserve"> </w:t>
      </w:r>
      <w:r>
        <w:t xml:space="preserve">Analysis</w:t>
      </w:r>
      <w:r>
        <w:t xml:space="preserve"> </w:t>
      </w:r>
      <w:r>
        <w:t xml:space="preserve">of</w:t>
      </w:r>
      <w:r>
        <w:t xml:space="preserve"> </w:t>
      </w:r>
      <w:r>
        <w:t xml:space="preserve">Topical</w:t>
      </w:r>
      <w:r>
        <w:t xml:space="preserve"> </w:t>
      </w:r>
      <w:r>
        <w:t xml:space="preserve">Coverage</w:t>
      </w:r>
      <w:r>
        <w:t xml:space="preserve"> </w:t>
      </w:r>
      <w:r>
        <w:t xml:space="preserve">of</w:t>
      </w:r>
      <w:r>
        <w:t xml:space="preserve"> </w:t>
      </w:r>
      <w:r>
        <w:t xml:space="preserve">Wikipedia</w:t>
      </w:r>
      <w:r>
        <w:t xml:space="preserve">.”</w:t>
      </w:r>
      <w:r>
        <w:t xml:space="preserve"> </w:t>
      </w:r>
      <w:r>
        <w:rPr>
          <w:iCs/>
          <w:i/>
        </w:rPr>
        <w:t xml:space="preserve">Journal of Computer-Mediated Communication</w:t>
      </w:r>
      <w:r>
        <w:t xml:space="preserve"> </w:t>
      </w:r>
      <w:r>
        <w:t xml:space="preserve">13 (2): 429–40.</w:t>
      </w:r>
      <w:r>
        <w:t xml:space="preserve"> </w:t>
      </w:r>
      <w:hyperlink r:id="rId116">
        <w:r>
          <w:rPr>
            <w:rStyle w:val="Hyperlink"/>
          </w:rPr>
          <w:t xml:space="preserve">https://doi.org/10.1111/j.1083-6101.2008.00403.x</w:t>
        </w:r>
      </w:hyperlink>
      <w:r>
        <w:t xml:space="preserve">.</w:t>
      </w:r>
    </w:p>
    <w:bookmarkEnd w:id="117"/>
    <w:bookmarkStart w:id="119" w:name="ref-herfort_evolution_2021"/>
    <w:p>
      <w:pPr>
        <w:pStyle w:val="Bibliography"/>
      </w:pPr>
      <w:r>
        <w:t xml:space="preserve">Herfort, Benjamin, Sven Lautenbach, João Porto De Albuquerque, Jennings Anderson, and Alexander Zipf. 2021.</w:t>
      </w:r>
      <w:r>
        <w:t xml:space="preserve"> </w:t>
      </w:r>
      <w:r>
        <w:t xml:space="preserve">“The Evolution of Humanitarian Mapping Within the</w:t>
      </w:r>
      <w:r>
        <w:t xml:space="preserve"> </w:t>
      </w:r>
      <w:r>
        <w:t xml:space="preserve">OpenStreetMap</w:t>
      </w:r>
      <w:r>
        <w:t xml:space="preserve"> </w:t>
      </w:r>
      <w:r>
        <w:t xml:space="preserve">Community.”</w:t>
      </w:r>
      <w:r>
        <w:t xml:space="preserve"> </w:t>
      </w:r>
      <w:r>
        <w:rPr>
          <w:iCs/>
          <w:i/>
        </w:rPr>
        <w:t xml:space="preserve">Scientific Reports</w:t>
      </w:r>
      <w:r>
        <w:t xml:space="preserve"> </w:t>
      </w:r>
      <w:r>
        <w:t xml:space="preserve">11 (1): 3037.</w:t>
      </w:r>
      <w:r>
        <w:t xml:space="preserve"> </w:t>
      </w:r>
      <w:hyperlink r:id="rId118">
        <w:r>
          <w:rPr>
            <w:rStyle w:val="Hyperlink"/>
          </w:rPr>
          <w:t xml:space="preserve">https://doi.org/10.1038/s41598-021-82404-z</w:t>
        </w:r>
      </w:hyperlink>
      <w:r>
        <w:t xml:space="preserve">.</w:t>
      </w:r>
    </w:p>
    <w:bookmarkEnd w:id="119"/>
    <w:bookmarkStart w:id="121" w:name="ref-hu_flood-induced_2018"/>
    <w:p>
      <w:pPr>
        <w:pStyle w:val="Bibliography"/>
      </w:pPr>
      <w:r>
        <w:t xml:space="preserve">Hu, Pan, Qiang Zhang, Peijun Shi, Bo Chen, and Jiayi Fang. 2018.</w:t>
      </w:r>
      <w:r>
        <w:t xml:space="preserve"> </w:t>
      </w:r>
      <w:r>
        <w:t xml:space="preserve">“Flood-Induced Mortality Across the Globe:</w:t>
      </w:r>
      <w:r>
        <w:t xml:space="preserve"> </w:t>
      </w:r>
      <w:r>
        <w:t xml:space="preserve">Spatiotemporal</w:t>
      </w:r>
      <w:r>
        <w:t xml:space="preserve"> </w:t>
      </w:r>
      <w:r>
        <w:t xml:space="preserve">Pattern and Influencing Factors.”</w:t>
      </w:r>
      <w:r>
        <w:t xml:space="preserve"> </w:t>
      </w:r>
      <w:r>
        <w:rPr>
          <w:iCs/>
          <w:i/>
        </w:rPr>
        <w:t xml:space="preserve">Science of The Total Environment</w:t>
      </w:r>
      <w:r>
        <w:t xml:space="preserve"> </w:t>
      </w:r>
      <w:r>
        <w:t xml:space="preserve">643 (December): 171–82.</w:t>
      </w:r>
      <w:r>
        <w:t xml:space="preserve"> </w:t>
      </w:r>
      <w:hyperlink r:id="rId120">
        <w:r>
          <w:rPr>
            <w:rStyle w:val="Hyperlink"/>
          </w:rPr>
          <w:t xml:space="preserve">https://doi.org/10.1016/j.scitotenv.2018.06.197</w:t>
        </w:r>
      </w:hyperlink>
      <w:r>
        <w:t xml:space="preserve">.</w:t>
      </w:r>
    </w:p>
    <w:bookmarkEnd w:id="121"/>
    <w:bookmarkStart w:id="123" w:name="ref-iba_analyzing_2010"/>
    <w:p>
      <w:pPr>
        <w:pStyle w:val="Bibliography"/>
      </w:pPr>
      <w:r>
        <w:t xml:space="preserve">Iba, Takashi, Keiichi Nemoto, Bernd Peters, and Peter A. Gloor. 2010.</w:t>
      </w:r>
      <w:r>
        <w:t xml:space="preserve"> </w:t>
      </w:r>
      <w:r>
        <w:t xml:space="preserve">“Analyzing the</w:t>
      </w:r>
      <w:r>
        <w:t xml:space="preserve"> </w:t>
      </w:r>
      <w:r>
        <w:t xml:space="preserve">Creative</w:t>
      </w:r>
      <w:r>
        <w:t xml:space="preserve"> </w:t>
      </w:r>
      <w:r>
        <w:t xml:space="preserve">Editing</w:t>
      </w:r>
      <w:r>
        <w:t xml:space="preserve"> </w:t>
      </w:r>
      <w:r>
        <w:t xml:space="preserve">Behavior</w:t>
      </w:r>
      <w:r>
        <w:t xml:space="preserve"> </w:t>
      </w:r>
      <w:r>
        <w:t xml:space="preserve">of</w:t>
      </w:r>
      <w:r>
        <w:t xml:space="preserve"> </w:t>
      </w:r>
      <w:r>
        <w:t xml:space="preserve">Wikipedia</w:t>
      </w:r>
      <w:r>
        <w:t xml:space="preserve"> </w:t>
      </w:r>
      <w:r>
        <w:t xml:space="preserve">Editors</w:t>
      </w:r>
      <w:r>
        <w:t xml:space="preserve">.”</w:t>
      </w:r>
      <w:r>
        <w:t xml:space="preserve"> </w:t>
      </w:r>
      <w:r>
        <w:rPr>
          <w:iCs/>
          <w:i/>
        </w:rPr>
        <w:t xml:space="preserve">Procedia - Social and Behavioral Sciences</w:t>
      </w:r>
      <w:r>
        <w:t xml:space="preserve"> </w:t>
      </w:r>
      <w:r>
        <w:t xml:space="preserve">2 (4): 6441–56.</w:t>
      </w:r>
      <w:r>
        <w:t xml:space="preserve"> </w:t>
      </w:r>
      <w:hyperlink r:id="rId122">
        <w:r>
          <w:rPr>
            <w:rStyle w:val="Hyperlink"/>
          </w:rPr>
          <w:t xml:space="preserve">https://doi.org/10.1016/j.sbspro.2010.04.054</w:t>
        </w:r>
      </w:hyperlink>
      <w:r>
        <w:t xml:space="preserve">.</w:t>
      </w:r>
    </w:p>
    <w:bookmarkEnd w:id="123"/>
    <w:bookmarkStart w:id="125" w:name="ref-iwan_polyglotr_2024"/>
    <w:p>
      <w:pPr>
        <w:pStyle w:val="Bibliography"/>
      </w:pPr>
      <w:r>
        <w:t xml:space="preserve">Iwan, Tomer. 2024.</w:t>
      </w:r>
      <w:r>
        <w:t xml:space="preserve"> </w:t>
      </w:r>
      <w:r>
        <w:rPr>
          <w:iCs/>
          <w:i/>
        </w:rPr>
        <w:t xml:space="preserve">Polyglotr:</w:t>
      </w:r>
      <w:r>
        <w:rPr>
          <w:iCs/>
          <w:i/>
        </w:rPr>
        <w:t xml:space="preserve"> </w:t>
      </w:r>
      <w:r>
        <w:rPr>
          <w:iCs/>
          <w:i/>
        </w:rPr>
        <w:t xml:space="preserve">Translate</w:t>
      </w:r>
      <w:r>
        <w:rPr>
          <w:iCs/>
          <w:i/>
        </w:rPr>
        <w:t xml:space="preserve"> </w:t>
      </w:r>
      <w:r>
        <w:rPr>
          <w:iCs/>
          <w:i/>
        </w:rPr>
        <w:t xml:space="preserve">Text</w:t>
      </w:r>
      <w:r>
        <w:t xml:space="preserve">.</w:t>
      </w:r>
      <w:r>
        <w:t xml:space="preserve"> </w:t>
      </w:r>
      <w:hyperlink r:id="rId124">
        <w:r>
          <w:rPr>
            <w:rStyle w:val="Hyperlink"/>
          </w:rPr>
          <w:t xml:space="preserve">https://github.com/Tomeriko96/polyglotr/</w:t>
        </w:r>
      </w:hyperlink>
      <w:r>
        <w:t xml:space="preserve">.</w:t>
      </w:r>
    </w:p>
    <w:bookmarkEnd w:id="125"/>
    <w:bookmarkStart w:id="127" w:name="ref-keegan_hot_2013"/>
    <w:p>
      <w:pPr>
        <w:pStyle w:val="Bibliography"/>
      </w:pPr>
      <w:r>
        <w:t xml:space="preserve">Keegan, Brian, Darren Gergle, and Noshir Contractor. 2013.</w:t>
      </w:r>
      <w:r>
        <w:t xml:space="preserve"> </w:t>
      </w:r>
      <w:r>
        <w:t xml:space="preserve">“Hot</w:t>
      </w:r>
      <w:r>
        <w:t xml:space="preserve"> </w:t>
      </w:r>
      <w:r>
        <w:t xml:space="preserve">Off</w:t>
      </w:r>
      <w:r>
        <w:t xml:space="preserve"> </w:t>
      </w:r>
      <w:r>
        <w:t xml:space="preserve">the</w:t>
      </w:r>
      <w:r>
        <w:t xml:space="preserve"> </w:t>
      </w:r>
      <w:r>
        <w:t xml:space="preserve">Wiki</w:t>
      </w:r>
      <w:r>
        <w:t xml:space="preserve">:</w:t>
      </w:r>
      <w:r>
        <w:t xml:space="preserve"> </w:t>
      </w:r>
      <w:r>
        <w:t xml:space="preserve">Structures</w:t>
      </w:r>
      <w:r>
        <w:t xml:space="preserve"> </w:t>
      </w:r>
      <w:r>
        <w:t xml:space="preserve">and</w:t>
      </w:r>
      <w:r>
        <w:t xml:space="preserve"> </w:t>
      </w:r>
      <w:r>
        <w:t xml:space="preserve">Dynamics</w:t>
      </w:r>
      <w:r>
        <w:t xml:space="preserve"> </w:t>
      </w:r>
      <w:r>
        <w:t xml:space="preserve">of</w:t>
      </w:r>
      <w:r>
        <w:t xml:space="preserve"> </w:t>
      </w:r>
      <w:r>
        <w:t xml:space="preserve">Wikipedia</w:t>
      </w:r>
      <w:r>
        <w:t xml:space="preserve">’s</w:t>
      </w:r>
      <w:r>
        <w:t xml:space="preserve"> </w:t>
      </w:r>
      <w:r>
        <w:t xml:space="preserve">Coverage</w:t>
      </w:r>
      <w:r>
        <w:t xml:space="preserve"> </w:t>
      </w:r>
      <w:r>
        <w:t xml:space="preserve">of</w:t>
      </w:r>
      <w:r>
        <w:t xml:space="preserve"> </w:t>
      </w:r>
      <w:r>
        <w:t xml:space="preserve">Breaking</w:t>
      </w:r>
      <w:r>
        <w:t xml:space="preserve"> </w:t>
      </w:r>
      <w:r>
        <w:t xml:space="preserve">News</w:t>
      </w:r>
      <w:r>
        <w:t xml:space="preserve"> </w:t>
      </w:r>
      <w:r>
        <w:t xml:space="preserve">Events</w:t>
      </w:r>
      <w:r>
        <w:t xml:space="preserve">.”</w:t>
      </w:r>
      <w:r>
        <w:t xml:space="preserve"> </w:t>
      </w:r>
      <w:r>
        <w:rPr>
          <w:iCs/>
          <w:i/>
        </w:rPr>
        <w:t xml:space="preserve">American Behavioral Scientist</w:t>
      </w:r>
      <w:r>
        <w:t xml:space="preserve"> </w:t>
      </w:r>
      <w:r>
        <w:t xml:space="preserve">57 (5): 595–622.</w:t>
      </w:r>
      <w:r>
        <w:t xml:space="preserve"> </w:t>
      </w:r>
      <w:hyperlink r:id="rId126">
        <w:r>
          <w:rPr>
            <w:rStyle w:val="Hyperlink"/>
          </w:rPr>
          <w:t xml:space="preserve">https://doi.org/10.1177/0002764212469367</w:t>
        </w:r>
      </w:hyperlink>
      <w:r>
        <w:t xml:space="preserve">.</w:t>
      </w:r>
    </w:p>
    <w:bookmarkEnd w:id="127"/>
    <w:bookmarkStart w:id="129" w:name="ref-kundzewicz_large_2013"/>
    <w:p>
      <w:pPr>
        <w:pStyle w:val="Bibliography"/>
      </w:pPr>
      <w:r>
        <w:t xml:space="preserve">Kundzewicz, Zbigniew W., Iwona Pińskwar, and G. Robert Brakenridge. 2013.</w:t>
      </w:r>
      <w:r>
        <w:t xml:space="preserve"> </w:t>
      </w:r>
      <w:r>
        <w:t xml:space="preserve">“Large Floods in</w:t>
      </w:r>
      <w:r>
        <w:t xml:space="preserve"> </w:t>
      </w:r>
      <w:r>
        <w:t xml:space="preserve">Europe</w:t>
      </w:r>
      <w:r>
        <w:t xml:space="preserve">, 1985–2009.”</w:t>
      </w:r>
      <w:r>
        <w:t xml:space="preserve"> </w:t>
      </w:r>
      <w:r>
        <w:rPr>
          <w:iCs/>
          <w:i/>
        </w:rPr>
        <w:t xml:space="preserve">Hydrological Sciences Journal</w:t>
      </w:r>
      <w:r>
        <w:t xml:space="preserve"> </w:t>
      </w:r>
      <w:r>
        <w:t xml:space="preserve">58 (1): 1–7.</w:t>
      </w:r>
      <w:r>
        <w:t xml:space="preserve"> </w:t>
      </w:r>
      <w:hyperlink r:id="rId128">
        <w:r>
          <w:rPr>
            <w:rStyle w:val="Hyperlink"/>
          </w:rPr>
          <w:t xml:space="preserve">https://doi.org/10.1080/02626667.2012.745082</w:t>
        </w:r>
      </w:hyperlink>
      <w:r>
        <w:t xml:space="preserve">.</w:t>
      </w:r>
    </w:p>
    <w:bookmarkEnd w:id="129"/>
    <w:bookmarkStart w:id="131" w:name="ref-lafon_pierre_sur_1980"/>
    <w:p>
      <w:pPr>
        <w:pStyle w:val="Bibliography"/>
      </w:pPr>
      <w:r>
        <w:t xml:space="preserve">Lafon, Pierre. 1980.</w:t>
      </w:r>
      <w:r>
        <w:t xml:space="preserve"> </w:t>
      </w:r>
      <w:r>
        <w:t xml:space="preserve">“Sur La Variabilité de La Fréquence Des Formes Dans Un Corpus.”</w:t>
      </w:r>
      <w:r>
        <w:t xml:space="preserve"> </w:t>
      </w:r>
      <w:r>
        <w:rPr>
          <w:iCs/>
          <w:i/>
        </w:rPr>
        <w:t xml:space="preserve">Mots</w:t>
      </w:r>
      <w:r>
        <w:t xml:space="preserve"> </w:t>
      </w:r>
      <w:r>
        <w:t xml:space="preserve">1 (1): 127–65.</w:t>
      </w:r>
      <w:r>
        <w:t xml:space="preserve"> </w:t>
      </w:r>
      <w:hyperlink r:id="rId130">
        <w:r>
          <w:rPr>
            <w:rStyle w:val="Hyperlink"/>
          </w:rPr>
          <w:t xml:space="preserve">https://doi.org/10.3406/mots.1980.1008</w:t>
        </w:r>
      </w:hyperlink>
      <w:r>
        <w:t xml:space="preserve">.</w:t>
      </w:r>
    </w:p>
    <w:bookmarkEnd w:id="131"/>
    <w:bookmarkStart w:id="133" w:name="ref-loiseau_textometry_2022"/>
    <w:p>
      <w:pPr>
        <w:pStyle w:val="Bibliography"/>
      </w:pPr>
      <w:r>
        <w:t xml:space="preserve">Loiseau, Sylvain, Lise Vaudor, Matthieu Decorde, and Serge Heiden. 2022.</w:t>
      </w:r>
      <w:r>
        <w:t xml:space="preserve"> </w:t>
      </w:r>
      <w:r>
        <w:rPr>
          <w:iCs/>
          <w:i/>
        </w:rPr>
        <w:t xml:space="preserve">Textometry:</w:t>
      </w:r>
      <w:r>
        <w:rPr>
          <w:iCs/>
          <w:i/>
        </w:rPr>
        <w:t xml:space="preserve"> </w:t>
      </w:r>
      <w:r>
        <w:rPr>
          <w:iCs/>
          <w:i/>
        </w:rPr>
        <w:t xml:space="preserve">Textual</w:t>
      </w:r>
      <w:r>
        <w:rPr>
          <w:iCs/>
          <w:i/>
        </w:rPr>
        <w:t xml:space="preserve"> </w:t>
      </w:r>
      <w:r>
        <w:rPr>
          <w:iCs/>
          <w:i/>
        </w:rPr>
        <w:t xml:space="preserve">Data</w:t>
      </w:r>
      <w:r>
        <w:rPr>
          <w:iCs/>
          <w:i/>
        </w:rPr>
        <w:t xml:space="preserve"> </w:t>
      </w:r>
      <w:r>
        <w:rPr>
          <w:iCs/>
          <w:i/>
        </w:rPr>
        <w:t xml:space="preserve">Analysis</w:t>
      </w:r>
      <w:r>
        <w:rPr>
          <w:iCs/>
          <w:i/>
        </w:rPr>
        <w:t xml:space="preserve"> </w:t>
      </w:r>
      <w:r>
        <w:rPr>
          <w:iCs/>
          <w:i/>
        </w:rPr>
        <w:t xml:space="preserve">Package</w:t>
      </w:r>
      <w:r>
        <w:rPr>
          <w:iCs/>
          <w:i/>
        </w:rPr>
        <w:t xml:space="preserve"> </w:t>
      </w:r>
      <w:r>
        <w:rPr>
          <w:iCs/>
          <w:i/>
        </w:rPr>
        <w:t xml:space="preserve">Used</w:t>
      </w:r>
      <w:r>
        <w:rPr>
          <w:iCs/>
          <w:i/>
        </w:rPr>
        <w:t xml:space="preserve"> </w:t>
      </w:r>
      <w:r>
        <w:rPr>
          <w:iCs/>
          <w:i/>
        </w:rPr>
        <w:t xml:space="preserve">by the</w:t>
      </w:r>
      <w:r>
        <w:rPr>
          <w:iCs/>
          <w:i/>
        </w:rPr>
        <w:t xml:space="preserve"> </w:t>
      </w:r>
      <w:r>
        <w:rPr>
          <w:iCs/>
          <w:i/>
        </w:rPr>
        <w:t xml:space="preserve">TXM</w:t>
      </w:r>
      <w:r>
        <w:rPr>
          <w:iCs/>
          <w:i/>
        </w:rPr>
        <w:t xml:space="preserve"> </w:t>
      </w:r>
      <w:r>
        <w:rPr>
          <w:iCs/>
          <w:i/>
        </w:rPr>
        <w:t xml:space="preserve">Software</w:t>
      </w:r>
      <w:r>
        <w:t xml:space="preserve">.</w:t>
      </w:r>
      <w:r>
        <w:t xml:space="preserve"> </w:t>
      </w:r>
      <w:hyperlink r:id="rId132">
        <w:r>
          <w:rPr>
            <w:rStyle w:val="Hyperlink"/>
          </w:rPr>
          <w:t xml:space="preserve">https://cran.r-project.org/web/packages/textometry/</w:t>
        </w:r>
      </w:hyperlink>
      <w:r>
        <w:t xml:space="preserve">.</w:t>
      </w:r>
    </w:p>
    <w:bookmarkEnd w:id="133"/>
    <w:bookmarkStart w:id="135" w:name="ref-lorini_uneven_2020"/>
    <w:p>
      <w:pPr>
        <w:pStyle w:val="Bibliography"/>
      </w:pPr>
      <w:r>
        <w:t xml:space="preserve">Lorini, Valerio, Javier Rando, Diego Saez-Trumper, and Carlos Castillo. 2020.</w:t>
      </w:r>
      <w:r>
        <w:t xml:space="preserve"> </w:t>
      </w:r>
      <w:r>
        <w:t xml:space="preserve">“Uneven</w:t>
      </w:r>
      <w:r>
        <w:t xml:space="preserve"> </w:t>
      </w:r>
      <w:r>
        <w:t xml:space="preserve">Coverage</w:t>
      </w:r>
      <w:r>
        <w:t xml:space="preserve"> </w:t>
      </w:r>
      <w:r>
        <w:t xml:space="preserve">of</w:t>
      </w:r>
      <w:r>
        <w:t xml:space="preserve"> </w:t>
      </w:r>
      <w:r>
        <w:t xml:space="preserve">Natural</w:t>
      </w:r>
      <w:r>
        <w:t xml:space="preserve"> </w:t>
      </w:r>
      <w:r>
        <w:t xml:space="preserve">Disasters</w:t>
      </w:r>
      <w:r>
        <w:t xml:space="preserve"> </w:t>
      </w:r>
      <w:r>
        <w:t xml:space="preserve">in</w:t>
      </w:r>
      <w:r>
        <w:t xml:space="preserve"> </w:t>
      </w:r>
      <w:r>
        <w:t xml:space="preserve">Wikipedia</w:t>
      </w:r>
      <w:r>
        <w:t xml:space="preserve">: The</w:t>
      </w:r>
      <w:r>
        <w:t xml:space="preserve"> </w:t>
      </w:r>
      <w:r>
        <w:t xml:space="preserve">Case</w:t>
      </w:r>
      <w:r>
        <w:t xml:space="preserve"> </w:t>
      </w:r>
      <w:r>
        <w:t xml:space="preserve">of</w:t>
      </w:r>
      <w:r>
        <w:t xml:space="preserve"> </w:t>
      </w:r>
      <w:r>
        <w:t xml:space="preserve">Flood</w:t>
      </w:r>
      <w:r>
        <w:t xml:space="preserve">.”</w:t>
      </w:r>
      <w:r>
        <w:t xml:space="preserve"> </w:t>
      </w:r>
      <w:hyperlink r:id="rId134">
        <w:r>
          <w:rPr>
            <w:rStyle w:val="Hyperlink"/>
          </w:rPr>
          <w:t xml:space="preserve">https://doi.org/10.48550/ARXIV.2001.08810</w:t>
        </w:r>
      </w:hyperlink>
      <w:r>
        <w:t xml:space="preserve">.</w:t>
      </w:r>
    </w:p>
    <w:bookmarkEnd w:id="135"/>
    <w:bookmarkStart w:id="137" w:name="ref-jokar_arsanjani_impact_2015"/>
    <w:p>
      <w:pPr>
        <w:pStyle w:val="Bibliography"/>
      </w:pPr>
      <w:r>
        <w:t xml:space="preserve">Mashhadi, Afra, Giovanni Quattrone, and Licia Capra. 2015.</w:t>
      </w:r>
      <w:r>
        <w:t xml:space="preserve"> </w:t>
      </w:r>
      <w:r>
        <w:t xml:space="preserve">“The</w:t>
      </w:r>
      <w:r>
        <w:t xml:space="preserve"> </w:t>
      </w:r>
      <w:r>
        <w:t xml:space="preserve">Impact</w:t>
      </w:r>
      <w:r>
        <w:t xml:space="preserve"> </w:t>
      </w:r>
      <w:r>
        <w:t xml:space="preserve">of</w:t>
      </w:r>
      <w:r>
        <w:t xml:space="preserve"> </w:t>
      </w:r>
      <w:r>
        <w:t xml:space="preserve">Society</w:t>
      </w:r>
      <w:r>
        <w:t xml:space="preserve"> </w:t>
      </w:r>
      <w:r>
        <w:t xml:space="preserve">on</w:t>
      </w:r>
      <w:r>
        <w:t xml:space="preserve"> </w:t>
      </w:r>
      <w:r>
        <w:t xml:space="preserve">Volunteered</w:t>
      </w:r>
      <w:r>
        <w:t xml:space="preserve"> </w:t>
      </w:r>
      <w:r>
        <w:t xml:space="preserve">Geographic</w:t>
      </w:r>
      <w:r>
        <w:t xml:space="preserve"> </w:t>
      </w:r>
      <w:r>
        <w:t xml:space="preserve">Information</w:t>
      </w:r>
      <w:r>
        <w:t xml:space="preserve">:</w:t>
      </w:r>
      <w:r>
        <w:t xml:space="preserve"> </w:t>
      </w:r>
      <w:r>
        <w:t xml:space="preserve">The</w:t>
      </w:r>
      <w:r>
        <w:t xml:space="preserve"> </w:t>
      </w:r>
      <w:r>
        <w:t xml:space="preserve">Case</w:t>
      </w:r>
      <w:r>
        <w:t xml:space="preserve"> </w:t>
      </w:r>
      <w:r>
        <w:t xml:space="preserve">of</w:t>
      </w:r>
      <w:r>
        <w:t xml:space="preserve"> </w:t>
      </w:r>
      <w:r>
        <w:t xml:space="preserve">OpenStreetMap</w:t>
      </w:r>
      <w:r>
        <w:t xml:space="preserve">.”</w:t>
      </w:r>
      <w:r>
        <w:t xml:space="preserve"> </w:t>
      </w:r>
      <w:r>
        <w:t xml:space="preserve">In</w:t>
      </w:r>
      <w:r>
        <w:t xml:space="preserve"> </w:t>
      </w:r>
      <w:r>
        <w:rPr>
          <w:iCs/>
          <w:i/>
        </w:rPr>
        <w:t xml:space="preserve">OpenStreetMap</w:t>
      </w:r>
      <w:r>
        <w:rPr>
          <w:iCs/>
          <w:i/>
        </w:rPr>
        <w:t xml:space="preserve"> </w:t>
      </w:r>
      <w:r>
        <w:rPr>
          <w:iCs/>
          <w:i/>
        </w:rPr>
        <w:t xml:space="preserve">in</w:t>
      </w:r>
      <w:r>
        <w:rPr>
          <w:iCs/>
          <w:i/>
        </w:rPr>
        <w:t xml:space="preserve"> </w:t>
      </w:r>
      <w:r>
        <w:rPr>
          <w:iCs/>
          <w:i/>
        </w:rPr>
        <w:t xml:space="preserve">GIScience</w:t>
      </w:r>
      <w:r>
        <w:t xml:space="preserve">, edited by Jamal Jokar Arsanjani, Alexander Zipf, Peter Mooney, and Marco Helbich, 125–41. Cham: Springer International Publishing.</w:t>
      </w:r>
      <w:r>
        <w:t xml:space="preserve"> </w:t>
      </w:r>
      <w:hyperlink r:id="rId136">
        <w:r>
          <w:rPr>
            <w:rStyle w:val="Hyperlink"/>
          </w:rPr>
          <w:t xml:space="preserve">https://doi.org/10.1007/978-3-319-14280-7_7</w:t>
        </w:r>
      </w:hyperlink>
      <w:r>
        <w:t xml:space="preserve">.</w:t>
      </w:r>
    </w:p>
    <w:bookmarkEnd w:id="137"/>
    <w:bookmarkStart w:id="139" w:name="ref-mittermeier_using_2021"/>
    <w:p>
      <w:pPr>
        <w:pStyle w:val="Bibliography"/>
      </w:pPr>
      <w:r>
        <w:t xml:space="preserve">Mittermeier, John C., Ricardo Correia, Rich Grenyer, Tuuli Toivonen, and Uri Roll. 2021.</w:t>
      </w:r>
      <w:r>
        <w:t xml:space="preserve"> </w:t>
      </w:r>
      <w:r>
        <w:t xml:space="preserve">“Using</w:t>
      </w:r>
      <w:r>
        <w:t xml:space="preserve"> </w:t>
      </w:r>
      <w:r>
        <w:t xml:space="preserve">Wikipedia</w:t>
      </w:r>
      <w:r>
        <w:t xml:space="preserve"> </w:t>
      </w:r>
      <w:r>
        <w:t xml:space="preserve">to Measure Public Interest in Biodiversity and Conservation.”</w:t>
      </w:r>
      <w:r>
        <w:t xml:space="preserve"> </w:t>
      </w:r>
      <w:r>
        <w:rPr>
          <w:iCs/>
          <w:i/>
        </w:rPr>
        <w:t xml:space="preserve">Conservation Biology</w:t>
      </w:r>
      <w:r>
        <w:t xml:space="preserve"> </w:t>
      </w:r>
      <w:r>
        <w:t xml:space="preserve">35 (2): 412–23.</w:t>
      </w:r>
      <w:r>
        <w:t xml:space="preserve"> </w:t>
      </w:r>
      <w:hyperlink r:id="rId138">
        <w:r>
          <w:rPr>
            <w:rStyle w:val="Hyperlink"/>
          </w:rPr>
          <w:t xml:space="preserve">https://doi.org/10.1111/cobi.13702</w:t>
        </w:r>
      </w:hyperlink>
      <w:r>
        <w:t xml:space="preserve">.</w:t>
      </w:r>
    </w:p>
    <w:bookmarkEnd w:id="139"/>
    <w:bookmarkStart w:id="141" w:name="ref-moats_following_2019"/>
    <w:p>
      <w:pPr>
        <w:pStyle w:val="Bibliography"/>
      </w:pPr>
      <w:r>
        <w:t xml:space="preserve">Moats, David. 2019.</w:t>
      </w:r>
      <w:r>
        <w:t xml:space="preserve"> </w:t>
      </w:r>
      <w:r>
        <w:t xml:space="preserve">“Following the</w:t>
      </w:r>
      <w:r>
        <w:t xml:space="preserve"> </w:t>
      </w:r>
      <w:r>
        <w:t xml:space="preserve">Fukushima</w:t>
      </w:r>
      <w:r>
        <w:t xml:space="preserve"> </w:t>
      </w:r>
      <w:r>
        <w:t xml:space="preserve">Disaster</w:t>
      </w:r>
      <w:r>
        <w:t xml:space="preserve"> </w:t>
      </w:r>
      <w:r>
        <w:t xml:space="preserve">on (and Against)</w:t>
      </w:r>
      <w:r>
        <w:t xml:space="preserve"> </w:t>
      </w:r>
      <w:r>
        <w:t xml:space="preserve">Wikipedia</w:t>
      </w:r>
      <w:r>
        <w:t xml:space="preserve">:</w:t>
      </w:r>
      <w:r>
        <w:t xml:space="preserve"> </w:t>
      </w:r>
      <w:r>
        <w:t xml:space="preserve">A</w:t>
      </w:r>
      <w:r>
        <w:t xml:space="preserve"> </w:t>
      </w:r>
      <w:r>
        <w:t xml:space="preserve">Methodological</w:t>
      </w:r>
      <w:r>
        <w:t xml:space="preserve"> </w:t>
      </w:r>
      <w:r>
        <w:t xml:space="preserve">Note</w:t>
      </w:r>
      <w:r>
        <w:t xml:space="preserve"> </w:t>
      </w:r>
      <w:r>
        <w:t xml:space="preserve">about</w:t>
      </w:r>
      <w:r>
        <w:t xml:space="preserve"> </w:t>
      </w:r>
      <w:r>
        <w:t xml:space="preserve">STS</w:t>
      </w:r>
      <w:r>
        <w:t xml:space="preserve"> </w:t>
      </w:r>
      <w:r>
        <w:t xml:space="preserve">Research</w:t>
      </w:r>
      <w:r>
        <w:t xml:space="preserve"> </w:t>
      </w:r>
      <w:r>
        <w:t xml:space="preserve">and</w:t>
      </w:r>
      <w:r>
        <w:t xml:space="preserve"> </w:t>
      </w:r>
      <w:r>
        <w:t xml:space="preserve">Online</w:t>
      </w:r>
      <w:r>
        <w:t xml:space="preserve"> </w:t>
      </w:r>
      <w:r>
        <w:t xml:space="preserve">Platforms</w:t>
      </w:r>
      <w:r>
        <w:t xml:space="preserve">.”</w:t>
      </w:r>
      <w:r>
        <w:t xml:space="preserve"> </w:t>
      </w:r>
      <w:r>
        <w:rPr>
          <w:iCs/>
          <w:i/>
        </w:rPr>
        <w:t xml:space="preserve">Science, Technology, &amp; Human Values</w:t>
      </w:r>
      <w:r>
        <w:t xml:space="preserve"> </w:t>
      </w:r>
      <w:r>
        <w:t xml:space="preserve">44 (6): 938–64.</w:t>
      </w:r>
      <w:r>
        <w:t xml:space="preserve"> </w:t>
      </w:r>
      <w:hyperlink r:id="rId140">
        <w:r>
          <w:rPr>
            <w:rStyle w:val="Hyperlink"/>
          </w:rPr>
          <w:t xml:space="preserve">https://doi.org/10.1177/0162243918815234</w:t>
        </w:r>
      </w:hyperlink>
      <w:r>
        <w:t xml:space="preserve">.</w:t>
      </w:r>
    </w:p>
    <w:bookmarkEnd w:id="141"/>
    <w:bookmarkStart w:id="143" w:name="ref-najibi_recent_2018"/>
    <w:p>
      <w:pPr>
        <w:pStyle w:val="Bibliography"/>
      </w:pPr>
      <w:r>
        <w:t xml:space="preserve">Najibi, Nasser, and Naresh Devineni. 2018.</w:t>
      </w:r>
      <w:r>
        <w:t xml:space="preserve"> </w:t>
      </w:r>
      <w:r>
        <w:t xml:space="preserve">“Recent Trends in the Frequency and Duration of Global Floods.”</w:t>
      </w:r>
      <w:r>
        <w:t xml:space="preserve"> </w:t>
      </w:r>
      <w:r>
        <w:rPr>
          <w:iCs/>
          <w:i/>
        </w:rPr>
        <w:t xml:space="preserve">Earth System Dynamics</w:t>
      </w:r>
      <w:r>
        <w:t xml:space="preserve"> </w:t>
      </w:r>
      <w:r>
        <w:t xml:space="preserve">9 (2): 757–83.</w:t>
      </w:r>
      <w:r>
        <w:t xml:space="preserve"> </w:t>
      </w:r>
      <w:hyperlink r:id="rId142">
        <w:r>
          <w:rPr>
            <w:rStyle w:val="Hyperlink"/>
          </w:rPr>
          <w:t xml:space="preserve">https://doi.org/10.5194/esd-9-757-2018</w:t>
        </w:r>
      </w:hyperlink>
      <w:r>
        <w:t xml:space="preserve">.</w:t>
      </w:r>
    </w:p>
    <w:bookmarkEnd w:id="143"/>
    <w:bookmarkStart w:id="145" w:name="ref-mandiberg_4_2020"/>
    <w:p>
      <w:pPr>
        <w:pStyle w:val="Bibliography"/>
      </w:pPr>
      <w:r>
        <w:t xml:space="preserve">O’Reilly, Tim. 2020.</w:t>
      </w:r>
      <w:r>
        <w:t xml:space="preserve"> </w:t>
      </w:r>
      <w:r>
        <w:t xml:space="preserve">“4.</w:t>
      </w:r>
      <w:r>
        <w:t xml:space="preserve"> </w:t>
      </w:r>
      <w:r>
        <w:t xml:space="preserve">What</w:t>
      </w:r>
      <w:r>
        <w:t xml:space="preserve"> </w:t>
      </w:r>
      <w:r>
        <w:t xml:space="preserve">Is</w:t>
      </w:r>
      <w:r>
        <w:t xml:space="preserve"> </w:t>
      </w:r>
      <w:r>
        <w:t xml:space="preserve">Web</w:t>
      </w:r>
      <w:r>
        <w:t xml:space="preserve"> </w:t>
      </w:r>
      <w:r>
        <w:t xml:space="preserve">2.0:</w:t>
      </w:r>
      <w:r>
        <w:t xml:space="preserve"> </w:t>
      </w:r>
      <w:r>
        <w:t xml:space="preserve">Design</w:t>
      </w:r>
      <w:r>
        <w:t xml:space="preserve"> </w:t>
      </w:r>
      <w:r>
        <w:t xml:space="preserve">Patterns</w:t>
      </w:r>
      <w:r>
        <w:t xml:space="preserve"> </w:t>
      </w:r>
      <w:r>
        <w:t xml:space="preserve">and</w:t>
      </w:r>
      <w:r>
        <w:t xml:space="preserve"> </w:t>
      </w:r>
      <w:r>
        <w:t xml:space="preserve">Business</w:t>
      </w:r>
      <w:r>
        <w:t xml:space="preserve"> </w:t>
      </w:r>
      <w:r>
        <w:t xml:space="preserve">Models</w:t>
      </w:r>
      <w:r>
        <w:t xml:space="preserve"> </w:t>
      </w:r>
      <w:r>
        <w:t xml:space="preserve">for the</w:t>
      </w:r>
      <w:r>
        <w:t xml:space="preserve"> </w:t>
      </w:r>
      <w:r>
        <w:t xml:space="preserve">Next</w:t>
      </w:r>
      <w:r>
        <w:t xml:space="preserve"> </w:t>
      </w:r>
      <w:r>
        <w:t xml:space="preserve">Generation</w:t>
      </w:r>
      <w:r>
        <w:t xml:space="preserve"> </w:t>
      </w:r>
      <w:r>
        <w:t xml:space="preserve">of</w:t>
      </w:r>
      <w:r>
        <w:t xml:space="preserve"> </w:t>
      </w:r>
      <w:r>
        <w:t xml:space="preserve">Software</w:t>
      </w:r>
      <w:r>
        <w:t xml:space="preserve">.”</w:t>
      </w:r>
      <w:r>
        <w:t xml:space="preserve"> </w:t>
      </w:r>
      <w:r>
        <w:t xml:space="preserve">In</w:t>
      </w:r>
      <w:r>
        <w:t xml:space="preserve"> </w:t>
      </w:r>
      <w:r>
        <w:rPr>
          <w:iCs/>
          <w:i/>
        </w:rPr>
        <w:t xml:space="preserve">The</w:t>
      </w:r>
      <w:r>
        <w:rPr>
          <w:iCs/>
          <w:i/>
        </w:rPr>
        <w:t xml:space="preserve"> </w:t>
      </w:r>
      <w:r>
        <w:rPr>
          <w:iCs/>
          <w:i/>
        </w:rPr>
        <w:t xml:space="preserve">Social</w:t>
      </w:r>
      <w:r>
        <w:rPr>
          <w:iCs/>
          <w:i/>
        </w:rPr>
        <w:t xml:space="preserve"> </w:t>
      </w:r>
      <w:r>
        <w:rPr>
          <w:iCs/>
          <w:i/>
        </w:rPr>
        <w:t xml:space="preserve">Media</w:t>
      </w:r>
      <w:r>
        <w:rPr>
          <w:iCs/>
          <w:i/>
        </w:rPr>
        <w:t xml:space="preserve"> </w:t>
      </w:r>
      <w:r>
        <w:rPr>
          <w:iCs/>
          <w:i/>
        </w:rPr>
        <w:t xml:space="preserve">Reader</w:t>
      </w:r>
      <w:r>
        <w:t xml:space="preserve">, edited by Michael Mandiberg, 32–52. New York University Press.</w:t>
      </w:r>
      <w:r>
        <w:t xml:space="preserve"> </w:t>
      </w:r>
      <w:hyperlink r:id="rId144">
        <w:r>
          <w:rPr>
            <w:rStyle w:val="Hyperlink"/>
          </w:rPr>
          <w:t xml:space="preserve">https://doi.org/10.18574/nyu/9780814763025.003.0008</w:t>
        </w:r>
      </w:hyperlink>
      <w:r>
        <w:t xml:space="preserve">.</w:t>
      </w:r>
    </w:p>
    <w:bookmarkEnd w:id="145"/>
    <w:bookmarkStart w:id="147" w:name="ref-oeberst_knowledge_2014"/>
    <w:p>
      <w:pPr>
        <w:pStyle w:val="Bibliography"/>
      </w:pPr>
      <w:r>
        <w:t xml:space="preserve">Oeberst, Aileen, Iassen Halatchliyski, Joachim Kimmerle, and Ulrike Cress. 2014.</w:t>
      </w:r>
      <w:r>
        <w:t xml:space="preserve"> </w:t>
      </w:r>
      <w:r>
        <w:t xml:space="preserve">“Knowledge</w:t>
      </w:r>
      <w:r>
        <w:t xml:space="preserve"> </w:t>
      </w:r>
      <w:r>
        <w:t xml:space="preserve">Construction</w:t>
      </w:r>
      <w:r>
        <w:t xml:space="preserve"> </w:t>
      </w:r>
      <w:r>
        <w:t xml:space="preserve">in</w:t>
      </w:r>
      <w:r>
        <w:t xml:space="preserve"> </w:t>
      </w:r>
      <w:r>
        <w:t xml:space="preserve">Wikipedia</w:t>
      </w:r>
      <w:r>
        <w:t xml:space="preserve">:</w:t>
      </w:r>
      <w:r>
        <w:t xml:space="preserve"> </w:t>
      </w:r>
      <w:r>
        <w:t xml:space="preserve">A</w:t>
      </w:r>
      <w:r>
        <w:t xml:space="preserve"> </w:t>
      </w:r>
      <w:r>
        <w:t xml:space="preserve">Systemic</w:t>
      </w:r>
      <w:r>
        <w:t xml:space="preserve">-</w:t>
      </w:r>
      <w:r>
        <w:t xml:space="preserve">Constructivist</w:t>
      </w:r>
      <w:r>
        <w:t xml:space="preserve"> </w:t>
      </w:r>
      <w:r>
        <w:t xml:space="preserve">Analysis</w:t>
      </w:r>
      <w:r>
        <w:t xml:space="preserve">.”</w:t>
      </w:r>
      <w:r>
        <w:t xml:space="preserve"> </w:t>
      </w:r>
      <w:r>
        <w:rPr>
          <w:iCs/>
          <w:i/>
        </w:rPr>
        <w:t xml:space="preserve">Journal of the Learning Sciences</w:t>
      </w:r>
      <w:r>
        <w:t xml:space="preserve"> </w:t>
      </w:r>
      <w:r>
        <w:t xml:space="preserve">23 (2): 149–76.</w:t>
      </w:r>
      <w:r>
        <w:t xml:space="preserve"> </w:t>
      </w:r>
      <w:hyperlink r:id="rId146">
        <w:r>
          <w:rPr>
            <w:rStyle w:val="Hyperlink"/>
          </w:rPr>
          <w:t xml:space="preserve">https://doi.org/10.1080/10508406.2014.888352</w:t>
        </w:r>
      </w:hyperlink>
      <w:r>
        <w:t xml:space="preserve">.</w:t>
      </w:r>
    </w:p>
    <w:bookmarkEnd w:id="147"/>
    <w:bookmarkStart w:id="149" w:name="ref-ratinaud_iramuteq_2009"/>
    <w:p>
      <w:pPr>
        <w:pStyle w:val="Bibliography"/>
      </w:pPr>
      <w:r>
        <w:t xml:space="preserve">Ratinaud, Pierre. 2009.</w:t>
      </w:r>
      <w:r>
        <w:t xml:space="preserve"> </w:t>
      </w:r>
      <w:r>
        <w:t xml:space="preserve">“Iramuteq:</w:t>
      </w:r>
      <w:r>
        <w:t xml:space="preserve"> </w:t>
      </w:r>
      <w:r>
        <w:t xml:space="preserve">Interface</w:t>
      </w:r>
      <w:r>
        <w:t xml:space="preserve"> </w:t>
      </w:r>
      <w:r>
        <w:t xml:space="preserve">de</w:t>
      </w:r>
      <w:r>
        <w:t xml:space="preserve"> </w:t>
      </w:r>
      <w:r>
        <w:t xml:space="preserve">R</w:t>
      </w:r>
      <w:r>
        <w:t xml:space="preserve"> </w:t>
      </w:r>
      <w:r>
        <w:t xml:space="preserve">Pour Les</w:t>
      </w:r>
      <w:r>
        <w:t xml:space="preserve"> </w:t>
      </w:r>
      <w:r>
        <w:t xml:space="preserve">Analyses</w:t>
      </w:r>
      <w:r>
        <w:t xml:space="preserve"> </w:t>
      </w:r>
      <w:r>
        <w:t xml:space="preserve">Multidimensionnelles</w:t>
      </w:r>
      <w:r>
        <w:t xml:space="preserve"> </w:t>
      </w:r>
      <w:r>
        <w:t xml:space="preserve">de</w:t>
      </w:r>
      <w:r>
        <w:t xml:space="preserve"> </w:t>
      </w:r>
      <w:r>
        <w:t xml:space="preserve">Textes</w:t>
      </w:r>
      <w:r>
        <w:t xml:space="preserve"> </w:t>
      </w:r>
      <w:r>
        <w:t xml:space="preserve">Et de</w:t>
      </w:r>
      <w:r>
        <w:t xml:space="preserve"> </w:t>
      </w:r>
      <w:r>
        <w:t xml:space="preserve">Questionnaires</w:t>
      </w:r>
      <w:r>
        <w:t xml:space="preserve">.”</w:t>
      </w:r>
      <w:r>
        <w:t xml:space="preserve"> </w:t>
      </w:r>
      <w:hyperlink r:id="rId148">
        <w:r>
          <w:rPr>
            <w:rStyle w:val="Hyperlink"/>
          </w:rPr>
          <w:t xml:space="preserve">http://www.iramuteq.org</w:t>
        </w:r>
      </w:hyperlink>
      <w:r>
        <w:t xml:space="preserve">.</w:t>
      </w:r>
    </w:p>
    <w:bookmarkEnd w:id="149"/>
    <w:bookmarkStart w:id="151" w:name="ref-reinert_alceste_1990"/>
    <w:p>
      <w:pPr>
        <w:pStyle w:val="Bibliography"/>
      </w:pPr>
      <w:r>
        <w:t xml:space="preserve">Reinert, Max. 1990.</w:t>
      </w:r>
      <w:r>
        <w:t xml:space="preserve"> </w:t>
      </w:r>
      <w:r>
        <w:t xml:space="preserve">“Alceste Une Méthodologie d’analyse Des Données Textuelles Et Une Application:</w:t>
      </w:r>
      <w:r>
        <w:t xml:space="preserve"> </w:t>
      </w:r>
      <w:r>
        <w:t xml:space="preserve">Aurelia</w:t>
      </w:r>
      <w:r>
        <w:t xml:space="preserve"> </w:t>
      </w:r>
      <w:r>
        <w:t xml:space="preserve">De</w:t>
      </w:r>
      <w:r>
        <w:t xml:space="preserve"> </w:t>
      </w:r>
      <w:r>
        <w:t xml:space="preserve">Gerard</w:t>
      </w:r>
      <w:r>
        <w:t xml:space="preserve"> </w:t>
      </w:r>
      <w:r>
        <w:t xml:space="preserve">De</w:t>
      </w:r>
      <w:r>
        <w:t xml:space="preserve"> </w:t>
      </w:r>
      <w:r>
        <w:t xml:space="preserve">Nerval</w:t>
      </w:r>
      <w:r>
        <w:t xml:space="preserve">.”</w:t>
      </w:r>
      <w:r>
        <w:t xml:space="preserve"> </w:t>
      </w:r>
      <w:r>
        <w:rPr>
          <w:iCs/>
          <w:i/>
        </w:rPr>
        <w:t xml:space="preserve">Bulletin of Sociological Methodology/Bulletin de Méthodologie Sociologique</w:t>
      </w:r>
      <w:r>
        <w:t xml:space="preserve"> </w:t>
      </w:r>
      <w:r>
        <w:t xml:space="preserve">26 (1): 24–54.</w:t>
      </w:r>
      <w:r>
        <w:t xml:space="preserve"> </w:t>
      </w:r>
      <w:hyperlink r:id="rId150">
        <w:r>
          <w:rPr>
            <w:rStyle w:val="Hyperlink"/>
          </w:rPr>
          <w:t xml:space="preserve">https://doi.org/10.1177/075910639002600103</w:t>
        </w:r>
      </w:hyperlink>
      <w:r>
        <w:t xml:space="preserve">.</w:t>
      </w:r>
    </w:p>
    <w:bookmarkEnd w:id="151"/>
    <w:bookmarkStart w:id="153" w:name="ref-royal_whats_2009"/>
    <w:p>
      <w:pPr>
        <w:pStyle w:val="Bibliography"/>
      </w:pPr>
      <w:r>
        <w:t xml:space="preserve">Royal, Cindy, and Deepina Kapila. 2009.</w:t>
      </w:r>
      <w:r>
        <w:t xml:space="preserve"> </w:t>
      </w:r>
      <w:r>
        <w:t xml:space="preserve">“What’s on</w:t>
      </w:r>
      <w:r>
        <w:t xml:space="preserve"> </w:t>
      </w:r>
      <w:r>
        <w:t xml:space="preserve">Wikipedia</w:t>
      </w:r>
      <w:r>
        <w:t xml:space="preserve">, and</w:t>
      </w:r>
      <w:r>
        <w:t xml:space="preserve"> </w:t>
      </w:r>
      <w:r>
        <w:t xml:space="preserve">What</w:t>
      </w:r>
      <w:r>
        <w:t xml:space="preserve">’s</w:t>
      </w:r>
      <w:r>
        <w:t xml:space="preserve"> </w:t>
      </w:r>
      <w:r>
        <w:t xml:space="preserve">Not</w:t>
      </w:r>
      <w:r>
        <w:t xml:space="preserve"> </w:t>
      </w:r>
      <w:r>
        <w:t xml:space="preserve">. . . ?:</w:t>
      </w:r>
      <w:r>
        <w:t xml:space="preserve"> </w:t>
      </w:r>
      <w:r>
        <w:t xml:space="preserve">Assessing</w:t>
      </w:r>
      <w:r>
        <w:t xml:space="preserve"> </w:t>
      </w:r>
      <w:r>
        <w:t xml:space="preserve">Completeness</w:t>
      </w:r>
      <w:r>
        <w:t xml:space="preserve"> </w:t>
      </w:r>
      <w:r>
        <w:t xml:space="preserve">of</w:t>
      </w:r>
      <w:r>
        <w:t xml:space="preserve"> </w:t>
      </w:r>
      <w:r>
        <w:t xml:space="preserve">Information</w:t>
      </w:r>
      <w:r>
        <w:t xml:space="preserve">.”</w:t>
      </w:r>
      <w:r>
        <w:t xml:space="preserve"> </w:t>
      </w:r>
      <w:r>
        <w:rPr>
          <w:iCs/>
          <w:i/>
        </w:rPr>
        <w:t xml:space="preserve">Social Science Computer Review</w:t>
      </w:r>
      <w:r>
        <w:t xml:space="preserve"> </w:t>
      </w:r>
      <w:r>
        <w:t xml:space="preserve">27 (1): 138–48.</w:t>
      </w:r>
      <w:r>
        <w:t xml:space="preserve"> </w:t>
      </w:r>
      <w:hyperlink r:id="rId152">
        <w:r>
          <w:rPr>
            <w:rStyle w:val="Hyperlink"/>
          </w:rPr>
          <w:t xml:space="preserve">https://doi.org/10.1177/0894439308321890</w:t>
        </w:r>
      </w:hyperlink>
      <w:r>
        <w:t xml:space="preserve">.</w:t>
      </w:r>
    </w:p>
    <w:bookmarkEnd w:id="153"/>
    <w:bookmarkStart w:id="155" w:name="ref-ruprechter_poor_2023"/>
    <w:p>
      <w:pPr>
        <w:pStyle w:val="Bibliography"/>
      </w:pPr>
      <w:r>
        <w:t xml:space="preserve">Ruprechter, Thorsten, Keith Burghardt, and Denis Helic. 2023.</w:t>
      </w:r>
      <w:r>
        <w:t xml:space="preserve"> </w:t>
      </w:r>
      <w:r>
        <w:t xml:space="preserve">“Poor Attention:</w:t>
      </w:r>
      <w:r>
        <w:t xml:space="preserve"> </w:t>
      </w:r>
      <w:r>
        <w:t xml:space="preserve">The</w:t>
      </w:r>
      <w:r>
        <w:t xml:space="preserve"> </w:t>
      </w:r>
      <w:r>
        <w:t xml:space="preserve">Wealth and Regional Gaps in Event Attention and Coverage on</w:t>
      </w:r>
      <w:r>
        <w:t xml:space="preserve"> </w:t>
      </w:r>
      <w:r>
        <w:t xml:space="preserve">Wikipedia</w:t>
      </w:r>
      <w:r>
        <w:t xml:space="preserve">.”</w:t>
      </w:r>
      <w:r>
        <w:t xml:space="preserve"> </w:t>
      </w:r>
      <w:r>
        <w:t xml:space="preserve">Edited by Robin Haunschild.</w:t>
      </w:r>
      <w:r>
        <w:t xml:space="preserve"> </w:t>
      </w:r>
      <w:r>
        <w:rPr>
          <w:iCs/>
          <w:i/>
        </w:rPr>
        <w:t xml:space="preserve">PLOS ONE</w:t>
      </w:r>
      <w:r>
        <w:t xml:space="preserve"> </w:t>
      </w:r>
      <w:r>
        <w:t xml:space="preserve">18 (11): e0289325.</w:t>
      </w:r>
      <w:r>
        <w:t xml:space="preserve"> </w:t>
      </w:r>
      <w:hyperlink r:id="rId154">
        <w:r>
          <w:rPr>
            <w:rStyle w:val="Hyperlink"/>
          </w:rPr>
          <w:t xml:space="preserve">https://doi.org/10.1371/journal.pone.0289325</w:t>
        </w:r>
      </w:hyperlink>
      <w:r>
        <w:t xml:space="preserve">.</w:t>
      </w:r>
    </w:p>
    <w:bookmarkEnd w:id="155"/>
    <w:bookmarkStart w:id="157" w:name="ref-sekajugo_can_2022"/>
    <w:p>
      <w:pPr>
        <w:pStyle w:val="Bibliography"/>
      </w:pPr>
      <w:r>
        <w:t xml:space="preserve">Sekajugo, John, Grace Kagoro-Rugunda, Rodgers Mutyebere, Clovis Kabaseke, Esther Namara, Olivier Dewitte, Matthieu Kervyn, and Liesbet Jacobs. 2022.</w:t>
      </w:r>
      <w:r>
        <w:t xml:space="preserve"> </w:t>
      </w:r>
      <w:r>
        <w:t xml:space="preserve">“Can Citizen Scientists Provide a Reliable Geo-Hydrological Hazard Inventory?</w:t>
      </w:r>
      <w:r>
        <w:t xml:space="preserve"> </w:t>
      </w:r>
      <w:r>
        <w:t xml:space="preserve">An</w:t>
      </w:r>
      <w:r>
        <w:t xml:space="preserve"> </w:t>
      </w:r>
      <w:r>
        <w:t xml:space="preserve">Analysis of Biases, Sensitivity and Precision for the</w:t>
      </w:r>
      <w:r>
        <w:t xml:space="preserve"> </w:t>
      </w:r>
      <w:r>
        <w:t xml:space="preserve">Rwenzori</w:t>
      </w:r>
      <w:r>
        <w:t xml:space="preserve"> </w:t>
      </w:r>
      <w:r>
        <w:t xml:space="preserve">Mountains</w:t>
      </w:r>
      <w:r>
        <w:t xml:space="preserve">,</w:t>
      </w:r>
      <w:r>
        <w:t xml:space="preserve"> </w:t>
      </w:r>
      <w:r>
        <w:t xml:space="preserve">Uganda</w:t>
      </w:r>
      <w:r>
        <w:t xml:space="preserve">.”</w:t>
      </w:r>
      <w:r>
        <w:t xml:space="preserve"> </w:t>
      </w:r>
      <w:r>
        <w:rPr>
          <w:iCs/>
          <w:i/>
        </w:rPr>
        <w:t xml:space="preserve">Environmental Research Letters</w:t>
      </w:r>
      <w:r>
        <w:t xml:space="preserve"> </w:t>
      </w:r>
      <w:r>
        <w:t xml:space="preserve">17 (4): 045011.</w:t>
      </w:r>
      <w:r>
        <w:t xml:space="preserve"> </w:t>
      </w:r>
      <w:hyperlink r:id="rId156">
        <w:r>
          <w:rPr>
            <w:rStyle w:val="Hyperlink"/>
          </w:rPr>
          <w:t xml:space="preserve">https://doi.org/10.1088/1748-9326/ac5bb5</w:t>
        </w:r>
      </w:hyperlink>
      <w:r>
        <w:t xml:space="preserve">.</w:t>
      </w:r>
    </w:p>
    <w:bookmarkEnd w:id="157"/>
    <w:bookmarkStart w:id="159" w:name="ref-senaratne_review_2017"/>
    <w:p>
      <w:pPr>
        <w:pStyle w:val="Bibliography"/>
      </w:pPr>
      <w:r>
        <w:t xml:space="preserve">Senaratne, Hansi, Amin Mobasheri, Ahmed Loai Ali, Cristina Capineri, and Mordechai (Muki) Haklay. 2017.</w:t>
      </w:r>
      <w:r>
        <w:t xml:space="preserve"> </w:t>
      </w:r>
      <w:r>
        <w:t xml:space="preserve">“A Review of Volunteered Geographic Information Quality Assessment Methods.”</w:t>
      </w:r>
      <w:r>
        <w:t xml:space="preserve"> </w:t>
      </w:r>
      <w:r>
        <w:rPr>
          <w:iCs/>
          <w:i/>
        </w:rPr>
        <w:t xml:space="preserve">International Journal of Geographical Information Science</w:t>
      </w:r>
      <w:r>
        <w:t xml:space="preserve"> </w:t>
      </w:r>
      <w:r>
        <w:t xml:space="preserve">31 (1): 139–67.</w:t>
      </w:r>
      <w:r>
        <w:t xml:space="preserve"> </w:t>
      </w:r>
      <w:hyperlink r:id="rId158">
        <w:r>
          <w:rPr>
            <w:rStyle w:val="Hyperlink"/>
          </w:rPr>
          <w:t xml:space="preserve">https://doi.org/10.1080/13658816.2016.1189556</w:t>
        </w:r>
      </w:hyperlink>
      <w:r>
        <w:t xml:space="preserve">.</w:t>
      </w:r>
    </w:p>
    <w:bookmarkEnd w:id="159"/>
    <w:bookmarkStart w:id="161" w:name="ref-silge_tidytext_2016"/>
    <w:p>
      <w:pPr>
        <w:pStyle w:val="Bibliography"/>
      </w:pPr>
      <w:r>
        <w:t xml:space="preserve">Silge, Julia, and David Robinson. 2016.</w:t>
      </w:r>
      <w:r>
        <w:t xml:space="preserve"> </w:t>
      </w:r>
      <w:r>
        <w:t xml:space="preserve">“Tidytext:</w:t>
      </w:r>
      <w:r>
        <w:t xml:space="preserve"> </w:t>
      </w:r>
      <w:r>
        <w:t xml:space="preserve">Text</w:t>
      </w:r>
      <w:r>
        <w:t xml:space="preserve"> </w:t>
      </w:r>
      <w:r>
        <w:t xml:space="preserve">Mining</w:t>
      </w:r>
      <w:r>
        <w:t xml:space="preserve"> </w:t>
      </w:r>
      <w:r>
        <w:t xml:space="preserve">and</w:t>
      </w:r>
      <w:r>
        <w:t xml:space="preserve"> </w:t>
      </w:r>
      <w:r>
        <w:t xml:space="preserve">Analysis</w:t>
      </w:r>
      <w:r>
        <w:t xml:space="preserve"> </w:t>
      </w:r>
      <w:r>
        <w:t xml:space="preserve">Using</w:t>
      </w:r>
      <w:r>
        <w:t xml:space="preserve"> </w:t>
      </w:r>
      <w:r>
        <w:t xml:space="preserve">Tidy</w:t>
      </w:r>
      <w:r>
        <w:t xml:space="preserve"> </w:t>
      </w:r>
      <w:r>
        <w:t xml:space="preserve">Data</w:t>
      </w:r>
      <w:r>
        <w:t xml:space="preserve"> </w:t>
      </w:r>
      <w:r>
        <w:t xml:space="preserve">Principles</w:t>
      </w:r>
      <w:r>
        <w:t xml:space="preserve"> </w:t>
      </w:r>
      <w:r>
        <w:t xml:space="preserve">in</w:t>
      </w:r>
      <w:r>
        <w:t xml:space="preserve"> </w:t>
      </w:r>
      <w:r>
        <w:t xml:space="preserve">R</w:t>
      </w:r>
      <w:r>
        <w:t xml:space="preserve">.”</w:t>
      </w:r>
      <w:r>
        <w:t xml:space="preserve"> </w:t>
      </w:r>
      <w:r>
        <w:rPr>
          <w:iCs/>
          <w:i/>
        </w:rPr>
        <w:t xml:space="preserve">JOSS</w:t>
      </w:r>
      <w:r>
        <w:t xml:space="preserve"> </w:t>
      </w:r>
      <w:r>
        <w:t xml:space="preserve">1 (3).</w:t>
      </w:r>
      <w:r>
        <w:t xml:space="preserve"> </w:t>
      </w:r>
      <w:hyperlink r:id="rId160">
        <w:r>
          <w:rPr>
            <w:rStyle w:val="Hyperlink"/>
          </w:rPr>
          <w:t xml:space="preserve">https://doi.org/10.21105/joss.00037</w:t>
        </w:r>
      </w:hyperlink>
      <w:r>
        <w:t xml:space="preserve">.</w:t>
      </w:r>
    </w:p>
    <w:bookmarkEnd w:id="161"/>
    <w:bookmarkStart w:id="163" w:name="ref-stephens_gender_2013"/>
    <w:p>
      <w:pPr>
        <w:pStyle w:val="Bibliography"/>
      </w:pPr>
      <w:r>
        <w:t xml:space="preserve">Stephens, Monica. 2013.</w:t>
      </w:r>
      <w:r>
        <w:t xml:space="preserve"> </w:t>
      </w:r>
      <w:r>
        <w:t xml:space="preserve">“Gender and the</w:t>
      </w:r>
      <w:r>
        <w:t xml:space="preserve"> </w:t>
      </w:r>
      <w:r>
        <w:t xml:space="preserve">GeoWeb</w:t>
      </w:r>
      <w:r>
        <w:t xml:space="preserve">: Divisions in the Production of User-Generated Cartographic Information.”</w:t>
      </w:r>
      <w:r>
        <w:t xml:space="preserve"> </w:t>
      </w:r>
      <w:r>
        <w:rPr>
          <w:iCs/>
          <w:i/>
        </w:rPr>
        <w:t xml:space="preserve">GeoJournal</w:t>
      </w:r>
      <w:r>
        <w:t xml:space="preserve"> </w:t>
      </w:r>
      <w:r>
        <w:t xml:space="preserve">78 (6): 981–96.</w:t>
      </w:r>
      <w:r>
        <w:t xml:space="preserve"> </w:t>
      </w:r>
      <w:hyperlink r:id="rId162">
        <w:r>
          <w:rPr>
            <w:rStyle w:val="Hyperlink"/>
          </w:rPr>
          <w:t xml:space="preserve">https://doi.org/10.1007/s10708-013-9492-z</w:t>
        </w:r>
      </w:hyperlink>
      <w:r>
        <w:t xml:space="preserve">.</w:t>
      </w:r>
    </w:p>
    <w:bookmarkEnd w:id="163"/>
    <w:bookmarkStart w:id="165" w:name="ref-tellman_satellite_2021"/>
    <w:p>
      <w:pPr>
        <w:pStyle w:val="Bibliography"/>
      </w:pPr>
      <w:r>
        <w:t xml:space="preserve">Tellman, B., J. A. Sullivan, C. Kuhn, A. J. Kettner, C. S. Doyle, G. R. Brakenridge, T. A. Erickson, and D. A. Slayback. 2021.</w:t>
      </w:r>
      <w:r>
        <w:t xml:space="preserve"> </w:t>
      </w:r>
      <w:r>
        <w:t xml:space="preserve">“Satellite Imaging Reveals Increased Proportion of Population Exposed to Floods.”</w:t>
      </w:r>
      <w:r>
        <w:t xml:space="preserve"> </w:t>
      </w:r>
      <w:r>
        <w:rPr>
          <w:iCs/>
          <w:i/>
        </w:rPr>
        <w:t xml:space="preserve">Nature</w:t>
      </w:r>
      <w:r>
        <w:t xml:space="preserve"> </w:t>
      </w:r>
      <w:r>
        <w:t xml:space="preserve">596 (7870): 80–86.</w:t>
      </w:r>
      <w:r>
        <w:t xml:space="preserve"> </w:t>
      </w:r>
      <w:hyperlink r:id="rId164">
        <w:r>
          <w:rPr>
            <w:rStyle w:val="Hyperlink"/>
          </w:rPr>
          <w:t xml:space="preserve">https://doi.org/10.1038/s41586-021-03695-w</w:t>
        </w:r>
      </w:hyperlink>
      <w:r>
        <w:t xml:space="preserve">.</w:t>
      </w:r>
    </w:p>
    <w:bookmarkEnd w:id="165"/>
    <w:bookmarkStart w:id="167" w:name="ref-turki_using_2017"/>
    <w:p>
      <w:pPr>
        <w:pStyle w:val="Bibliography"/>
      </w:pPr>
      <w:r>
        <w:t xml:space="preserve">Turki, Houcemeddine, Denny Vrandecic, Helmi Hamdi, and Imed Adel. 2017.</w:t>
      </w:r>
      <w:r>
        <w:t xml:space="preserve"> </w:t>
      </w:r>
      <w:r>
        <w:t xml:space="preserve">“Using</w:t>
      </w:r>
      <w:r>
        <w:t xml:space="preserve"> </w:t>
      </w:r>
      <w:r>
        <w:t xml:space="preserve">WikiData</w:t>
      </w:r>
      <w:r>
        <w:t xml:space="preserve"> </w:t>
      </w:r>
      <w:r>
        <w:t xml:space="preserve">as a</w:t>
      </w:r>
      <w:r>
        <w:t xml:space="preserve"> </w:t>
      </w:r>
      <w:r>
        <w:t xml:space="preserve">Multi</w:t>
      </w:r>
      <w:r>
        <w:t xml:space="preserve">-Lingual</w:t>
      </w:r>
      <w:r>
        <w:t xml:space="preserve"> </w:t>
      </w:r>
      <w:r>
        <w:t xml:space="preserve">Multi</w:t>
      </w:r>
      <w:r>
        <w:t xml:space="preserve">-Dialectal</w:t>
      </w:r>
      <w:r>
        <w:t xml:space="preserve"> </w:t>
      </w:r>
      <w:r>
        <w:t xml:space="preserve">Dictionary</w:t>
      </w:r>
      <w:r>
        <w:t xml:space="preserve"> </w:t>
      </w:r>
      <w:r>
        <w:t xml:space="preserve">for</w:t>
      </w:r>
      <w:r>
        <w:t xml:space="preserve"> </w:t>
      </w:r>
      <w:r>
        <w:t xml:space="preserve">Arabic</w:t>
      </w:r>
      <w:r>
        <w:t xml:space="preserve"> </w:t>
      </w:r>
      <w:r>
        <w:t xml:space="preserve">Dialects</w:t>
      </w:r>
      <w:r>
        <w:t xml:space="preserve">.”</w:t>
      </w:r>
      <w:r>
        <w:t xml:space="preserve"> </w:t>
      </w:r>
      <w:r>
        <w:t xml:space="preserve">In</w:t>
      </w:r>
      <w:r>
        <w:t xml:space="preserve"> </w:t>
      </w:r>
      <w:r>
        <w:rPr>
          <w:iCs/>
          <w:i/>
        </w:rPr>
        <w:t xml:space="preserve">2017</w:t>
      </w:r>
      <w:r>
        <w:rPr>
          <w:iCs/>
          <w:i/>
        </w:rPr>
        <w:t xml:space="preserve"> </w:t>
      </w:r>
      <w:r>
        <w:rPr>
          <w:iCs/>
          <w:i/>
        </w:rPr>
        <w:t xml:space="preserve">IEEE</w:t>
      </w:r>
      <w:r>
        <w:rPr>
          <w:iCs/>
          <w:i/>
        </w:rPr>
        <w:t xml:space="preserve">/</w:t>
      </w:r>
      <w:r>
        <w:rPr>
          <w:iCs/>
          <w:i/>
        </w:rPr>
        <w:t xml:space="preserve">ACS</w:t>
      </w:r>
      <w:r>
        <w:rPr>
          <w:iCs/>
          <w:i/>
        </w:rPr>
        <w:t xml:space="preserve"> </w:t>
      </w:r>
      <w:r>
        <w:rPr>
          <w:iCs/>
          <w:i/>
        </w:rPr>
        <w:t xml:space="preserve">14th</w:t>
      </w:r>
      <w:r>
        <w:rPr>
          <w:iCs/>
          <w:i/>
        </w:rPr>
        <w:t xml:space="preserve"> </w:t>
      </w:r>
      <w:r>
        <w:rPr>
          <w:iCs/>
          <w:i/>
        </w:rPr>
        <w:t xml:space="preserve">International</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Computer</w:t>
      </w:r>
      <w:r>
        <w:rPr>
          <w:iCs/>
          <w:i/>
        </w:rPr>
        <w:t xml:space="preserve"> </w:t>
      </w:r>
      <w:r>
        <w:rPr>
          <w:iCs/>
          <w:i/>
        </w:rPr>
        <w:t xml:space="preserve">Systems</w:t>
      </w:r>
      <w:r>
        <w:rPr>
          <w:iCs/>
          <w:i/>
        </w:rPr>
        <w:t xml:space="preserve"> </w:t>
      </w:r>
      <w:r>
        <w:rPr>
          <w:iCs/>
          <w:i/>
        </w:rPr>
        <w:t xml:space="preserve">and</w:t>
      </w:r>
      <w:r>
        <w:rPr>
          <w:iCs/>
          <w:i/>
        </w:rPr>
        <w:t xml:space="preserve"> </w:t>
      </w:r>
      <w:r>
        <w:rPr>
          <w:iCs/>
          <w:i/>
        </w:rPr>
        <w:t xml:space="preserve">Applications</w:t>
      </w:r>
      <w:r>
        <w:rPr>
          <w:iCs/>
          <w:i/>
        </w:rPr>
        <w:t xml:space="preserve"> </w:t>
      </w:r>
      <w:r>
        <w:rPr>
          <w:iCs/>
          <w:i/>
        </w:rPr>
        <w:t xml:space="preserve">(</w:t>
      </w:r>
      <w:r>
        <w:rPr>
          <w:iCs/>
          <w:i/>
        </w:rPr>
        <w:t xml:space="preserve">AICCSA</w:t>
      </w:r>
      <w:r>
        <w:rPr>
          <w:iCs/>
          <w:i/>
        </w:rPr>
        <w:t xml:space="preserve">)</w:t>
      </w:r>
      <w:r>
        <w:t xml:space="preserve">, 437–42. Hammamet: IEEE.</w:t>
      </w:r>
      <w:r>
        <w:t xml:space="preserve"> </w:t>
      </w:r>
      <w:hyperlink r:id="rId166">
        <w:r>
          <w:rPr>
            <w:rStyle w:val="Hyperlink"/>
          </w:rPr>
          <w:t xml:space="preserve">https://doi.org/10.1109/AICCSA.2017.115</w:t>
        </w:r>
      </w:hyperlink>
      <w:r>
        <w:t xml:space="preserve">.</w:t>
      </w:r>
    </w:p>
    <w:bookmarkEnd w:id="167"/>
    <w:bookmarkStart w:id="169" w:name="ref-van_velsen_should_2012"/>
    <w:p>
      <w:pPr>
        <w:pStyle w:val="Bibliography"/>
      </w:pPr>
      <w:r>
        <w:t xml:space="preserve">Van Velsen, Lex, Julia E. W. C Van Gemert-Pijnen, Desirée J. M. A Beaujean, Jobke Wentzel, and Jim E Van Steenbergen. 2012.</w:t>
      </w:r>
      <w:r>
        <w:t xml:space="preserve"> </w:t>
      </w:r>
      <w:r>
        <w:t xml:space="preserve">“Should</w:t>
      </w:r>
      <w:r>
        <w:t xml:space="preserve"> </w:t>
      </w:r>
      <w:r>
        <w:t xml:space="preserve">Health</w:t>
      </w:r>
      <w:r>
        <w:t xml:space="preserve"> </w:t>
      </w:r>
      <w:r>
        <w:t xml:space="preserve">Organizations</w:t>
      </w:r>
      <w:r>
        <w:t xml:space="preserve"> </w:t>
      </w:r>
      <w:r>
        <w:t xml:space="preserve">Use</w:t>
      </w:r>
      <w:r>
        <w:t xml:space="preserve"> </w:t>
      </w:r>
      <w:r>
        <w:t xml:space="preserve">Web</w:t>
      </w:r>
      <w:r>
        <w:t xml:space="preserve"> </w:t>
      </w:r>
      <w:r>
        <w:t xml:space="preserve">2.0</w:t>
      </w:r>
      <w:r>
        <w:t xml:space="preserve"> </w:t>
      </w:r>
      <w:r>
        <w:t xml:space="preserve">Media</w:t>
      </w:r>
      <w:r>
        <w:t xml:space="preserve"> </w:t>
      </w:r>
      <w:r>
        <w:t xml:space="preserve">in</w:t>
      </w:r>
      <w:r>
        <w:t xml:space="preserve"> </w:t>
      </w:r>
      <w:r>
        <w:t xml:space="preserve">Times</w:t>
      </w:r>
      <w:r>
        <w:t xml:space="preserve"> </w:t>
      </w:r>
      <w:r>
        <w:t xml:space="preserve">of an</w:t>
      </w:r>
      <w:r>
        <w:t xml:space="preserve"> </w:t>
      </w:r>
      <w:r>
        <w:t xml:space="preserve">Infectious</w:t>
      </w:r>
      <w:r>
        <w:t xml:space="preserve"> </w:t>
      </w:r>
      <w:r>
        <w:t xml:space="preserve">Disease</w:t>
      </w:r>
      <w:r>
        <w:t xml:space="preserve"> </w:t>
      </w:r>
      <w:r>
        <w:t xml:space="preserve">Crisis</w:t>
      </w:r>
      <w:r>
        <w:t xml:space="preserve">?</w:t>
      </w:r>
      <w:r>
        <w:t xml:space="preserve"> </w:t>
      </w:r>
      <w:r>
        <w:t xml:space="preserve">An</w:t>
      </w:r>
      <w:r>
        <w:t xml:space="preserve"> </w:t>
      </w:r>
      <w:r>
        <w:t xml:space="preserve">In</w:t>
      </w:r>
      <w:r>
        <w:t xml:space="preserve">-Depth</w:t>
      </w:r>
      <w:r>
        <w:t xml:space="preserve"> </w:t>
      </w:r>
      <w:r>
        <w:t xml:space="preserve">Qualitative</w:t>
      </w:r>
      <w:r>
        <w:t xml:space="preserve"> </w:t>
      </w:r>
      <w:r>
        <w:t xml:space="preserve">Study</w:t>
      </w:r>
      <w:r>
        <w:t xml:space="preserve"> </w:t>
      </w:r>
      <w:r>
        <w:t xml:space="preserve">of</w:t>
      </w:r>
      <w:r>
        <w:t xml:space="preserve"> </w:t>
      </w:r>
      <w:r>
        <w:t xml:space="preserve">Citizens</w:t>
      </w:r>
      <w:r>
        <w:t xml:space="preserve">’</w:t>
      </w:r>
      <w:r>
        <w:t xml:space="preserve"> </w:t>
      </w:r>
      <w:r>
        <w:t xml:space="preserve">Information</w:t>
      </w:r>
      <w:r>
        <w:t xml:space="preserve"> </w:t>
      </w:r>
      <w:r>
        <w:t xml:space="preserve">Behavior</w:t>
      </w:r>
      <w:r>
        <w:t xml:space="preserve"> </w:t>
      </w:r>
      <w:r>
        <w:t xml:space="preserve">During</w:t>
      </w:r>
      <w:r>
        <w:t xml:space="preserve"> </w:t>
      </w:r>
      <w:r>
        <w:t xml:space="preserve">an</w:t>
      </w:r>
      <w:r>
        <w:t xml:space="preserve"> </w:t>
      </w:r>
      <w:r>
        <w:t xml:space="preserve">EHEC</w:t>
      </w:r>
      <w:r>
        <w:t xml:space="preserve"> </w:t>
      </w:r>
      <w:r>
        <w:t xml:space="preserve">Outbreak</w:t>
      </w:r>
      <w:r>
        <w:t xml:space="preserve">.”</w:t>
      </w:r>
      <w:r>
        <w:t xml:space="preserve"> </w:t>
      </w:r>
      <w:r>
        <w:rPr>
          <w:iCs/>
          <w:i/>
        </w:rPr>
        <w:t xml:space="preserve">Journal of Medical Internet Research</w:t>
      </w:r>
      <w:r>
        <w:t xml:space="preserve"> </w:t>
      </w:r>
      <w:r>
        <w:t xml:space="preserve">14 (6): e181.</w:t>
      </w:r>
      <w:r>
        <w:t xml:space="preserve"> </w:t>
      </w:r>
      <w:hyperlink r:id="rId168">
        <w:r>
          <w:rPr>
            <w:rStyle w:val="Hyperlink"/>
          </w:rPr>
          <w:t xml:space="preserve">https://doi.org/10.2196/jmir.2123</w:t>
        </w:r>
      </w:hyperlink>
      <w:r>
        <w:t xml:space="preserve">.</w:t>
      </w:r>
    </w:p>
    <w:bookmarkEnd w:id="169"/>
    <w:bookmarkStart w:id="171" w:name="ref-vaudor_glitter_2023"/>
    <w:p>
      <w:pPr>
        <w:pStyle w:val="Bibliography"/>
      </w:pPr>
      <w:r>
        <w:t xml:space="preserve">Vaudor, Lise, and Maëlle Salmon. 2023.</w:t>
      </w:r>
      <w:r>
        <w:t xml:space="preserve"> </w:t>
      </w:r>
      <w:r>
        <w:rPr>
          <w:iCs/>
          <w:i/>
        </w:rPr>
        <w:t xml:space="preserve">Glitter: Glitter Makes</w:t>
      </w:r>
      <w:r>
        <w:rPr>
          <w:iCs/>
          <w:i/>
        </w:rPr>
        <w:t xml:space="preserve"> </w:t>
      </w:r>
      <w:r>
        <w:rPr>
          <w:iCs/>
          <w:i/>
        </w:rPr>
        <w:t xml:space="preserve">SPARQL</w:t>
      </w:r>
      <w:r>
        <w:t xml:space="preserve">.</w:t>
      </w:r>
      <w:r>
        <w:t xml:space="preserve"> </w:t>
      </w:r>
      <w:hyperlink r:id="rId170">
        <w:r>
          <w:rPr>
            <w:rStyle w:val="Hyperlink"/>
          </w:rPr>
          <w:t xml:space="preserve">https://lvaudor.github.io/glitter/</w:t>
        </w:r>
      </w:hyperlink>
      <w:r>
        <w:t xml:space="preserve">.</w:t>
      </w:r>
    </w:p>
    <w:bookmarkEnd w:id="171"/>
    <w:bookmarkStart w:id="173" w:name="ref-wickham_rvest_2024"/>
    <w:p>
      <w:pPr>
        <w:pStyle w:val="Bibliography"/>
      </w:pPr>
      <w:r>
        <w:t xml:space="preserve">Wickham, Hadley. 2024.</w:t>
      </w:r>
      <w:r>
        <w:t xml:space="preserve"> </w:t>
      </w:r>
      <w:r>
        <w:rPr>
          <w:iCs/>
          <w:i/>
        </w:rPr>
        <w:t xml:space="preserve">Rvest:</w:t>
      </w:r>
      <w:r>
        <w:rPr>
          <w:iCs/>
          <w:i/>
        </w:rPr>
        <w:t xml:space="preserve"> </w:t>
      </w:r>
      <w:r>
        <w:rPr>
          <w:iCs/>
          <w:i/>
        </w:rPr>
        <w:t xml:space="preserve">Easily</w:t>
      </w:r>
      <w:r>
        <w:rPr>
          <w:iCs/>
          <w:i/>
        </w:rPr>
        <w:t xml:space="preserve"> </w:t>
      </w:r>
      <w:r>
        <w:rPr>
          <w:iCs/>
          <w:i/>
        </w:rPr>
        <w:t xml:space="preserve">Harvest</w:t>
      </w:r>
      <w:r>
        <w:rPr>
          <w:iCs/>
          <w:i/>
        </w:rPr>
        <w:t xml:space="preserve"> </w:t>
      </w:r>
      <w:r>
        <w:rPr>
          <w:iCs/>
          <w:i/>
        </w:rPr>
        <w:t xml:space="preserve">(</w:t>
      </w:r>
      <w:r>
        <w:rPr>
          <w:iCs/>
          <w:i/>
        </w:rPr>
        <w:t xml:space="preserve">Scrape</w:t>
      </w:r>
      <w:r>
        <w:rPr>
          <w:iCs/>
          <w:i/>
        </w:rPr>
        <w:t xml:space="preserve">)</w:t>
      </w:r>
      <w:r>
        <w:rPr>
          <w:iCs/>
          <w:i/>
        </w:rPr>
        <w:t xml:space="preserve"> </w:t>
      </w:r>
      <w:r>
        <w:rPr>
          <w:iCs/>
          <w:i/>
        </w:rPr>
        <w:t xml:space="preserve">Web</w:t>
      </w:r>
      <w:r>
        <w:rPr>
          <w:iCs/>
          <w:i/>
        </w:rPr>
        <w:t xml:space="preserve"> </w:t>
      </w:r>
      <w:r>
        <w:rPr>
          <w:iCs/>
          <w:i/>
        </w:rPr>
        <w:t xml:space="preserve">Pages</w:t>
      </w:r>
      <w:r>
        <w:t xml:space="preserve">.</w:t>
      </w:r>
      <w:r>
        <w:t xml:space="preserve"> </w:t>
      </w:r>
      <w:hyperlink r:id="rId172">
        <w:r>
          <w:rPr>
            <w:rStyle w:val="Hyperlink"/>
          </w:rPr>
          <w:t xml:space="preserve">https://rvest.tidyverse.org/</w:t>
        </w:r>
      </w:hyperlink>
      <w:r>
        <w:t xml:space="preserve">.</w:t>
      </w:r>
    </w:p>
    <w:bookmarkEnd w:id="173"/>
    <w:bookmarkStart w:id="175" w:name="ref-winsemius_framework_2013"/>
    <w:p>
      <w:pPr>
        <w:pStyle w:val="Bibliography"/>
      </w:pPr>
      <w:r>
        <w:t xml:space="preserve">Winsemius, H. C., L. P. H. Van Beek, B. Jongman, P. J. Ward, and A. Bouwman. 2013.</w:t>
      </w:r>
      <w:r>
        <w:t xml:space="preserve"> </w:t>
      </w:r>
      <w:r>
        <w:t xml:space="preserve">“A Framework for Global River Flood Risk Assessments.”</w:t>
      </w:r>
      <w:r>
        <w:t xml:space="preserve"> </w:t>
      </w:r>
      <w:r>
        <w:rPr>
          <w:iCs/>
          <w:i/>
        </w:rPr>
        <w:t xml:space="preserve">Hydrology and Earth System Sciences</w:t>
      </w:r>
      <w:r>
        <w:t xml:space="preserve"> </w:t>
      </w:r>
      <w:r>
        <w:t xml:space="preserve">17 (5): 1871–92.</w:t>
      </w:r>
      <w:r>
        <w:t xml:space="preserve"> </w:t>
      </w:r>
      <w:hyperlink r:id="rId174">
        <w:r>
          <w:rPr>
            <w:rStyle w:val="Hyperlink"/>
          </w:rPr>
          <w:t xml:space="preserve">https://doi.org/10.5194/hess-17-1871-2013</w:t>
        </w:r>
      </w:hyperlink>
      <w:r>
        <w:t xml:space="preserve">.</w:t>
      </w:r>
    </w:p>
    <w:bookmarkEnd w:id="175"/>
    <w:bookmarkStart w:id="177" w:name="ref-zhao_systematic_2023"/>
    <w:p>
      <w:pPr>
        <w:pStyle w:val="Bibliography"/>
      </w:pPr>
      <w:r>
        <w:t xml:space="preserve">Zhao, Fudie. 2023.</w:t>
      </w:r>
      <w:r>
        <w:t xml:space="preserve"> </w:t>
      </w:r>
      <w:r>
        <w:t xml:space="preserve">“A Systematic Review of</w:t>
      </w:r>
      <w:r>
        <w:t xml:space="preserve"> </w:t>
      </w:r>
      <w:r>
        <w:t xml:space="preserve">Wikidata</w:t>
      </w:r>
      <w:r>
        <w:t xml:space="preserve"> </w:t>
      </w:r>
      <w:r>
        <w:t xml:space="preserve">in</w:t>
      </w:r>
      <w:r>
        <w:t xml:space="preserve"> </w:t>
      </w:r>
      <w:r>
        <w:t xml:space="preserve">Digital</w:t>
      </w:r>
      <w:r>
        <w:t xml:space="preserve"> </w:t>
      </w:r>
      <w:r>
        <w:t xml:space="preserve">Humanities</w:t>
      </w:r>
      <w:r>
        <w:t xml:space="preserve"> </w:t>
      </w:r>
      <w:r>
        <w:t xml:space="preserve">Projects.”</w:t>
      </w:r>
      <w:r>
        <w:t xml:space="preserve"> </w:t>
      </w:r>
      <w:r>
        <w:rPr>
          <w:iCs/>
          <w:i/>
        </w:rPr>
        <w:t xml:space="preserve">Digital Scholarship in the Humanities</w:t>
      </w:r>
      <w:r>
        <w:t xml:space="preserve"> </w:t>
      </w:r>
      <w:r>
        <w:t xml:space="preserve">38 (2): 852–74.</w:t>
      </w:r>
      <w:r>
        <w:t xml:space="preserve"> </w:t>
      </w:r>
      <w:hyperlink r:id="rId176">
        <w:r>
          <w:rPr>
            <w:rStyle w:val="Hyperlink"/>
          </w:rPr>
          <w:t xml:space="preserve">https://doi.org/10.1093/llc/fqac083</w:t>
        </w:r>
      </w:hyperlink>
      <w:r>
        <w:t xml:space="preserve">.</w:t>
      </w:r>
    </w:p>
    <w:bookmarkEnd w:id="177"/>
    <w:bookmarkEnd w:id="178"/>
    <w:bookmarkEnd w:id="1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49" Target="media/rId49.png" /><Relationship Type="http://schemas.openxmlformats.org/officeDocument/2006/relationships/image" Id="rId67" Target="media/rId67.png" /><Relationship Type="http://schemas.openxmlformats.org/officeDocument/2006/relationships/image" Id="rId75" Target="media/rId75.png" /><Relationship Type="http://schemas.openxmlformats.org/officeDocument/2006/relationships/image" Id="rId71" Target="media/rId71.png" /><Relationship Type="http://schemas.openxmlformats.org/officeDocument/2006/relationships/image" Id="rId55" Target="media/rId55.png" /><Relationship Type="http://schemas.openxmlformats.org/officeDocument/2006/relationships/image" Id="rId45" Target="media/rId45.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hyperlink" Id="rId101" Target="http://arxiv.org/abs/1908.11153" TargetMode="External" /><Relationship Type="http://schemas.openxmlformats.org/officeDocument/2006/relationships/hyperlink" Id="rId148" Target="http://www.iramuteq.org" TargetMode="External" /><Relationship Type="http://schemas.openxmlformats.org/officeDocument/2006/relationships/hyperlink" Id="rId132" Target="https://cran.r-project.org/web/packages/textometry/" TargetMode="External" /><Relationship Type="http://schemas.openxmlformats.org/officeDocument/2006/relationships/hyperlink" Id="rId113" Target="https://doi.org/10.1002/geo2.8" TargetMode="External" /><Relationship Type="http://schemas.openxmlformats.org/officeDocument/2006/relationships/hyperlink" Id="rId136" Target="https://doi.org/10.1007/978-3-319-14280-7_7" TargetMode="External" /><Relationship Type="http://schemas.openxmlformats.org/officeDocument/2006/relationships/hyperlink" Id="rId107" Target="https://doi.org/10.1007/s10708-007-9111-y" TargetMode="External" /><Relationship Type="http://schemas.openxmlformats.org/officeDocument/2006/relationships/hyperlink" Id="rId162" Target="https://doi.org/10.1007/s10708-013-9492-z" TargetMode="External" /><Relationship Type="http://schemas.openxmlformats.org/officeDocument/2006/relationships/hyperlink" Id="rId89" Target="https://doi.org/10.1007/s10708-016-9721-3" TargetMode="External" /><Relationship Type="http://schemas.openxmlformats.org/officeDocument/2006/relationships/hyperlink" Id="rId103" Target="https://doi.org/10.1007/s10708-019-10035-z" TargetMode="External" /><Relationship Type="http://schemas.openxmlformats.org/officeDocument/2006/relationships/hyperlink" Id="rId99" Target="https://doi.org/10.1016/j.apgeog.2021.102393" TargetMode="External" /><Relationship Type="http://schemas.openxmlformats.org/officeDocument/2006/relationships/hyperlink" Id="rId122" Target="https://doi.org/10.1016/j.sbspro.2010.04.054" TargetMode="External" /><Relationship Type="http://schemas.openxmlformats.org/officeDocument/2006/relationships/hyperlink" Id="rId120" Target="https://doi.org/10.1016/j.scitotenv.2018.06.197" TargetMode="External" /><Relationship Type="http://schemas.openxmlformats.org/officeDocument/2006/relationships/hyperlink" Id="rId105" Target="https://doi.org/10.1038/438900a" TargetMode="External" /><Relationship Type="http://schemas.openxmlformats.org/officeDocument/2006/relationships/hyperlink" Id="rId164" Target="https://doi.org/10.1038/s41586-021-03695-w" TargetMode="External" /><Relationship Type="http://schemas.openxmlformats.org/officeDocument/2006/relationships/hyperlink" Id="rId118" Target="https://doi.org/10.1038/s41598-021-82404-z" TargetMode="External" /><Relationship Type="http://schemas.openxmlformats.org/officeDocument/2006/relationships/hyperlink" Id="rId128" Target="https://doi.org/10.1080/02626667.2012.745082" TargetMode="External" /><Relationship Type="http://schemas.openxmlformats.org/officeDocument/2006/relationships/hyperlink" Id="rId146" Target="https://doi.org/10.1080/10508406.2014.888352" TargetMode="External" /><Relationship Type="http://schemas.openxmlformats.org/officeDocument/2006/relationships/hyperlink" Id="rId158" Target="https://doi.org/10.1080/13658816.2016.1189556" TargetMode="External" /><Relationship Type="http://schemas.openxmlformats.org/officeDocument/2006/relationships/hyperlink" Id="rId97" Target="https://doi.org/10.1080/15230406.2013.777137" TargetMode="External" /><Relationship Type="http://schemas.openxmlformats.org/officeDocument/2006/relationships/hyperlink" Id="rId85" Target="https://doi.org/10.1080/24694452.2017.1308240" TargetMode="External" /><Relationship Type="http://schemas.openxmlformats.org/officeDocument/2006/relationships/hyperlink" Id="rId156" Target="https://doi.org/10.1088/1748-9326/ac5bb5" TargetMode="External" /><Relationship Type="http://schemas.openxmlformats.org/officeDocument/2006/relationships/hyperlink" Id="rId93" Target="https://doi.org/10.1093/database/baw015" TargetMode="External" /><Relationship Type="http://schemas.openxmlformats.org/officeDocument/2006/relationships/hyperlink" Id="rId176" Target="https://doi.org/10.1093/llc/fqac083" TargetMode="External" /><Relationship Type="http://schemas.openxmlformats.org/officeDocument/2006/relationships/hyperlink" Id="rId166" Target="https://doi.org/10.1109/AICCSA.2017.115" TargetMode="External" /><Relationship Type="http://schemas.openxmlformats.org/officeDocument/2006/relationships/hyperlink" Id="rId138" Target="https://doi.org/10.1111/cobi.13702" TargetMode="External" /><Relationship Type="http://schemas.openxmlformats.org/officeDocument/2006/relationships/hyperlink" Id="rId116" Target="https://doi.org/10.1111/j.1083-6101.2008.00403.x" TargetMode="External" /><Relationship Type="http://schemas.openxmlformats.org/officeDocument/2006/relationships/hyperlink" Id="rId83" Target="https://doi.org/10.1111/tgis.12600" TargetMode="External" /><Relationship Type="http://schemas.openxmlformats.org/officeDocument/2006/relationships/hyperlink" Id="rId81" Target="https://doi.org/10.1145/1978942.1979451" TargetMode="External" /><Relationship Type="http://schemas.openxmlformats.org/officeDocument/2006/relationships/hyperlink" Id="rId109" Target="https://doi.org/10.1162/inov_a_00212" TargetMode="External" /><Relationship Type="http://schemas.openxmlformats.org/officeDocument/2006/relationships/hyperlink" Id="rId95" Target="https://doi.org/10.1162/qss_a_00080" TargetMode="External" /><Relationship Type="http://schemas.openxmlformats.org/officeDocument/2006/relationships/hyperlink" Id="rId126" Target="https://doi.org/10.1177/0002764212469367" TargetMode="External" /><Relationship Type="http://schemas.openxmlformats.org/officeDocument/2006/relationships/hyperlink" Id="rId140" Target="https://doi.org/10.1177/0162243918815234" TargetMode="External" /><Relationship Type="http://schemas.openxmlformats.org/officeDocument/2006/relationships/hyperlink" Id="rId150" Target="https://doi.org/10.1177/075910639002600103" TargetMode="External" /><Relationship Type="http://schemas.openxmlformats.org/officeDocument/2006/relationships/hyperlink" Id="rId152" Target="https://doi.org/10.1177/0894439308321890" TargetMode="External" /><Relationship Type="http://schemas.openxmlformats.org/officeDocument/2006/relationships/hyperlink" Id="rId154" Target="https://doi.org/10.1371/journal.pone.0289325" TargetMode="External" /><Relationship Type="http://schemas.openxmlformats.org/officeDocument/2006/relationships/hyperlink" Id="rId111" Target="https://doi.org/10.14361/9783839445198-041" TargetMode="External" /><Relationship Type="http://schemas.openxmlformats.org/officeDocument/2006/relationships/hyperlink" Id="rId144" Target="https://doi.org/10.18574/nyu/9780814763025.003.0008" TargetMode="External" /><Relationship Type="http://schemas.openxmlformats.org/officeDocument/2006/relationships/hyperlink" Id="rId160" Target="https://doi.org/10.21105/joss.00037" TargetMode="External" /><Relationship Type="http://schemas.openxmlformats.org/officeDocument/2006/relationships/hyperlink" Id="rId168" Target="https://doi.org/10.2196/jmir.2123" TargetMode="External" /><Relationship Type="http://schemas.openxmlformats.org/officeDocument/2006/relationships/hyperlink" Id="rId130" Target="https://doi.org/10.3406/mots.1980.1008" TargetMode="External" /><Relationship Type="http://schemas.openxmlformats.org/officeDocument/2006/relationships/hyperlink" Id="rId134" Target="https://doi.org/10.48550/ARXIV.2001.08810" TargetMode="External" /><Relationship Type="http://schemas.openxmlformats.org/officeDocument/2006/relationships/hyperlink" Id="rId142" Target="https://doi.org/10.5194/esd-9-757-2018" TargetMode="External" /><Relationship Type="http://schemas.openxmlformats.org/officeDocument/2006/relationships/hyperlink" Id="rId174" Target="https://doi.org/10.5194/hess-17-1871-2013" TargetMode="External" /><Relationship Type="http://schemas.openxmlformats.org/officeDocument/2006/relationships/hyperlink" Id="rId91" Target="https://floodobservatory.colorado.edu/Archives/index.html" TargetMode="External" /><Relationship Type="http://schemas.openxmlformats.org/officeDocument/2006/relationships/hyperlink" Id="rId124" Target="https://github.com/Tomeriko96/polyglotr/" TargetMode="External" /><Relationship Type="http://schemas.openxmlformats.org/officeDocument/2006/relationships/hyperlink" Id="rId36" Target="https://isig-apps.ens-lyon.fr/apps/lvaudor/glourb_floods_app/" TargetMode="External" /><Relationship Type="http://schemas.openxmlformats.org/officeDocument/2006/relationships/hyperlink" Id="rId87" Target="https://juba.github.io/rainette/" TargetMode="External" /><Relationship Type="http://schemas.openxmlformats.org/officeDocument/2006/relationships/hyperlink" Id="rId170" Target="https://lvaudor.github.io/glitter/" TargetMode="External" /><Relationship Type="http://schemas.openxmlformats.org/officeDocument/2006/relationships/hyperlink" Id="rId172" Target="https://rvest.tidyverse.org/" TargetMode="External" /></Relationships>
</file>

<file path=word/_rels/footnotes.xml.rels><?xml version="1.0" encoding="UTF-8"?><Relationships xmlns="http://schemas.openxmlformats.org/package/2006/relationships"><Relationship Type="http://schemas.openxmlformats.org/officeDocument/2006/relationships/hyperlink" Id="rId101" Target="http://arxiv.org/abs/1908.11153" TargetMode="External" /><Relationship Type="http://schemas.openxmlformats.org/officeDocument/2006/relationships/hyperlink" Id="rId148" Target="http://www.iramuteq.org" TargetMode="External" /><Relationship Type="http://schemas.openxmlformats.org/officeDocument/2006/relationships/hyperlink" Id="rId132" Target="https://cran.r-project.org/web/packages/textometry/" TargetMode="External" /><Relationship Type="http://schemas.openxmlformats.org/officeDocument/2006/relationships/hyperlink" Id="rId113" Target="https://doi.org/10.1002/geo2.8" TargetMode="External" /><Relationship Type="http://schemas.openxmlformats.org/officeDocument/2006/relationships/hyperlink" Id="rId136" Target="https://doi.org/10.1007/978-3-319-14280-7_7" TargetMode="External" /><Relationship Type="http://schemas.openxmlformats.org/officeDocument/2006/relationships/hyperlink" Id="rId107" Target="https://doi.org/10.1007/s10708-007-9111-y" TargetMode="External" /><Relationship Type="http://schemas.openxmlformats.org/officeDocument/2006/relationships/hyperlink" Id="rId162" Target="https://doi.org/10.1007/s10708-013-9492-z" TargetMode="External" /><Relationship Type="http://schemas.openxmlformats.org/officeDocument/2006/relationships/hyperlink" Id="rId89" Target="https://doi.org/10.1007/s10708-016-9721-3" TargetMode="External" /><Relationship Type="http://schemas.openxmlformats.org/officeDocument/2006/relationships/hyperlink" Id="rId103" Target="https://doi.org/10.1007/s10708-019-10035-z" TargetMode="External" /><Relationship Type="http://schemas.openxmlformats.org/officeDocument/2006/relationships/hyperlink" Id="rId99" Target="https://doi.org/10.1016/j.apgeog.2021.102393" TargetMode="External" /><Relationship Type="http://schemas.openxmlformats.org/officeDocument/2006/relationships/hyperlink" Id="rId122" Target="https://doi.org/10.1016/j.sbspro.2010.04.054" TargetMode="External" /><Relationship Type="http://schemas.openxmlformats.org/officeDocument/2006/relationships/hyperlink" Id="rId120" Target="https://doi.org/10.1016/j.scitotenv.2018.06.197" TargetMode="External" /><Relationship Type="http://schemas.openxmlformats.org/officeDocument/2006/relationships/hyperlink" Id="rId105" Target="https://doi.org/10.1038/438900a" TargetMode="External" /><Relationship Type="http://schemas.openxmlformats.org/officeDocument/2006/relationships/hyperlink" Id="rId164" Target="https://doi.org/10.1038/s41586-021-03695-w" TargetMode="External" /><Relationship Type="http://schemas.openxmlformats.org/officeDocument/2006/relationships/hyperlink" Id="rId118" Target="https://doi.org/10.1038/s41598-021-82404-z" TargetMode="External" /><Relationship Type="http://schemas.openxmlformats.org/officeDocument/2006/relationships/hyperlink" Id="rId128" Target="https://doi.org/10.1080/02626667.2012.745082" TargetMode="External" /><Relationship Type="http://schemas.openxmlformats.org/officeDocument/2006/relationships/hyperlink" Id="rId146" Target="https://doi.org/10.1080/10508406.2014.888352" TargetMode="External" /><Relationship Type="http://schemas.openxmlformats.org/officeDocument/2006/relationships/hyperlink" Id="rId158" Target="https://doi.org/10.1080/13658816.2016.1189556" TargetMode="External" /><Relationship Type="http://schemas.openxmlformats.org/officeDocument/2006/relationships/hyperlink" Id="rId97" Target="https://doi.org/10.1080/15230406.2013.777137" TargetMode="External" /><Relationship Type="http://schemas.openxmlformats.org/officeDocument/2006/relationships/hyperlink" Id="rId85" Target="https://doi.org/10.1080/24694452.2017.1308240" TargetMode="External" /><Relationship Type="http://schemas.openxmlformats.org/officeDocument/2006/relationships/hyperlink" Id="rId156" Target="https://doi.org/10.1088/1748-9326/ac5bb5" TargetMode="External" /><Relationship Type="http://schemas.openxmlformats.org/officeDocument/2006/relationships/hyperlink" Id="rId93" Target="https://doi.org/10.1093/database/baw015" TargetMode="External" /><Relationship Type="http://schemas.openxmlformats.org/officeDocument/2006/relationships/hyperlink" Id="rId176" Target="https://doi.org/10.1093/llc/fqac083" TargetMode="External" /><Relationship Type="http://schemas.openxmlformats.org/officeDocument/2006/relationships/hyperlink" Id="rId166" Target="https://doi.org/10.1109/AICCSA.2017.115" TargetMode="External" /><Relationship Type="http://schemas.openxmlformats.org/officeDocument/2006/relationships/hyperlink" Id="rId138" Target="https://doi.org/10.1111/cobi.13702" TargetMode="External" /><Relationship Type="http://schemas.openxmlformats.org/officeDocument/2006/relationships/hyperlink" Id="rId116" Target="https://doi.org/10.1111/j.1083-6101.2008.00403.x" TargetMode="External" /><Relationship Type="http://schemas.openxmlformats.org/officeDocument/2006/relationships/hyperlink" Id="rId83" Target="https://doi.org/10.1111/tgis.12600" TargetMode="External" /><Relationship Type="http://schemas.openxmlformats.org/officeDocument/2006/relationships/hyperlink" Id="rId81" Target="https://doi.org/10.1145/1978942.1979451" TargetMode="External" /><Relationship Type="http://schemas.openxmlformats.org/officeDocument/2006/relationships/hyperlink" Id="rId109" Target="https://doi.org/10.1162/inov_a_00212" TargetMode="External" /><Relationship Type="http://schemas.openxmlformats.org/officeDocument/2006/relationships/hyperlink" Id="rId95" Target="https://doi.org/10.1162/qss_a_00080" TargetMode="External" /><Relationship Type="http://schemas.openxmlformats.org/officeDocument/2006/relationships/hyperlink" Id="rId126" Target="https://doi.org/10.1177/0002764212469367" TargetMode="External" /><Relationship Type="http://schemas.openxmlformats.org/officeDocument/2006/relationships/hyperlink" Id="rId140" Target="https://doi.org/10.1177/0162243918815234" TargetMode="External" /><Relationship Type="http://schemas.openxmlformats.org/officeDocument/2006/relationships/hyperlink" Id="rId150" Target="https://doi.org/10.1177/075910639002600103" TargetMode="External" /><Relationship Type="http://schemas.openxmlformats.org/officeDocument/2006/relationships/hyperlink" Id="rId152" Target="https://doi.org/10.1177/0894439308321890" TargetMode="External" /><Relationship Type="http://schemas.openxmlformats.org/officeDocument/2006/relationships/hyperlink" Id="rId154" Target="https://doi.org/10.1371/journal.pone.0289325" TargetMode="External" /><Relationship Type="http://schemas.openxmlformats.org/officeDocument/2006/relationships/hyperlink" Id="rId111" Target="https://doi.org/10.14361/9783839445198-041" TargetMode="External" /><Relationship Type="http://schemas.openxmlformats.org/officeDocument/2006/relationships/hyperlink" Id="rId144" Target="https://doi.org/10.18574/nyu/9780814763025.003.0008" TargetMode="External" /><Relationship Type="http://schemas.openxmlformats.org/officeDocument/2006/relationships/hyperlink" Id="rId160" Target="https://doi.org/10.21105/joss.00037" TargetMode="External" /><Relationship Type="http://schemas.openxmlformats.org/officeDocument/2006/relationships/hyperlink" Id="rId168" Target="https://doi.org/10.2196/jmir.2123" TargetMode="External" /><Relationship Type="http://schemas.openxmlformats.org/officeDocument/2006/relationships/hyperlink" Id="rId130" Target="https://doi.org/10.3406/mots.1980.1008" TargetMode="External" /><Relationship Type="http://schemas.openxmlformats.org/officeDocument/2006/relationships/hyperlink" Id="rId134" Target="https://doi.org/10.48550/ARXIV.2001.08810" TargetMode="External" /><Relationship Type="http://schemas.openxmlformats.org/officeDocument/2006/relationships/hyperlink" Id="rId142" Target="https://doi.org/10.5194/esd-9-757-2018" TargetMode="External" /><Relationship Type="http://schemas.openxmlformats.org/officeDocument/2006/relationships/hyperlink" Id="rId174" Target="https://doi.org/10.5194/hess-17-1871-2013" TargetMode="External" /><Relationship Type="http://schemas.openxmlformats.org/officeDocument/2006/relationships/hyperlink" Id="rId91" Target="https://floodobservatory.colorado.edu/Archives/index.html" TargetMode="External" /><Relationship Type="http://schemas.openxmlformats.org/officeDocument/2006/relationships/hyperlink" Id="rId124" Target="https://github.com/Tomeriko96/polyglotr/" TargetMode="External" /><Relationship Type="http://schemas.openxmlformats.org/officeDocument/2006/relationships/hyperlink" Id="rId36" Target="https://isig-apps.ens-lyon.fr/apps/lvaudor/glourb_floods_app/" TargetMode="External" /><Relationship Type="http://schemas.openxmlformats.org/officeDocument/2006/relationships/hyperlink" Id="rId87" Target="https://juba.github.io/rainette/" TargetMode="External" /><Relationship Type="http://schemas.openxmlformats.org/officeDocument/2006/relationships/hyperlink" Id="rId170" Target="https://lvaudor.github.io/glitter/" TargetMode="External" /><Relationship Type="http://schemas.openxmlformats.org/officeDocument/2006/relationships/hyperlink" Id="rId172" Target="https://rvest.tidyvers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Lise Vaudor; Liolia Bajemon; Maïlys Genouël; Hervé Piégay</dc:creator>
  <cp:keywords/>
  <dcterms:created xsi:type="dcterms:W3CDTF">2024-03-01T12:05:46Z</dcterms:created>
  <dcterms:modified xsi:type="dcterms:W3CDTF">2024-03-01T12:05:46Z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y-author">
    <vt:lpwstr/>
  </property>
  <property fmtid="{D5CDD505-2E9C-101B-9397-08002B2CF9AE}" pid="6" name="editor">
    <vt:lpwstr>visual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