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12138">
      <w:pPr>
        <w:keepNext w:val="0"/>
        <w:keepLines w:val="0"/>
        <w:pageBreakBefore w:val="0"/>
        <w:widowControl/>
        <w:kinsoku/>
        <w:wordWrap/>
        <w:overflowPunct/>
        <w:topLinePunct w:val="0"/>
        <w:autoSpaceDE/>
        <w:autoSpaceDN/>
        <w:bidi w:val="0"/>
        <w:adjustRightInd/>
        <w:snapToGrid/>
        <w:ind w:firstLine="720" w:firstLineChars="200"/>
        <w:jc w:val="center"/>
        <w:textAlignment w:val="auto"/>
        <w:rPr>
          <w:rFonts w:hint="eastAsia" w:ascii="黑体" w:hAnsi="黑体" w:eastAsia="黑体" w:cs="黑体"/>
          <w:sz w:val="36"/>
          <w:szCs w:val="36"/>
        </w:rPr>
      </w:pPr>
      <w:r>
        <w:rPr>
          <w:rFonts w:hint="eastAsia" w:ascii="黑体" w:hAnsi="黑体" w:eastAsia="黑体" w:cs="黑体"/>
          <w:sz w:val="36"/>
          <w:szCs w:val="36"/>
          <w:lang w:val="en-US" w:eastAsia="zh-CN"/>
        </w:rPr>
        <w:t>国外生态文明教育</w:t>
      </w:r>
      <w:r>
        <w:rPr>
          <w:rFonts w:hint="eastAsia" w:ascii="黑体" w:hAnsi="黑体" w:eastAsia="黑体" w:cs="黑体"/>
          <w:sz w:val="36"/>
          <w:szCs w:val="36"/>
        </w:rPr>
        <w:t>研究</w:t>
      </w:r>
      <w:r>
        <w:rPr>
          <w:rFonts w:hint="eastAsia" w:ascii="黑体" w:hAnsi="黑体" w:eastAsia="黑体" w:cs="黑体"/>
          <w:sz w:val="36"/>
          <w:szCs w:val="36"/>
          <w:lang w:val="en-US" w:eastAsia="zh-CN"/>
        </w:rPr>
        <w:t>前沿热点</w:t>
      </w:r>
      <w:r>
        <w:rPr>
          <w:rFonts w:hint="eastAsia" w:ascii="黑体" w:hAnsi="黑体" w:eastAsia="黑体" w:cs="黑体"/>
          <w:sz w:val="36"/>
          <w:szCs w:val="36"/>
        </w:rPr>
        <w:t>及</w:t>
      </w:r>
      <w:r>
        <w:rPr>
          <w:rFonts w:hint="eastAsia" w:ascii="黑体" w:hAnsi="黑体" w:eastAsia="黑体" w:cs="黑体"/>
          <w:sz w:val="36"/>
          <w:szCs w:val="36"/>
          <w:lang w:val="en-US" w:eastAsia="zh-CN"/>
        </w:rPr>
        <w:t>演变路径</w:t>
      </w:r>
      <w:r>
        <w:rPr>
          <w:rFonts w:hint="eastAsia" w:ascii="黑体" w:hAnsi="黑体" w:eastAsia="黑体" w:cs="黑体"/>
          <w:sz w:val="36"/>
          <w:szCs w:val="36"/>
          <w:lang w:val="en-US" w:eastAsia="zh-CN"/>
        </w:rPr>
        <w:br w:type="textWrapping"/>
      </w:r>
      <w:r>
        <w:rPr>
          <w:rFonts w:hint="eastAsia" w:ascii="黑体" w:hAnsi="黑体" w:eastAsia="黑体" w:cs="黑体"/>
          <w:sz w:val="36"/>
          <w:szCs w:val="36"/>
          <w:lang w:val="en-US" w:eastAsia="zh-CN"/>
        </w:rPr>
        <w:t>——基于LDA主题模型的分析</w:t>
      </w:r>
      <w:r>
        <w:rPr>
          <w:rFonts w:hint="eastAsia" w:ascii="黑体" w:hAnsi="黑体" w:eastAsia="黑体" w:cs="黑体"/>
          <w:sz w:val="36"/>
          <w:szCs w:val="36"/>
          <w:lang w:val="en-US" w:eastAsia="zh-CN"/>
        </w:rPr>
        <w:br w:type="textWrapping"/>
      </w:r>
      <w:r>
        <w:rPr>
          <w:rFonts w:hint="eastAsia" w:ascii="楷体" w:hAnsi="楷体" w:eastAsia="楷体" w:cs="楷体"/>
          <w:sz w:val="21"/>
          <w:szCs w:val="21"/>
          <w:lang w:val="en-US" w:eastAsia="zh-CN"/>
        </w:rPr>
        <w:t>吕雯倩，刘云华</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（重庆师范大学教育科学学院，重庆 400900）</w:t>
      </w:r>
      <w:r>
        <w:rPr>
          <w:rStyle w:val="16"/>
          <w:rFonts w:hint="eastAsia" w:ascii="黑体" w:hAnsi="黑体" w:eastAsia="黑体" w:cs="黑体"/>
          <w:vanish/>
          <w:sz w:val="36"/>
          <w:szCs w:val="36"/>
          <w:lang w:val="en-US" w:eastAsia="zh-CN"/>
        </w:rPr>
        <w:footnoteReference w:id="0"/>
      </w:r>
    </w:p>
    <w:p w14:paraId="3F8C12C9">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cs="宋体"/>
          <w:sz w:val="21"/>
          <w:szCs w:val="21"/>
          <w:lang w:val="en-US" w:eastAsia="zh-CN"/>
        </w:rPr>
        <w:pPrChange w:id="0" w:author="lyh" w:date="2025-04-18T10:15:00Z">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pPr>
        </w:pPrChange>
      </w:pPr>
      <w:r>
        <w:rPr>
          <w:rFonts w:hint="eastAsia" w:ascii="黑体" w:hAnsi="黑体" w:eastAsia="黑体" w:cs="黑体"/>
          <w:sz w:val="21"/>
          <w:szCs w:val="21"/>
          <w:lang w:val="en-US" w:eastAsia="zh-CN"/>
        </w:rPr>
        <w:t>[摘要]：</w:t>
      </w:r>
      <w:r>
        <w:rPr>
          <w:rFonts w:hint="eastAsia" w:ascii="楷体" w:hAnsi="楷体" w:eastAsia="楷体" w:cs="楷体"/>
          <w:sz w:val="21"/>
          <w:szCs w:val="21"/>
          <w:lang w:val="en-US" w:eastAsia="zh-CN"/>
        </w:rPr>
        <w:t>生态文明教育作为推动可持续发展的核心路径，日益成为国际学术界和教育实践关注的焦点。为系统揭示其研究主题演化趋势，基于Web of Science核心数据库，采用LDA主题模型对2011-2024年生态文明教育相关主题英文期刊文献进行文本分析。结果显示，首先，国外生态文明教育研究随着事件发展呈现出主题拓展的趋势。其次，该过程呈现出内部核心稳定、外部边缘扩展结构特征，是基础主题逐渐拓展到实践层次再到多元融合的发展过程。最后，近年研究热点聚焦于“气候变化”、“食物浪费与可持续消费”、“生物多样性”、“社区参与</w:t>
      </w:r>
      <w:r>
        <w:rPr>
          <w:rFonts w:hint="default" w:ascii="楷体" w:hAnsi="楷体" w:eastAsia="楷体" w:cs="楷体"/>
          <w:sz w:val="21"/>
          <w:szCs w:val="21"/>
          <w:lang w:val="en-US" w:eastAsia="zh-CN"/>
        </w:rPr>
        <w:t>”</w:t>
      </w:r>
      <w:r>
        <w:rPr>
          <w:rFonts w:hint="eastAsia" w:ascii="楷体" w:hAnsi="楷体" w:eastAsia="楷体" w:cs="楷体"/>
          <w:sz w:val="21"/>
          <w:szCs w:val="21"/>
          <w:lang w:val="en-US" w:eastAsia="zh-CN"/>
        </w:rPr>
        <w:t>与“绿色发展”五个方向，针对以上五个主题学界已展开了丰富的探索，但整体仍面临课程碎片化、学科割裂、知行脱节、机制不健全与文化视角单一等问题，未来需在政策、制度与教学实践等层面协同推进改革。</w:t>
      </w:r>
    </w:p>
    <w:p w14:paraId="00C3712A">
      <w:pPr>
        <w:keepNext w:val="0"/>
        <w:keepLines w:val="0"/>
        <w:pageBreakBefore w:val="0"/>
        <w:widowControl/>
        <w:numPr>
          <w:ilvl w:val="0"/>
          <w:numId w:val="0"/>
        </w:numPr>
        <w:kinsoku/>
        <w:wordWrap/>
        <w:overflowPunct/>
        <w:topLinePunct w:val="0"/>
        <w:autoSpaceDE/>
        <w:autoSpaceDN/>
        <w:bidi w:val="0"/>
        <w:adjustRightInd/>
        <w:snapToGrid/>
        <w:ind w:left="416" w:leftChars="208" w:firstLine="0" w:firstLineChars="0"/>
        <w:textAlignment w:val="auto"/>
        <w:rPr>
          <w:rFonts w:hint="eastAsia" w:ascii="楷体" w:hAnsi="楷体" w:eastAsia="楷体" w:cs="楷体"/>
          <w:sz w:val="21"/>
          <w:szCs w:val="21"/>
          <w:lang w:val="en-US" w:eastAsia="zh-CN"/>
        </w:rPr>
      </w:pPr>
      <w:r>
        <w:rPr>
          <w:rFonts w:hint="eastAsia" w:ascii="黑体" w:hAnsi="黑体" w:eastAsia="黑体" w:cs="黑体"/>
          <w:sz w:val="21"/>
          <w:szCs w:val="21"/>
          <w:lang w:val="en-US" w:eastAsia="zh-CN"/>
        </w:rPr>
        <w:t>[关键词]：</w:t>
      </w:r>
      <w:r>
        <w:rPr>
          <w:rFonts w:hint="eastAsia" w:ascii="楷体" w:hAnsi="楷体" w:eastAsia="楷体" w:cs="楷体"/>
          <w:sz w:val="21"/>
          <w:szCs w:val="21"/>
          <w:lang w:val="en-US" w:eastAsia="zh-CN"/>
        </w:rPr>
        <w:t>可持续发展；LDA主题模型；生态文明教育；文献计量分析</w:t>
      </w:r>
    </w:p>
    <w:p w14:paraId="5B8F61DA">
      <w:pPr>
        <w:keepNext w:val="0"/>
        <w:keepLines w:val="0"/>
        <w:pageBreakBefore w:val="0"/>
        <w:widowControl/>
        <w:numPr>
          <w:ilvl w:val="0"/>
          <w:numId w:val="0"/>
        </w:numPr>
        <w:kinsoku/>
        <w:wordWrap/>
        <w:overflowPunct/>
        <w:topLinePunct w:val="0"/>
        <w:autoSpaceDE/>
        <w:autoSpaceDN/>
        <w:bidi w:val="0"/>
        <w:adjustRightInd/>
        <w:snapToGrid/>
        <w:ind w:left="416" w:leftChars="208" w:firstLine="0" w:firstLineChars="0"/>
        <w:jc w:val="both"/>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中图分类号:G511           文献标识码:A           文章编号:</w:t>
      </w:r>
    </w:p>
    <w:p w14:paraId="4AD58E60">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default" w:ascii="宋体" w:hAnsi="宋体" w:cs="宋体"/>
          <w:sz w:val="21"/>
          <w:szCs w:val="21"/>
          <w:lang w:val="en-US" w:eastAsia="zh-CN"/>
        </w:rPr>
        <w:pPrChange w:id="1" w:author="lyh" w:date="2025-04-18T10:15:00Z">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pPr>
        </w:pPrChange>
      </w:pPr>
    </w:p>
    <w:p w14:paraId="4AC393CA">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sectPr>
          <w:footnotePr>
            <w:numFmt w:val="decimalEnclosedCircleChinese"/>
            <w:numRestart w:val="eachPage"/>
          </w:footnotePr>
          <w:endnotePr>
            <w:numFmt w:val="decimal"/>
          </w:endnotePr>
          <w:pgSz w:w="11906" w:h="16838"/>
          <w:pgMar w:top="1440" w:right="1800" w:bottom="1440" w:left="1800" w:header="851" w:footer="992" w:gutter="0"/>
          <w:cols w:space="720" w:num="1"/>
          <w:docGrid w:type="lines" w:linePitch="312" w:charSpace="0"/>
        </w:sectPr>
      </w:pPr>
    </w:p>
    <w:p w14:paraId="2326C38F">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420" w:firstLineChars="200"/>
        <w:textAlignment w:val="auto"/>
        <w:outlineLvl w:val="0"/>
        <w:rPr>
          <w:rFonts w:hint="eastAsia" w:ascii="黑体" w:hAnsi="黑体" w:eastAsia="黑体" w:cs="黑体"/>
          <w:sz w:val="21"/>
          <w:szCs w:val="21"/>
          <w:lang w:val="en-US" w:eastAsia="zh-CN" w:bidi="ar-SA"/>
        </w:rPr>
      </w:pPr>
      <w:r>
        <w:rPr>
          <w:rFonts w:hint="eastAsia" w:ascii="黑体" w:hAnsi="黑体" w:eastAsia="黑体" w:cs="黑体"/>
          <w:sz w:val="21"/>
          <w:szCs w:val="21"/>
          <w:lang w:val="en-US" w:eastAsia="zh-CN" w:bidi="ar-SA"/>
        </w:rPr>
        <w:t>一、问题提出</w:t>
      </w:r>
    </w:p>
    <w:p w14:paraId="3078034D">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党的十八大报告指出：“必须更加自觉地把全面协调可持续作为深入贯彻落实科学发展观的基本要求”，并将生态文明建设纳入国家未来发展战略。</w:t>
      </w:r>
      <w:r>
        <w:rPr>
          <w:rStyle w:val="14"/>
          <w:rFonts w:hint="eastAsia" w:ascii="宋体" w:hAnsi="宋体" w:eastAsia="宋体" w:cs="宋体"/>
          <w:sz w:val="21"/>
          <w:szCs w:val="21"/>
          <w:lang w:val="en-US" w:eastAsia="zh-CN"/>
        </w:rPr>
        <w:t>[</w:t>
      </w:r>
      <w:r>
        <w:rPr>
          <w:rStyle w:val="14"/>
          <w:rFonts w:hint="eastAsia" w:ascii="宋体" w:hAnsi="宋体" w:eastAsia="宋体" w:cs="宋体"/>
          <w:sz w:val="21"/>
          <w:szCs w:val="21"/>
          <w:lang w:val="en-US" w:eastAsia="zh-CN"/>
        </w:rPr>
        <w:endnoteReference w:id="0"/>
      </w:r>
      <w:r>
        <w:rPr>
          <w:rStyle w:val="14"/>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t>。这一论述明确指出教育在生态文明建设中所应承担的职责。作为一项基础性素质教育，生态文明教育不仅有助于提升公众对生态文明建设的理解、树立科学的生态观、培养创新能力、健全生态人格，也能推动社会公平发展</w:t>
      </w:r>
      <w:r>
        <w:rPr>
          <w:rStyle w:val="14"/>
          <w:rFonts w:hint="eastAsia" w:ascii="宋体" w:hAnsi="宋体" w:eastAsia="宋体" w:cs="宋体"/>
          <w:sz w:val="21"/>
          <w:szCs w:val="21"/>
          <w:lang w:val="en-US" w:eastAsia="zh-CN"/>
        </w:rPr>
        <w:t>[</w:t>
      </w:r>
      <w:r>
        <w:rPr>
          <w:rStyle w:val="14"/>
          <w:rFonts w:hint="eastAsia" w:ascii="宋体" w:hAnsi="宋体" w:eastAsia="宋体" w:cs="宋体"/>
          <w:sz w:val="21"/>
          <w:szCs w:val="21"/>
          <w:lang w:val="en-US" w:eastAsia="zh-CN"/>
        </w:rPr>
        <w:endnoteReference w:id="1"/>
      </w:r>
      <w:r>
        <w:rPr>
          <w:rStyle w:val="14"/>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近年来，文献计量分析方法在生态文明教育研究中被广泛应用，已成为探究该领域发展现状与未来趋势的重要工具。该方法通过对大规模文献数据的定量分析，揭示生态文明教育研究中的热点议题、学术合作网络及前沿动态。例如，陈时见等人利用 CiteSpace 软件对所采集文献进行合作网络分析，绘制了国内外生态文明教育研究的知识图谱</w:t>
      </w:r>
      <w:r>
        <w:rPr>
          <w:rStyle w:val="14"/>
          <w:rFonts w:hint="eastAsia" w:ascii="宋体" w:hAnsi="宋体" w:eastAsia="宋体" w:cs="宋体"/>
          <w:sz w:val="21"/>
          <w:szCs w:val="21"/>
          <w:lang w:val="en-US" w:eastAsia="zh-CN"/>
        </w:rPr>
        <w:t>[</w:t>
      </w:r>
      <w:r>
        <w:rPr>
          <w:rStyle w:val="14"/>
          <w:rFonts w:hint="eastAsia" w:ascii="宋体" w:hAnsi="宋体" w:eastAsia="宋体" w:cs="宋体"/>
          <w:sz w:val="21"/>
          <w:szCs w:val="21"/>
          <w:lang w:val="en-US" w:eastAsia="zh-CN"/>
        </w:rPr>
        <w:endnoteReference w:id="2"/>
      </w:r>
      <w:r>
        <w:rPr>
          <w:rStyle w:val="14"/>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t>；任帅等人也采用 CiteSpace 软件，对绿色教育研究的热点与趋势进行了可视化分析</w:t>
      </w:r>
      <w:r>
        <w:rPr>
          <w:rStyle w:val="14"/>
          <w:rFonts w:hint="eastAsia" w:ascii="宋体" w:hAnsi="宋体" w:eastAsia="宋体" w:cs="宋体"/>
          <w:sz w:val="21"/>
          <w:szCs w:val="21"/>
          <w:lang w:val="en-US" w:eastAsia="zh-CN"/>
        </w:rPr>
        <w:t>[</w:t>
      </w:r>
      <w:r>
        <w:rPr>
          <w:rStyle w:val="14"/>
          <w:rFonts w:hint="eastAsia" w:ascii="宋体" w:hAnsi="宋体" w:eastAsia="宋体" w:cs="宋体"/>
          <w:sz w:val="21"/>
          <w:szCs w:val="21"/>
          <w:lang w:val="en-US" w:eastAsia="zh-CN"/>
        </w:rPr>
        <w:endnoteReference w:id="3"/>
      </w:r>
      <w:r>
        <w:rPr>
          <w:rStyle w:val="14"/>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t>。传统主题分析方法通过共被引分析、突现词识别等手段能够提取文献主题与研究前沿，但在应对大规模数据处理方面存在一定局限性</w:t>
      </w:r>
      <w:r>
        <w:rPr>
          <w:rStyle w:val="14"/>
          <w:rFonts w:hint="eastAsia" w:ascii="宋体" w:hAnsi="宋体" w:eastAsia="宋体" w:cs="宋体"/>
          <w:sz w:val="21"/>
          <w:szCs w:val="21"/>
          <w:lang w:val="en-US" w:eastAsia="zh-CN"/>
        </w:rPr>
        <w:t>[</w:t>
      </w:r>
      <w:r>
        <w:rPr>
          <w:rStyle w:val="14"/>
          <w:rFonts w:hint="eastAsia" w:ascii="宋体" w:hAnsi="宋体" w:eastAsia="宋体" w:cs="宋体"/>
          <w:sz w:val="21"/>
          <w:szCs w:val="21"/>
          <w:lang w:val="en-US" w:eastAsia="zh-CN"/>
        </w:rPr>
        <w:endnoteReference w:id="4"/>
      </w:r>
      <w:r>
        <w:rPr>
          <w:rStyle w:val="14"/>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t>。</w:t>
      </w:r>
    </w:p>
    <w:p w14:paraId="014A7D38">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潜在狄利克雷分配</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Latent Dirichlet Allocation</w:t>
      </w:r>
      <w:r>
        <w:rPr>
          <w:rFonts w:hint="eastAsia" w:ascii="宋体" w:hAnsi="宋体" w:cs="宋体"/>
          <w:sz w:val="21"/>
          <w:szCs w:val="21"/>
          <w:lang w:val="en-US" w:eastAsia="zh-CN"/>
        </w:rPr>
        <w:t>,LDA</w:t>
      </w:r>
      <w:r>
        <w:rPr>
          <w:rFonts w:hint="eastAsia" w:ascii="宋体" w:hAnsi="宋体" w:eastAsia="宋体" w:cs="宋体"/>
          <w:sz w:val="21"/>
          <w:szCs w:val="21"/>
          <w:lang w:val="en-US" w:eastAsia="zh-CN"/>
        </w:rPr>
        <w:t>）作为一种无监督学习算法，能够在无需人工标注的情况下自动识别</w:t>
      </w:r>
      <w:r>
        <w:rPr>
          <w:rFonts w:hint="eastAsia" w:ascii="宋体" w:hAnsi="宋体" w:eastAsia="宋体" w:cs="宋体"/>
          <w:color w:val="auto"/>
          <w:sz w:val="21"/>
          <w:szCs w:val="21"/>
          <w:lang w:val="en-US" w:eastAsia="zh-CN"/>
        </w:rPr>
        <w:t>文本集合中的潜在主题。近年来，研究者尝试将时间维度引入 LDA 模型的分析过程中。例如，朱光等人基于生命周期理论对主题的时间跨度进行了研究</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；刘雅姝等人则运用 LDA 模型对网络舆情数据进行了主题划分，并从实体属性与时间属性等多维特征出发，追踪舆情话题的演化过程</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6"/>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。此外，将 LDA 与时间序列分析相结合，能够对生态文明教育的发展趋势进行科学建模与预测，为相关研究</w:t>
      </w:r>
      <w:r>
        <w:rPr>
          <w:rFonts w:hint="eastAsia" w:ascii="宋体" w:hAnsi="宋体" w:eastAsia="宋体" w:cs="宋体"/>
          <w:sz w:val="21"/>
          <w:szCs w:val="21"/>
          <w:lang w:val="en-US" w:eastAsia="zh-CN"/>
        </w:rPr>
        <w:t>提供更加客观且精确的信息支持。</w:t>
      </w:r>
      <w:r>
        <w:rPr>
          <w:rFonts w:hint="default" w:ascii="宋体" w:hAnsi="宋体" w:eastAsia="宋体" w:cs="宋体"/>
          <w:sz w:val="21"/>
          <w:szCs w:val="21"/>
          <w:lang w:val="en-US" w:eastAsia="zh-CN"/>
        </w:rPr>
        <w:t>为此，本研究借助 LDA 主题模型，对 Web of Science 核心数据库中标题含有“生态文明教育”“环境教育”及“可持续发展教育”的英文期刊论文进行文本建模分析。通过计算困惑度（Perplexity）确定 LDA 模型的最优主题数，以保障主题划分的科学性与合理性。在深入分析所生成的“文档—主题矩阵”与“主题—词矩阵”后，识别出生态文明教育领域的核心研究主题。基于 LDA 模型的输出结果，进一步计算各时间窗口下研究主题的强度，绘制主题热度图，并通过相邻时间窗口下的主题及其关键词之间的余弦距离值，判定主题之间的演化关系。最后，结合主题热度与新颖度指标，识别研究热点，以较为客观和系统的方式揭示国外生态文明教育研究的前沿方向与演变路径，为未来国内外该领域的理论建构与实践创新提供数据支撑与理论参考。</w:t>
      </w:r>
    </w:p>
    <w:p w14:paraId="74C68EDD">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420" w:firstLineChars="200"/>
        <w:textAlignment w:val="auto"/>
        <w:outlineLvl w:val="0"/>
        <w:rPr>
          <w:rFonts w:hint="eastAsia" w:ascii="黑体" w:hAnsi="黑体" w:eastAsia="黑体" w:cs="黑体"/>
          <w:sz w:val="21"/>
          <w:szCs w:val="21"/>
          <w:lang w:val="en-US" w:eastAsia="zh-CN" w:bidi="ar-SA"/>
        </w:rPr>
      </w:pPr>
      <w:r>
        <w:rPr>
          <w:rFonts w:hint="eastAsia" w:ascii="黑体" w:hAnsi="黑体" w:eastAsia="黑体" w:cs="黑体"/>
          <w:sz w:val="21"/>
          <w:szCs w:val="21"/>
          <w:lang w:val="en-US" w:eastAsia="zh-CN" w:bidi="ar-SA"/>
        </w:rPr>
        <w:t>二、研究设计</w:t>
      </w:r>
      <w:r>
        <w:rPr>
          <w:rFonts w:hint="eastAsia" w:ascii="黑体" w:hAnsi="黑体" w:eastAsia="黑体" w:cs="黑体"/>
          <w:sz w:val="21"/>
          <w:szCs w:val="21"/>
          <w:lang w:val="en-US" w:eastAsia="zh-CN" w:bidi="ar-SA"/>
        </w:rPr>
        <w:br w:type="textWrapping"/>
      </w:r>
      <w:r>
        <w:rPr>
          <w:rFonts w:hint="eastAsia" w:ascii="宋体" w:hAnsi="宋体" w:eastAsia="宋体" w:cs="宋体"/>
          <w:sz w:val="21"/>
          <w:szCs w:val="21"/>
          <w:lang w:val="en-US" w:eastAsia="zh-CN"/>
        </w:rPr>
        <w:t>为深入探讨国际生态素养教育热点及其演进规律，本研究运用LDA主题模型与主题向量空间建模，结合生命周期理论，系统呈现研究热点的动态演变路径。</w:t>
      </w:r>
    </w:p>
    <w:p w14:paraId="3C052B95">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420" w:firstLineChars="200"/>
        <w:textAlignment w:val="auto"/>
        <w:outlineLvl w:val="1"/>
        <w:rPr>
          <w:rFonts w:hint="eastAsia" w:ascii="黑体" w:hAnsi="黑体" w:eastAsia="黑体" w:cs="黑体"/>
          <w:sz w:val="21"/>
          <w:szCs w:val="21"/>
          <w:lang w:val="en-US" w:eastAsia="zh-CN" w:bidi="ar-SA"/>
        </w:rPr>
      </w:pPr>
      <w:r>
        <w:rPr>
          <w:rFonts w:hint="eastAsia" w:ascii="黑体" w:hAnsi="黑体" w:eastAsia="黑体" w:cs="黑体"/>
          <w:sz w:val="21"/>
          <w:szCs w:val="21"/>
          <w:lang w:val="en-US" w:eastAsia="zh-CN" w:bidi="ar-SA"/>
        </w:rPr>
        <w:t>（一）研究思路</w:t>
      </w:r>
    </w:p>
    <w:p w14:paraId="744382F1">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为系统探究国际生态素养教育研究的热点演进路径，本文基于 Web of Science Core Collection 数据库构建文献数据集，并以文献摘要文本作为核心分析语料。通过采用动态时间窗口划分策略，对不同时间片段进行分析，以识别各阶段研究主题的聚类特征，最终实现生态文明教育研究中主题热度的变化趋势与演化路径的可视化呈现。</w:t>
      </w:r>
    </w:p>
    <w:p w14:paraId="729E693A">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eastAsia="zh-CN"/>
        </w:rPr>
      </w:pPr>
      <w:r>
        <w:rPr>
          <w:rFonts w:hint="eastAsia" w:ascii="宋体" w:hAnsi="宋体" w:eastAsia="宋体" w:cs="宋体"/>
          <w:position w:val="-4"/>
          <w:sz w:val="21"/>
          <w:szCs w:val="21"/>
          <w:lang w:val="en-US" w:eastAsia="zh-CN" w:bidi="ar-SA"/>
        </w:rPr>
        <w:t>第一，在文本挖掘阶段，研究采用 LDA（Latent Dirichlet Allocation）主题模型对大规模非结构化语料进行主题识别。该模型基于三层贝叶斯生成结构，将每篇文献表示为多个潜在主题的组合。</w:t>
      </w:r>
      <w:r>
        <w:rPr>
          <w:rFonts w:ascii="宋体" w:hAnsi="宋体" w:eastAsia="宋体" w:cs="宋体"/>
          <w:sz w:val="21"/>
          <w:szCs w:val="21"/>
        </w:rPr>
        <w:t>其中，</w:t>
      </w:r>
      <w:r>
        <w:rPr>
          <w:rFonts w:hint="default" w:ascii="Cambria Math" w:hAnsi="Cambria Math" w:eastAsia="宋体" w:cs="Cambria Math"/>
          <w:i/>
          <w:iCs/>
          <w:sz w:val="21"/>
          <w:szCs w:val="21"/>
        </w:rPr>
        <w:t>Ρ</w:t>
      </w:r>
      <w:r>
        <w:rPr>
          <w:rFonts w:hint="eastAsia" w:ascii="Cambria Math" w:hAnsi="Cambria Math" w:eastAsia="宋体" w:cs="Cambria Math"/>
          <w:i/>
          <w:iCs/>
          <w:sz w:val="21"/>
          <w:szCs w:val="21"/>
          <w:lang w:val="en-US" w:eastAsia="zh-CN"/>
        </w:rPr>
        <w:t xml:space="preserve"> </w:t>
      </w:r>
      <w:r>
        <w:rPr>
          <w:rFonts w:hint="eastAsia" w:ascii="Cambria Math" w:hAnsi="Cambria Math" w:eastAsia="宋体" w:cs="Cambria Math"/>
          <w:sz w:val="21"/>
          <w:szCs w:val="21"/>
          <w:lang w:val="en-US" w:eastAsia="zh-CN"/>
        </w:rPr>
        <w:t xml:space="preserve">(𝑧 </w:t>
      </w:r>
      <w:r>
        <w:rPr>
          <w:rFonts w:hint="default" w:ascii="Cambria Math" w:hAnsi="Cambria Math" w:eastAsia="宋体" w:cs="Cambria Math"/>
          <w:sz w:val="21"/>
          <w:szCs w:val="21"/>
          <w:lang w:val="en-US" w:eastAsia="zh-CN"/>
        </w:rPr>
        <w:t>∣</w:t>
      </w:r>
      <w:r>
        <w:rPr>
          <w:rFonts w:hint="eastAsia" w:ascii="Cambria Math" w:hAnsi="Cambria Math" w:eastAsia="宋体" w:cs="Cambria Math"/>
          <w:sz w:val="21"/>
          <w:szCs w:val="21"/>
          <w:lang w:val="en-US" w:eastAsia="zh-CN"/>
        </w:rPr>
        <w:t xml:space="preserve"> </w:t>
      </w:r>
      <w:r>
        <w:rPr>
          <w:rFonts w:hint="default" w:ascii="Cambria Math" w:hAnsi="Cambria Math" w:eastAsia="宋体" w:cs="Cambria Math"/>
          <w:sz w:val="21"/>
          <w:szCs w:val="21"/>
          <w:lang w:val="en-US" w:eastAsia="zh-CN"/>
        </w:rPr>
        <w:t>𝑑</w:t>
      </w:r>
      <w:r>
        <w:rPr>
          <w:rFonts w:hint="eastAsia" w:ascii="Cambria Math" w:hAnsi="Cambria Math" w:eastAsia="宋体" w:cs="Cambria Math"/>
          <w:sz w:val="21"/>
          <w:szCs w:val="21"/>
          <w:lang w:val="en-US" w:eastAsia="zh-CN"/>
        </w:rPr>
        <w:t>)</w:t>
      </w:r>
      <w:r>
        <w:rPr>
          <w:rFonts w:ascii="宋体" w:hAnsi="宋体" w:eastAsia="宋体" w:cs="宋体"/>
          <w:sz w:val="21"/>
          <w:szCs w:val="21"/>
        </w:rPr>
        <w:t>表示</w:t>
      </w:r>
      <w:r>
        <w:rPr>
          <w:rFonts w:hint="eastAsia" w:ascii="宋体" w:hAnsi="宋体" w:eastAsia="宋体" w:cs="宋体"/>
          <w:sz w:val="21"/>
          <w:szCs w:val="21"/>
          <w:lang w:eastAsia="zh-CN"/>
        </w:rPr>
        <w:t>“</w:t>
      </w:r>
      <w:r>
        <w:rPr>
          <w:rFonts w:ascii="宋体" w:hAnsi="宋体" w:eastAsia="宋体" w:cs="宋体"/>
          <w:sz w:val="21"/>
          <w:szCs w:val="21"/>
        </w:rPr>
        <w:t>文档-主题</w:t>
      </w:r>
      <w:r>
        <w:rPr>
          <w:rFonts w:hint="eastAsia" w:ascii="宋体" w:hAnsi="宋体" w:eastAsia="宋体" w:cs="宋体"/>
          <w:sz w:val="21"/>
          <w:szCs w:val="21"/>
          <w:lang w:eastAsia="zh-CN"/>
        </w:rPr>
        <w:t>”</w:t>
      </w:r>
      <w:r>
        <w:rPr>
          <w:rFonts w:ascii="宋体" w:hAnsi="宋体" w:eastAsia="宋体" w:cs="宋体"/>
          <w:sz w:val="21"/>
          <w:szCs w:val="21"/>
        </w:rPr>
        <w:t>分布，</w:t>
      </w:r>
      <w:r>
        <w:rPr>
          <w:rFonts w:hint="default" w:ascii="Cambria Math" w:hAnsi="Cambria Math" w:eastAsia="宋体" w:cs="Cambria Math"/>
          <w:i/>
          <w:iCs/>
          <w:sz w:val="21"/>
          <w:szCs w:val="21"/>
        </w:rPr>
        <w:t>Ρ</w:t>
      </w:r>
      <w:r>
        <w:rPr>
          <w:rFonts w:hint="eastAsia" w:ascii="Cambria Math" w:hAnsi="Cambria Math" w:eastAsia="宋体" w:cs="Cambria Math"/>
          <w:sz w:val="21"/>
          <w:szCs w:val="21"/>
          <w:lang w:val="en-US" w:eastAsia="zh-CN"/>
        </w:rPr>
        <w:t>(</w:t>
      </w:r>
      <w:r>
        <w:rPr>
          <w:rFonts w:hint="default" w:ascii="Cambria Math" w:hAnsi="Cambria Math" w:eastAsia="宋体" w:cs="Cambria Math"/>
          <w:sz w:val="21"/>
          <w:szCs w:val="21"/>
          <w:lang w:val="en-US" w:eastAsia="zh-CN"/>
        </w:rPr>
        <w:t>𝒲</w:t>
      </w:r>
      <w:r>
        <w:rPr>
          <w:rFonts w:hint="eastAsia" w:ascii="Cambria Math" w:hAnsi="Cambria Math" w:eastAsia="宋体" w:cs="Cambria Math"/>
          <w:sz w:val="21"/>
          <w:szCs w:val="21"/>
          <w:lang w:val="en-US" w:eastAsia="zh-CN"/>
        </w:rPr>
        <w:t xml:space="preserve"> </w:t>
      </w:r>
      <w:r>
        <w:rPr>
          <w:rFonts w:hint="default" w:ascii="Cambria Math" w:hAnsi="Cambria Math" w:eastAsia="宋体" w:cs="Cambria Math"/>
          <w:sz w:val="21"/>
          <w:szCs w:val="21"/>
          <w:lang w:val="en-US" w:eastAsia="zh-CN"/>
        </w:rPr>
        <w:t>∣</w:t>
      </w:r>
      <w:r>
        <w:rPr>
          <w:rFonts w:hint="eastAsia" w:ascii="Cambria Math" w:hAnsi="Cambria Math" w:eastAsia="宋体" w:cs="Cambria Math"/>
          <w:sz w:val="21"/>
          <w:szCs w:val="21"/>
          <w:lang w:val="en-US" w:eastAsia="zh-CN"/>
        </w:rPr>
        <w:t xml:space="preserve"> </w:t>
      </w:r>
      <w:r>
        <w:rPr>
          <w:rFonts w:hint="default" w:ascii="Cambria Math" w:hAnsi="Cambria Math" w:eastAsia="宋体" w:cs="Cambria Math"/>
          <w:sz w:val="21"/>
          <w:szCs w:val="21"/>
          <w:lang w:val="en-US" w:eastAsia="zh-CN"/>
        </w:rPr>
        <w:t>𝑧</w:t>
      </w:r>
      <w:r>
        <w:rPr>
          <w:rFonts w:hint="eastAsia" w:ascii="Cambria Math" w:hAnsi="Cambria Math" w:eastAsia="宋体" w:cs="Cambria Math"/>
          <w:sz w:val="21"/>
          <w:szCs w:val="21"/>
          <w:lang w:val="en-US" w:eastAsia="zh-CN"/>
        </w:rPr>
        <w:t>)</w:t>
      </w:r>
      <w:r>
        <w:rPr>
          <w:rFonts w:ascii="宋体" w:hAnsi="宋体" w:eastAsia="宋体" w:cs="宋体"/>
          <w:sz w:val="21"/>
          <w:szCs w:val="21"/>
        </w:rPr>
        <w:t>表示</w:t>
      </w:r>
      <w:r>
        <w:rPr>
          <w:rFonts w:hint="eastAsia" w:ascii="宋体" w:hAnsi="宋体" w:eastAsia="宋体" w:cs="宋体"/>
          <w:sz w:val="21"/>
          <w:szCs w:val="21"/>
          <w:lang w:eastAsia="zh-CN"/>
        </w:rPr>
        <w:t>“</w:t>
      </w:r>
      <w:r>
        <w:rPr>
          <w:rFonts w:ascii="宋体" w:hAnsi="宋体" w:eastAsia="宋体" w:cs="宋体"/>
          <w:sz w:val="21"/>
          <w:szCs w:val="21"/>
        </w:rPr>
        <w:t>主题-词汇</w:t>
      </w:r>
      <w:r>
        <w:rPr>
          <w:rFonts w:hint="eastAsia" w:ascii="宋体" w:hAnsi="宋体" w:eastAsia="宋体" w:cs="宋体"/>
          <w:sz w:val="21"/>
          <w:szCs w:val="21"/>
          <w:lang w:eastAsia="zh-CN"/>
        </w:rPr>
        <w:t>”</w:t>
      </w:r>
      <w:r>
        <w:rPr>
          <w:rFonts w:ascii="宋体" w:hAnsi="宋体" w:eastAsia="宋体" w:cs="宋体"/>
          <w:sz w:val="21"/>
          <w:szCs w:val="21"/>
        </w:rPr>
        <w:t>分布。通过变分EM算法</w:t>
      </w:r>
      <w:r>
        <w:rPr>
          <w:rFonts w:hint="eastAsia" w:ascii="宋体" w:hAnsi="宋体" w:eastAsia="宋体" w:cs="宋体"/>
          <w:sz w:val="21"/>
          <w:szCs w:val="21"/>
          <w:lang w:val="en-US" w:eastAsia="zh-CN"/>
        </w:rPr>
        <w:t>对</w:t>
      </w:r>
      <w:r>
        <w:rPr>
          <w:rFonts w:ascii="宋体" w:hAnsi="宋体" w:eastAsia="宋体" w:cs="宋体"/>
          <w:sz w:val="21"/>
          <w:szCs w:val="21"/>
        </w:rPr>
        <w:t>超参数</w:t>
      </w:r>
      <w:r>
        <w:rPr>
          <w:rFonts w:hint="default" w:ascii="Cambria Math" w:hAnsi="Cambria Math" w:eastAsia="宋体" w:cs="Cambria Math"/>
          <w:i/>
          <w:iCs/>
          <w:sz w:val="21"/>
          <w:szCs w:val="21"/>
        </w:rPr>
        <w:t>α</w:t>
      </w:r>
      <w:r>
        <w:rPr>
          <w:rFonts w:hint="eastAsia" w:ascii="Cambria Math" w:hAnsi="Cambria Math" w:eastAsia="宋体" w:cs="Cambria Math"/>
          <w:i/>
          <w:iCs/>
          <w:sz w:val="21"/>
          <w:szCs w:val="21"/>
          <w:lang w:eastAsia="zh-CN"/>
        </w:rPr>
        <w:t>，</w:t>
      </w:r>
      <w:r>
        <w:rPr>
          <w:rFonts w:hint="default" w:ascii="Cambria Math" w:hAnsi="Cambria Math" w:eastAsia="宋体" w:cs="Cambria Math"/>
          <w:i/>
          <w:iCs/>
          <w:sz w:val="21"/>
          <w:szCs w:val="21"/>
        </w:rPr>
        <w:t>β</w:t>
      </w:r>
      <w:r>
        <w:rPr>
          <w:rFonts w:hint="eastAsia" w:ascii="Cambria Math" w:hAnsi="Cambria Math" w:eastAsia="宋体" w:cs="Cambria Math"/>
          <w:i w:val="0"/>
          <w:iCs w:val="0"/>
          <w:sz w:val="21"/>
          <w:szCs w:val="21"/>
          <w:lang w:val="en-US" w:eastAsia="zh-CN"/>
        </w:rPr>
        <w:t>进行优化，</w:t>
      </w:r>
      <w:r>
        <w:rPr>
          <w:rFonts w:ascii="宋体" w:hAnsi="宋体" w:eastAsia="宋体" w:cs="宋体"/>
          <w:sz w:val="21"/>
          <w:szCs w:val="21"/>
        </w:rPr>
        <w:t>并利用“困惑度”（perplexity）</w:t>
      </w:r>
      <w:r>
        <w:rPr>
          <w:rFonts w:hint="eastAsia" w:ascii="宋体" w:hAnsi="宋体" w:eastAsia="宋体" w:cs="宋体"/>
          <w:sz w:val="21"/>
          <w:szCs w:val="21"/>
        </w:rPr>
        <w:t>最小原则确定最优主题数</w:t>
      </w:r>
      <w:r>
        <w:rPr>
          <w:rFonts w:hint="default" w:ascii="Cambria Math" w:hAnsi="Cambria Math" w:eastAsia="宋体" w:cs="Cambria Math"/>
          <w:sz w:val="21"/>
          <w:szCs w:val="21"/>
        </w:rPr>
        <w:t>Κ</w:t>
      </w:r>
      <w:r>
        <w:rPr>
          <w:rFonts w:ascii="宋体" w:hAnsi="宋体" w:eastAsia="宋体" w:cs="宋体"/>
          <w:sz w:val="21"/>
          <w:szCs w:val="21"/>
        </w:rPr>
        <w:t>，</w:t>
      </w:r>
      <w:r>
        <w:rPr>
          <w:rFonts w:hint="eastAsia" w:ascii="宋体" w:hAnsi="宋体" w:eastAsia="宋体" w:cs="宋体"/>
          <w:sz w:val="21"/>
          <w:szCs w:val="21"/>
        </w:rPr>
        <w:t>从而保障主题划分的区分度与代表性，有效提取生态文明教育研究的主要主题结构</w:t>
      </w:r>
      <w:r>
        <w:rPr>
          <w:rStyle w:val="14"/>
          <w:rFonts w:ascii="宋体" w:hAnsi="宋体" w:eastAsia="宋体" w:cs="宋体"/>
          <w:sz w:val="21"/>
          <w:szCs w:val="21"/>
        </w:rPr>
        <w:t>[</w:t>
      </w:r>
      <w:r>
        <w:rPr>
          <w:rStyle w:val="14"/>
          <w:rFonts w:ascii="宋体" w:hAnsi="宋体" w:eastAsia="宋体" w:cs="宋体"/>
          <w:sz w:val="21"/>
          <w:szCs w:val="21"/>
        </w:rPr>
        <w:endnoteReference w:id="7"/>
      </w:r>
      <w:r>
        <w:rPr>
          <w:rStyle w:val="14"/>
          <w:rFonts w:ascii="宋体" w:hAnsi="宋体" w:eastAsia="宋体" w:cs="宋体"/>
          <w:sz w:val="21"/>
          <w:szCs w:val="21"/>
        </w:rPr>
        <w:t>]</w:t>
      </w:r>
      <w:r>
        <w:rPr>
          <w:rFonts w:hint="eastAsia" w:ascii="宋体" w:hAnsi="宋体" w:eastAsia="宋体" w:cs="宋体"/>
          <w:sz w:val="21"/>
          <w:szCs w:val="21"/>
          <w:lang w:eastAsia="zh-CN"/>
        </w:rPr>
        <w:t>。</w:t>
      </w:r>
    </w:p>
    <w:p w14:paraId="7F4AA709">
      <w:pPr>
        <w:keepNext w:val="0"/>
        <w:keepLines w:val="0"/>
        <w:pageBreakBefore w:val="0"/>
        <w:widowControl/>
        <w:numPr>
          <w:ilvl w:val="0"/>
          <w:numId w:val="0"/>
        </w:numPr>
        <w:kinsoku/>
        <w:wordWrap/>
        <w:overflowPunct/>
        <w:topLinePunct w:val="0"/>
        <w:autoSpaceDE/>
        <w:autoSpaceDN/>
        <w:bidi w:val="0"/>
        <w:adjustRightInd/>
        <w:snapToGrid/>
        <w:ind w:firstLine="420" w:firstLineChars="200"/>
        <w:jc w:val="center"/>
        <w:textAlignment w:val="auto"/>
        <w:rPr>
          <w:rFonts w:hint="eastAsia" w:ascii="宋体" w:hAnsi="宋体" w:eastAsia="宋体" w:cs="宋体"/>
          <w:sz w:val="21"/>
          <w:szCs w:val="21"/>
          <w:lang w:eastAsia="zh-CN"/>
        </w:rPr>
      </w:pPr>
      <w:r>
        <w:rPr>
          <w:rFonts w:hint="default" w:ascii="宋体" w:hAnsi="宋体" w:eastAsia="宋体" w:cs="宋体"/>
          <w:position w:val="-4"/>
          <w:sz w:val="21"/>
          <w:szCs w:val="21"/>
          <w:lang w:val="en-US" w:eastAsia="zh-CN" w:bidi="ar-SA"/>
        </w:rPr>
        <w:object>
          <v:shape id="_x0000_i1025" o:spt="75" type="#_x0000_t75" style="height:30.9pt;width:141.75pt;" o:ole="t" filled="f" o:preferrelative="t" stroked="f" coordsize="21600,21600">
            <v:path/>
            <v:fill on="f" focussize="0,0"/>
            <v:stroke on="f"/>
            <v:imagedata r:id="rId7" o:title=""/>
            <o:lock v:ext="edit" aspectratio="t"/>
            <w10:wrap type="none"/>
            <w10:anchorlock/>
          </v:shape>
          <o:OLEObject Type="Embed" ProgID="Equation.DSMT4" ShapeID="_x0000_i1025" DrawAspect="Content" ObjectID="_1468075725" r:id="rId6">
            <o:LockedField>false</o:LockedField>
          </o:OLEObject>
        </w:object>
      </w:r>
    </w:p>
    <w:p w14:paraId="3FCD47BC">
      <w:pPr>
        <w:keepNext w:val="0"/>
        <w:keepLines w:val="0"/>
        <w:pageBreakBefore w:val="0"/>
        <w:widowControl/>
        <w:numPr>
          <w:ilvl w:val="0"/>
          <w:numId w:val="0"/>
        </w:numPr>
        <w:kinsoku/>
        <w:wordWrap/>
        <w:overflowPunct/>
        <w:topLinePunct w:val="0"/>
        <w:autoSpaceDE/>
        <w:autoSpaceDN/>
        <w:bidi w:val="0"/>
        <w:adjustRightInd/>
        <w:snapToGrid/>
        <w:ind w:firstLine="420" w:firstLineChars="200"/>
        <w:jc w:val="left"/>
        <w:textAlignment w:val="auto"/>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rPr>
        <w:t>第二，为分析研究主题随时间的演化路径进一步引入向量空间建模方法，将每个时间窗口中 LDA 模型生成的主题词概率分布向量化，构建主题特征向量矩阵。通过计算相邻时间窗口之间主题特征向量的余弦相似度，用以衡量不同时间阶段主题之间的相似性。</w:t>
      </w:r>
      <w:r>
        <w:rPr>
          <w:rStyle w:val="14"/>
          <w:rFonts w:hint="eastAsia" w:ascii="宋体" w:hAnsi="宋体" w:eastAsia="宋体" w:cs="宋体"/>
          <w:sz w:val="21"/>
          <w:szCs w:val="21"/>
          <w:lang w:val="en-US" w:eastAsia="zh-CN"/>
        </w:rPr>
        <w:t>[</w:t>
      </w:r>
      <w:r>
        <w:rPr>
          <w:rStyle w:val="14"/>
          <w:rFonts w:hint="eastAsia" w:ascii="宋体" w:hAnsi="宋体" w:eastAsia="宋体" w:cs="宋体"/>
          <w:sz w:val="21"/>
          <w:szCs w:val="21"/>
          <w:lang w:val="en-US" w:eastAsia="zh-CN"/>
        </w:rPr>
        <w:endnoteReference w:id="8"/>
      </w:r>
      <w:r>
        <w:rPr>
          <w:rStyle w:val="14"/>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t>在主题演化分析阶段，综合运用时序切片、主题向量建模与相似度计算三步法，构建主题演化图谱。</w:t>
      </w:r>
      <w:r>
        <w:rPr>
          <w:rFonts w:hint="eastAsia" w:ascii="宋体" w:hAnsi="宋体" w:eastAsia="宋体" w:cs="宋体"/>
          <w:b w:val="0"/>
          <w:bCs w:val="0"/>
          <w:sz w:val="21"/>
          <w:szCs w:val="21"/>
          <w:lang w:val="en-US" w:eastAsia="zh-CN" w:bidi="ar-SA"/>
        </w:rPr>
        <w:t>具体而言，首先将整个观测期划分为若干动态时间窗口</w:t>
      </w:r>
      <w:r>
        <w:rPr>
          <w:rFonts w:hint="eastAsia" w:ascii="宋体" w:hAnsi="宋体" w:eastAsia="宋体" w:cs="宋体"/>
          <w:position w:val="-20"/>
          <w:sz w:val="21"/>
          <w:szCs w:val="21"/>
          <w:lang w:val="en-US" w:eastAsia="zh-CN" w:bidi="ar-SA"/>
        </w:rPr>
        <w:object>
          <v:shape id="_x0000_i1026" o:spt="75" type="#_x0000_t75" style="height:17.1pt;width:53.55pt;" o:ole="t" filled="f" o:preferrelative="t" stroked="f" coordsize="21600,21600">
            <v:path/>
            <v:fill on="f" focussize="0,0"/>
            <v:stroke on="f"/>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宋体" w:hAnsi="宋体" w:eastAsia="宋体" w:cs="宋体"/>
          <w:position w:val="-4"/>
          <w:sz w:val="21"/>
          <w:szCs w:val="21"/>
          <w:lang w:val="en-US" w:eastAsia="zh-CN" w:bidi="ar-SA"/>
        </w:rPr>
        <w:t>,</w:t>
      </w:r>
      <w:r>
        <w:rPr>
          <w:rFonts w:hint="eastAsia" w:ascii="宋体" w:hAnsi="宋体" w:eastAsia="宋体" w:cs="宋体"/>
          <w:b w:val="0"/>
          <w:bCs w:val="0"/>
          <w:sz w:val="21"/>
          <w:szCs w:val="21"/>
          <w:lang w:val="en-US" w:eastAsia="zh-CN" w:bidi="ar-SA"/>
        </w:rPr>
        <w:t>以形成具有时间连续性的语料序列；</w:t>
      </w:r>
      <w:r>
        <w:rPr>
          <w:rFonts w:hint="eastAsia" w:ascii="Cambria Math" w:hAnsi="Cambria Math" w:eastAsia="宋体" w:cs="Cambria Math"/>
          <w:sz w:val="21"/>
          <w:szCs w:val="21"/>
          <w:lang w:val="en-US" w:eastAsia="zh-CN"/>
        </w:rPr>
        <w:t>以形成时间连续性的语料序列。，以形成具有时间连续性的语料序列；其次，为每一时间窗口中的主题构建相应的特征向量，并计算其与相邻时间段内主题之间的余弦相似度，以识别主题的演化关系。本文设定，当相似度值 Sim ≥ 0.65 时，视为存在主题延续性</w:t>
      </w:r>
      <w:r>
        <w:rPr>
          <w:rStyle w:val="14"/>
          <w:rFonts w:hint="eastAsia" w:ascii="Cambria Math" w:hAnsi="Cambria Math" w:eastAsia="宋体" w:cs="Cambria Math"/>
          <w:sz w:val="21"/>
          <w:szCs w:val="21"/>
          <w:lang w:val="en-US" w:eastAsia="zh-CN"/>
        </w:rPr>
        <w:t>[</w:t>
      </w:r>
      <w:r>
        <w:rPr>
          <w:rStyle w:val="14"/>
          <w:rFonts w:hint="eastAsia" w:ascii="Cambria Math" w:hAnsi="Cambria Math" w:eastAsia="宋体" w:cs="Cambria Math"/>
          <w:sz w:val="21"/>
          <w:szCs w:val="21"/>
          <w:lang w:val="en-US" w:eastAsia="zh-CN"/>
        </w:rPr>
        <w:endnoteReference w:id="9"/>
      </w:r>
      <w:r>
        <w:rPr>
          <w:rStyle w:val="14"/>
          <w:rFonts w:hint="eastAsia" w:ascii="Cambria Math" w:hAnsi="Cambria Math" w:eastAsia="宋体" w:cs="Cambria Math"/>
          <w:sz w:val="21"/>
          <w:szCs w:val="21"/>
          <w:lang w:val="en-US" w:eastAsia="zh-CN"/>
        </w:rPr>
        <w:t>]</w:t>
      </w:r>
      <w:r>
        <w:rPr>
          <w:rFonts w:hint="eastAsia" w:ascii="Cambria Math" w:hAnsi="Cambria Math" w:eastAsia="宋体" w:cs="Cambria Math"/>
          <w:sz w:val="21"/>
          <w:szCs w:val="21"/>
          <w:lang w:val="en-US" w:eastAsia="zh-CN"/>
        </w:rPr>
        <w:t>。</w:t>
      </w:r>
    </w:p>
    <w:p w14:paraId="6EC69351">
      <w:pPr>
        <w:keepNext w:val="0"/>
        <w:keepLines w:val="0"/>
        <w:pageBreakBefore w:val="0"/>
        <w:widowControl/>
        <w:numPr>
          <w:ilvl w:val="0"/>
          <w:numId w:val="0"/>
        </w:numPr>
        <w:kinsoku/>
        <w:wordWrap/>
        <w:overflowPunct/>
        <w:topLinePunct w:val="0"/>
        <w:autoSpaceDE/>
        <w:autoSpaceDN/>
        <w:bidi w:val="0"/>
        <w:adjustRightInd/>
        <w:snapToGrid/>
        <w:ind w:firstLine="420" w:firstLineChars="200"/>
        <w:jc w:val="center"/>
        <w:textAlignment w:val="auto"/>
        <w:rPr>
          <w:rFonts w:hint="eastAsia" w:ascii="宋体" w:hAnsi="宋体" w:eastAsia="宋体" w:cs="宋体"/>
          <w:sz w:val="21"/>
          <w:szCs w:val="21"/>
          <w:lang w:val="en-US" w:eastAsia="zh-CN" w:bidi="ar-SA"/>
        </w:rPr>
      </w:pPr>
      <w:r>
        <w:rPr>
          <w:rFonts w:hint="default" w:ascii="宋体" w:hAnsi="宋体" w:eastAsia="宋体" w:cs="宋体"/>
          <w:color w:val="auto"/>
          <w:position w:val="-4"/>
          <w:sz w:val="21"/>
          <w:szCs w:val="21"/>
          <w:lang w:val="en-US" w:eastAsia="zh-CN" w:bidi="ar-SA"/>
        </w:rPr>
        <w:object>
          <v:shape id="_x0000_i1027" o:spt="75" type="#_x0000_t75" style="height:45.65pt;width:119.35pt;" o:ole="t" filled="f" o:preferrelative="t" stroked="f" coordsize="21600,21600">
            <v:path/>
            <v:fill on="f" focussize="0,0"/>
            <v:stroke on="f"/>
            <v:imagedata r:id="rId11" o:title=""/>
            <o:lock v:ext="edit" aspectratio="t"/>
            <w10:wrap type="none"/>
            <w10:anchorlock/>
          </v:shape>
          <o:OLEObject Type="Embed" ProgID="Equation.DSMT4" ShapeID="_x0000_i1027" DrawAspect="Content" ObjectID="_1468075727" r:id="rId10">
            <o:LockedField>false</o:LockedField>
          </o:OLEObject>
        </w:object>
      </w:r>
    </w:p>
    <w:p w14:paraId="4D13C875">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黑体" w:hAnsi="黑体" w:eastAsia="黑体" w:cs="黑体"/>
          <w:sz w:val="21"/>
          <w:szCs w:val="21"/>
          <w:lang w:val="en-US" w:eastAsia="zh-CN" w:bidi="ar-SA"/>
        </w:rPr>
      </w:pPr>
      <w:r>
        <w:rPr>
          <w:rFonts w:hint="default" w:ascii="宋体" w:hAnsi="宋体" w:eastAsia="宋体" w:cs="宋体"/>
          <w:sz w:val="21"/>
          <w:szCs w:val="21"/>
          <w:lang w:val="en-US" w:eastAsia="zh-CN" w:bidi="ar-SA"/>
        </w:rPr>
        <w:t>第三，在研究热点识别方面引入生命周期理论，结合主题的出现频率与时间序列位置，分析研究热点的演化趋势。其中，热度指标（Hotness，HT）用于衡量特定时间段内某一主题所受到的关注程度</w:t>
      </w:r>
      <w:r>
        <w:rPr>
          <w:rStyle w:val="14"/>
          <w:rFonts w:hint="eastAsia" w:ascii="宋体" w:hAnsi="宋体" w:eastAsia="宋体" w:cs="宋体"/>
          <w:color w:val="auto"/>
          <w:sz w:val="21"/>
          <w:szCs w:val="21"/>
          <w:lang w:val="en-US" w:eastAsia="zh-CN" w:bidi="ar-SA"/>
        </w:rPr>
        <w:t>[</w:t>
      </w:r>
      <w:r>
        <w:rPr>
          <w:rStyle w:val="14"/>
          <w:rFonts w:hint="eastAsia" w:ascii="宋体" w:hAnsi="宋体" w:eastAsia="宋体" w:cs="宋体"/>
          <w:color w:val="auto"/>
          <w:sz w:val="21"/>
          <w:szCs w:val="21"/>
          <w:lang w:val="en-US" w:eastAsia="zh-CN" w:bidi="ar-SA"/>
        </w:rPr>
        <w:endnoteReference w:id="10"/>
      </w:r>
      <w:r>
        <w:rPr>
          <w:rStyle w:val="14"/>
          <w:rFonts w:hint="eastAsia" w:ascii="宋体" w:hAnsi="宋体" w:eastAsia="宋体" w:cs="宋体"/>
          <w:color w:val="auto"/>
          <w:sz w:val="21"/>
          <w:szCs w:val="21"/>
          <w:lang w:val="en-US" w:eastAsia="zh-CN" w:bidi="ar-SA"/>
        </w:rPr>
        <w:t>]</w:t>
      </w:r>
      <w:r>
        <w:rPr>
          <w:rFonts w:hint="eastAsia" w:ascii="宋体" w:hAnsi="宋体" w:eastAsia="宋体" w:cs="宋体"/>
          <w:color w:val="auto"/>
          <w:sz w:val="21"/>
          <w:szCs w:val="21"/>
          <w:lang w:val="en-US" w:eastAsia="zh-CN" w:bidi="ar-SA"/>
        </w:rPr>
        <w:t>。同时定义新颖度指标（Novelty Index，NI），用于评估主题出现时间的相对新近性。以主题新颖度的平均值作为分类阈值，依据热度与新颖度的组合特征，将所有主题划分为</w:t>
      </w:r>
      <w:r>
        <w:rPr>
          <w:rFonts w:hint="eastAsia" w:ascii="宋体" w:hAnsi="宋体" w:cs="宋体"/>
          <w:color w:val="auto"/>
          <w:sz w:val="21"/>
          <w:szCs w:val="21"/>
          <w:lang w:val="en-US" w:eastAsia="zh-CN" w:bidi="ar-SA"/>
        </w:rPr>
        <w:t>：</w:t>
      </w:r>
      <w:r>
        <w:rPr>
          <w:rFonts w:hint="eastAsia" w:ascii="宋体" w:hAnsi="宋体" w:eastAsia="宋体" w:cs="宋体"/>
          <w:color w:val="auto"/>
          <w:sz w:val="21"/>
          <w:szCs w:val="21"/>
          <w:lang w:val="en-US" w:eastAsia="zh-CN" w:bidi="ar-SA"/>
        </w:rPr>
        <w:t>“热点主题”——高热度、低新颖度；“前沿主题”——高热度、高新颖度；“边缘主题”——低热度、高新颖度</w:t>
      </w:r>
      <w:r>
        <w:rPr>
          <w:rStyle w:val="14"/>
          <w:rFonts w:hint="eastAsia" w:ascii="宋体" w:hAnsi="宋体" w:eastAsia="宋体" w:cs="宋体"/>
          <w:sz w:val="21"/>
          <w:szCs w:val="21"/>
          <w:lang w:val="en-US" w:eastAsia="zh-CN" w:bidi="ar-SA"/>
        </w:rPr>
        <w:t>[</w:t>
      </w:r>
      <w:r>
        <w:rPr>
          <w:rStyle w:val="14"/>
          <w:rFonts w:hint="eastAsia" w:ascii="宋体" w:hAnsi="宋体" w:eastAsia="宋体" w:cs="宋体"/>
          <w:sz w:val="21"/>
          <w:szCs w:val="21"/>
          <w:lang w:val="en-US" w:eastAsia="zh-CN" w:bidi="ar-SA"/>
        </w:rPr>
        <w:endnoteReference w:id="11"/>
      </w:r>
      <w:r>
        <w:rPr>
          <w:rStyle w:val="14"/>
          <w:rFonts w:hint="eastAsia" w:ascii="宋体" w:hAnsi="宋体" w:eastAsia="宋体" w:cs="宋体"/>
          <w:sz w:val="21"/>
          <w:szCs w:val="21"/>
          <w:lang w:val="en-US" w:eastAsia="zh-CN" w:bidi="ar-SA"/>
        </w:rPr>
        <w:t>]</w:t>
      </w:r>
      <w:r>
        <w:rPr>
          <w:rFonts w:hint="eastAsia" w:ascii="宋体" w:hAnsi="宋体" w:eastAsia="宋体" w:cs="宋体"/>
          <w:sz w:val="21"/>
          <w:szCs w:val="21"/>
          <w:lang w:val="en-US" w:eastAsia="zh-CN" w:bidi="ar-SA"/>
        </w:rPr>
        <w:t>。</w:t>
      </w:r>
    </w:p>
    <w:p w14:paraId="5FA31534">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jc w:val="center"/>
        <w:textAlignment w:val="auto"/>
        <w:rPr>
          <w:rFonts w:hint="eastAsia" w:ascii="黑体" w:hAnsi="黑体" w:eastAsia="黑体" w:cs="黑体"/>
          <w:sz w:val="21"/>
          <w:szCs w:val="21"/>
          <w:lang w:val="en-US" w:eastAsia="zh-CN" w:bidi="ar-SA"/>
        </w:rPr>
      </w:pPr>
      <w:r>
        <w:rPr>
          <w:rFonts w:hint="default" w:ascii="宋体" w:hAnsi="宋体" w:eastAsia="宋体" w:cs="宋体"/>
          <w:sz w:val="21"/>
          <w:szCs w:val="21"/>
          <w:lang w:val="en-US" w:eastAsia="zh-CN" w:bidi="ar-SA"/>
        </w:rPr>
        <w:object>
          <v:shape id="_x0000_i1028" o:spt="75" type="#_x0000_t75" style="height:40.6pt;width:119.35pt;" o:ole="t" filled="f" o:preferrelative="t" stroked="f" coordsize="21600,21600">
            <v:path/>
            <v:fill on="f" focussize="0,0"/>
            <v:stroke on="f"/>
            <v:imagedata r:id="rId13" o:title=""/>
            <o:lock v:ext="edit" aspectratio="t"/>
            <w10:wrap type="none"/>
            <w10:anchorlock/>
          </v:shape>
          <o:OLEObject Type="Embed" ProgID="Equation.DSMT4" ShapeID="_x0000_i1028" DrawAspect="Content" ObjectID="_1468075728" r:id="rId12">
            <o:LockedField>false</o:LockedField>
          </o:OLEObject>
        </w:object>
      </w:r>
    </w:p>
    <w:p w14:paraId="65D45269">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firstLine="420" w:firstLineChars="200"/>
        <w:textAlignment w:val="auto"/>
        <w:outlineLvl w:val="1"/>
        <w:rPr>
          <w:rFonts w:hint="eastAsia" w:ascii="黑体" w:hAnsi="黑体" w:eastAsia="黑体" w:cs="黑体"/>
          <w:sz w:val="21"/>
          <w:szCs w:val="21"/>
          <w:lang w:val="en-US" w:eastAsia="zh-CN" w:bidi="ar-SA"/>
        </w:rPr>
      </w:pPr>
      <w:r>
        <w:rPr>
          <w:rFonts w:hint="eastAsia" w:ascii="黑体" w:hAnsi="黑体" w:eastAsia="黑体" w:cs="黑体"/>
          <w:sz w:val="21"/>
          <w:szCs w:val="21"/>
          <w:lang w:val="en-US" w:eastAsia="zh-CN" w:bidi="ar-SA"/>
        </w:rPr>
        <w:t>（二）数据来源</w:t>
      </w:r>
    </w:p>
    <w:p w14:paraId="4A98D3F8">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本文以 Web of Science Core Collection 数据库为主要数据源，设置检索字段为“SU”（研究主题），检索策略为：SU = "ecological civilization education" OR "environmental education" OR "sustainable development education"，时间范围限定为2011年至2024年，检索时间为2024年12月29日。经去重与剔除信息不完整的记录后，共获得英文文献40743篇，提取其中的摘要内容作为文本建模的原始语料与分析数据来源，并按文献发表年份进行分类整理。</w:t>
      </w:r>
    </w:p>
    <w:p w14:paraId="4023C1D5">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r>
        <w:rPr>
          <w:rFonts w:hint="eastAsia" w:ascii="宋体" w:hAnsi="宋体" w:eastAsia="宋体" w:cs="宋体"/>
          <w:sz w:val="21"/>
          <w:szCs w:val="21"/>
          <w:lang w:val="en-US" w:eastAsia="zh-CN"/>
        </w:rPr>
        <w:t>从图1可见，2011—2018年期间文献发表数量相对较少，呈零星分布；自2019年起，尽管年间数据略有波动，整体呈现稳步上升趋势。为平衡各时间段的样本数量，本文将国外生态文明教育相关文献按时间序列划分为三个阶段：2011—2018年、2019—2022年和2022—2024年。随后，以文献摘要作为 LDA 模型的语料基础，使用 Python 的 NLTK（Natural Language Toolkit）自然语言处理工具包对语料进行分词、词形还原等预处理操作，以提升建模准确性。最后，将处理后的文本特征向量输入 LDA 模型，用于后续主题识别与分析。</w:t>
      </w:r>
    </w:p>
    <w:p w14:paraId="741EDD82">
      <w:pPr>
        <w:pStyle w:val="5"/>
        <w:keepNext w:val="0"/>
        <w:keepLines w:val="0"/>
        <w:pageBreakBefore w:val="0"/>
        <w:widowControl/>
        <w:numPr>
          <w:ilvl w:val="0"/>
          <w:numId w:val="0"/>
        </w:numPr>
        <w:kinsoku/>
        <w:wordWrap/>
        <w:overflowPunct/>
        <w:topLinePunct w:val="0"/>
        <w:autoSpaceDE/>
        <w:autoSpaceDN/>
        <w:bidi w:val="0"/>
        <w:adjustRightInd/>
        <w:snapToGrid/>
        <w:ind w:firstLine="400" w:firstLineChars="200"/>
        <w:jc w:val="center"/>
        <w:textAlignment w:val="auto"/>
      </w:pPr>
      <w:r>
        <w:drawing>
          <wp:inline distT="0" distB="0" distL="114300" distR="114300">
            <wp:extent cx="4787900" cy="2171700"/>
            <wp:effectExtent l="4445" t="4445" r="8255" b="8255"/>
            <wp:docPr id="1" name="图表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05FCAE9">
      <w:pPr>
        <w:pStyle w:val="5"/>
        <w:keepNext w:val="0"/>
        <w:keepLines w:val="0"/>
        <w:pageBreakBefore w:val="0"/>
        <w:widowControl/>
        <w:numPr>
          <w:ilvl w:val="0"/>
          <w:numId w:val="0"/>
        </w:numPr>
        <w:kinsoku/>
        <w:wordWrap/>
        <w:overflowPunct/>
        <w:topLinePunct w:val="0"/>
        <w:autoSpaceDE/>
        <w:autoSpaceDN/>
        <w:bidi w:val="0"/>
        <w:adjustRightInd/>
        <w:snapToGrid/>
        <w:ind w:firstLine="300" w:firstLineChars="200"/>
        <w:jc w:val="center"/>
        <w:textAlignment w:val="auto"/>
        <w:rPr>
          <w:rFonts w:hint="eastAsia" w:ascii="楷体" w:hAnsi="楷体" w:eastAsia="楷体" w:cs="楷体"/>
          <w:sz w:val="15"/>
          <w:szCs w:val="15"/>
          <w:lang w:eastAsia="zh-CN"/>
        </w:rPr>
      </w:pPr>
      <w:r>
        <w:rPr>
          <w:rFonts w:hint="eastAsia" w:ascii="楷体" w:hAnsi="楷体" w:eastAsia="楷体" w:cs="楷体"/>
          <w:sz w:val="15"/>
          <w:szCs w:val="15"/>
        </w:rPr>
        <w:t xml:space="preserve">图 </w:t>
      </w:r>
      <w:r>
        <w:rPr>
          <w:rFonts w:hint="eastAsia" w:ascii="楷体" w:hAnsi="楷体" w:eastAsia="楷体" w:cs="楷体"/>
          <w:sz w:val="15"/>
          <w:szCs w:val="15"/>
        </w:rPr>
        <w:fldChar w:fldCharType="begin"/>
      </w:r>
      <w:r>
        <w:rPr>
          <w:rFonts w:hint="eastAsia" w:ascii="楷体" w:hAnsi="楷体" w:eastAsia="楷体" w:cs="楷体"/>
          <w:sz w:val="15"/>
          <w:szCs w:val="15"/>
        </w:rPr>
        <w:instrText xml:space="preserve"> SEQ 图 \* ARABIC </w:instrText>
      </w:r>
      <w:r>
        <w:rPr>
          <w:rFonts w:hint="eastAsia" w:ascii="楷体" w:hAnsi="楷体" w:eastAsia="楷体" w:cs="楷体"/>
          <w:sz w:val="15"/>
          <w:szCs w:val="15"/>
        </w:rPr>
        <w:fldChar w:fldCharType="separate"/>
      </w:r>
      <w:r>
        <w:rPr>
          <w:rFonts w:hint="eastAsia" w:ascii="楷体" w:hAnsi="楷体" w:eastAsia="楷体" w:cs="楷体"/>
          <w:sz w:val="15"/>
          <w:szCs w:val="15"/>
        </w:rPr>
        <w:t>1</w:t>
      </w:r>
      <w:r>
        <w:rPr>
          <w:rFonts w:hint="eastAsia" w:ascii="楷体" w:hAnsi="楷体" w:eastAsia="楷体" w:cs="楷体"/>
          <w:sz w:val="15"/>
          <w:szCs w:val="15"/>
        </w:rPr>
        <w:fldChar w:fldCharType="end"/>
      </w:r>
      <w:r>
        <w:rPr>
          <w:rFonts w:hint="eastAsia" w:ascii="楷体" w:hAnsi="楷体" w:eastAsia="楷体" w:cs="楷体"/>
          <w:sz w:val="15"/>
          <w:szCs w:val="15"/>
          <w:lang w:eastAsia="zh-CN"/>
        </w:rPr>
        <w:t xml:space="preserve"> 国外生态文明教育发文趋势</w:t>
      </w:r>
    </w:p>
    <w:p w14:paraId="5D6F35AD">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208" w:leftChars="104" w:firstLine="210" w:firstLineChars="100"/>
        <w:textAlignment w:val="auto"/>
        <w:outlineLvl w:val="0"/>
        <w:rPr>
          <w:rFonts w:hint="eastAsia" w:ascii="黑体" w:hAnsi="黑体" w:eastAsia="黑体" w:cs="黑体"/>
          <w:sz w:val="21"/>
          <w:szCs w:val="21"/>
          <w:lang w:val="en-US" w:eastAsia="zh-CN" w:bidi="ar-SA"/>
        </w:rPr>
      </w:pPr>
      <w:r>
        <w:rPr>
          <w:rFonts w:hint="eastAsia" w:ascii="黑体" w:hAnsi="黑体" w:eastAsia="黑体" w:cs="黑体"/>
          <w:sz w:val="21"/>
          <w:szCs w:val="21"/>
          <w:lang w:val="en-US" w:eastAsia="zh-CN" w:bidi="ar-SA"/>
        </w:rPr>
        <w:t>三、研究结果与分析</w:t>
      </w:r>
    </w:p>
    <w:p w14:paraId="359ECF9B">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210" w:firstLineChars="100"/>
        <w:textAlignment w:val="auto"/>
        <w:outlineLvl w:val="0"/>
        <w:rPr>
          <w:rFonts w:hint="eastAsia" w:ascii="黑体" w:hAnsi="黑体" w:eastAsia="黑体" w:cs="黑体"/>
          <w:sz w:val="21"/>
          <w:szCs w:val="21"/>
          <w:lang w:val="en-US" w:eastAsia="zh-CN" w:bidi="ar-SA"/>
        </w:rPr>
      </w:pPr>
      <w:r>
        <w:rPr>
          <w:rFonts w:hint="eastAsia" w:ascii="宋体" w:hAnsi="宋体" w:cs="宋体"/>
          <w:sz w:val="21"/>
          <w:szCs w:val="21"/>
          <w:lang w:val="en-US" w:eastAsia="zh-CN"/>
        </w:rPr>
        <w:t>为揭示国外生态文明教育研究的发展脉络，</w:t>
      </w:r>
      <w:r>
        <w:rPr>
          <w:rFonts w:hint="eastAsia" w:ascii="宋体" w:hAnsi="宋体" w:eastAsia="宋体" w:cs="宋体"/>
          <w:sz w:val="21"/>
          <w:szCs w:val="21"/>
          <w:lang w:val="en-US" w:eastAsia="zh-CN"/>
        </w:rPr>
        <w:t>本</w:t>
      </w:r>
      <w:r>
        <w:rPr>
          <w:rFonts w:hint="eastAsia" w:ascii="宋体" w:hAnsi="宋体" w:cs="宋体"/>
          <w:sz w:val="21"/>
          <w:szCs w:val="21"/>
          <w:lang w:val="en-US" w:eastAsia="zh-CN"/>
        </w:rPr>
        <w:t>研究</w:t>
      </w:r>
      <w:r>
        <w:rPr>
          <w:rFonts w:hint="eastAsia" w:ascii="宋体" w:hAnsi="宋体" w:eastAsia="宋体" w:cs="宋体"/>
          <w:sz w:val="21"/>
          <w:szCs w:val="21"/>
          <w:lang w:val="en-US" w:eastAsia="zh-CN"/>
        </w:rPr>
        <w:t>采用LDA主题模型进行系统分析</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首先，通过LDA主题模型识别不同时期的研究主题，构建主题词汇体系</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其次，结合主题热度图揭示各主题在时间维度上的关注度与动态变化</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最后，借助</w:t>
      </w:r>
      <w:r>
        <w:rPr>
          <w:rFonts w:hint="eastAsia" w:ascii="宋体" w:hAnsi="宋体" w:cs="宋体"/>
          <w:sz w:val="21"/>
          <w:szCs w:val="21"/>
          <w:lang w:val="en-US" w:eastAsia="zh-CN"/>
        </w:rPr>
        <w:t>桑基图</w:t>
      </w:r>
      <w:r>
        <w:rPr>
          <w:rFonts w:hint="eastAsia" w:ascii="宋体" w:hAnsi="宋体" w:eastAsia="宋体" w:cs="宋体"/>
          <w:sz w:val="21"/>
          <w:szCs w:val="21"/>
          <w:lang w:val="en-US" w:eastAsia="zh-CN"/>
        </w:rPr>
        <w:t>描绘研究热点的传承与转化，呈现</w:t>
      </w:r>
      <w:r>
        <w:rPr>
          <w:rFonts w:hint="eastAsia" w:ascii="宋体" w:hAnsi="宋体" w:cs="宋体"/>
          <w:sz w:val="21"/>
          <w:szCs w:val="21"/>
          <w:lang w:val="en-US" w:eastAsia="zh-CN"/>
        </w:rPr>
        <w:t>国外</w:t>
      </w:r>
      <w:r>
        <w:rPr>
          <w:rFonts w:hint="eastAsia" w:ascii="宋体" w:hAnsi="宋体" w:eastAsia="宋体" w:cs="宋体"/>
          <w:sz w:val="21"/>
          <w:szCs w:val="21"/>
          <w:lang w:val="en-US" w:eastAsia="zh-CN"/>
        </w:rPr>
        <w:t>生态文明教育领域研究的演进路径。</w:t>
      </w:r>
    </w:p>
    <w:p w14:paraId="254A12EE">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420" w:firstLineChars="200"/>
        <w:textAlignment w:val="auto"/>
        <w:outlineLvl w:val="1"/>
        <w:rPr>
          <w:rFonts w:hint="eastAsia" w:ascii="黑体" w:hAnsi="黑体" w:eastAsia="黑体" w:cs="黑体"/>
          <w:sz w:val="21"/>
          <w:szCs w:val="21"/>
          <w:lang w:val="en-US" w:eastAsia="zh-CN" w:bidi="ar-SA"/>
        </w:rPr>
      </w:pPr>
      <w:r>
        <w:rPr>
          <w:rFonts w:hint="eastAsia" w:ascii="黑体" w:hAnsi="黑体" w:eastAsia="黑体" w:cs="黑体"/>
          <w:sz w:val="21"/>
          <w:szCs w:val="21"/>
          <w:lang w:val="en-US" w:eastAsia="zh-CN" w:bidi="ar-SA"/>
        </w:rPr>
        <w:t>（一）主题挖掘</w:t>
      </w:r>
    </w:p>
    <w:p w14:paraId="487ACF72">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在基于 LDA 主题模型的生态文明教育研究分析中，困惑度（Perplexity）指标</w:t>
      </w:r>
      <w:r>
        <w:rPr>
          <w:rFonts w:hint="eastAsia" w:ascii="宋体" w:hAnsi="宋体" w:cs="宋体"/>
          <w:sz w:val="21"/>
          <w:szCs w:val="21"/>
          <w:lang w:val="en-US" w:eastAsia="zh-CN"/>
        </w:rPr>
        <w:t>可以</w:t>
      </w:r>
      <w:r>
        <w:rPr>
          <w:rFonts w:hint="eastAsia" w:ascii="宋体" w:hAnsi="宋体" w:eastAsia="宋体" w:cs="宋体"/>
          <w:sz w:val="21"/>
          <w:szCs w:val="21"/>
          <w:lang w:val="en-US" w:eastAsia="zh-CN"/>
        </w:rPr>
        <w:t>优化</w:t>
      </w:r>
      <w:r>
        <w:rPr>
          <w:rFonts w:hint="eastAsia" w:ascii="宋体" w:hAnsi="宋体" w:cs="宋体"/>
          <w:sz w:val="21"/>
          <w:szCs w:val="21"/>
          <w:lang w:val="en-US" w:eastAsia="zh-CN"/>
        </w:rPr>
        <w:t>并确定</w:t>
      </w:r>
      <w:r>
        <w:rPr>
          <w:rFonts w:hint="eastAsia" w:ascii="宋体" w:hAnsi="宋体" w:eastAsia="宋体" w:cs="宋体"/>
          <w:sz w:val="21"/>
          <w:szCs w:val="21"/>
          <w:lang w:val="en-US" w:eastAsia="zh-CN"/>
        </w:rPr>
        <w:t>主题数量。</w:t>
      </w:r>
      <w:r>
        <w:rPr>
          <w:rFonts w:hint="eastAsia" w:ascii="宋体" w:hAnsi="宋体" w:cs="宋体"/>
          <w:sz w:val="21"/>
          <w:szCs w:val="21"/>
          <w:lang w:val="en-US" w:eastAsia="zh-CN"/>
        </w:rPr>
        <w:t>在</w:t>
      </w:r>
      <w:r>
        <w:rPr>
          <w:rFonts w:hint="eastAsia" w:ascii="宋体" w:hAnsi="宋体" w:eastAsia="宋体" w:cs="宋体"/>
          <w:sz w:val="21"/>
          <w:szCs w:val="21"/>
          <w:lang w:val="en-US" w:eastAsia="zh-CN"/>
        </w:rPr>
        <w:t xml:space="preserve">针对不同时间段的文本语料分别进行交叉验证，选取困惑度曲线的最小值或显著拐点所对应的主题数 </w:t>
      </w:r>
      <w:r>
        <w:rPr>
          <w:rFonts w:hint="default" w:ascii="Cambria Math" w:hAnsi="Cambria Math" w:eastAsia="宋体" w:cs="Cambria Math"/>
          <w:sz w:val="21"/>
          <w:szCs w:val="21"/>
        </w:rPr>
        <w:t>Κ</w:t>
      </w:r>
      <w:r>
        <w:rPr>
          <w:rFonts w:hint="eastAsia" w:ascii="Cambria Math" w:hAnsi="Cambria Math" w:eastAsia="宋体" w:cs="Cambria Math"/>
          <w:sz w:val="21"/>
          <w:szCs w:val="21"/>
          <w:lang w:val="en-US" w:eastAsia="zh-CN"/>
        </w:rPr>
        <w:t xml:space="preserve"> </w:t>
      </w:r>
      <w:r>
        <w:rPr>
          <w:rFonts w:hint="eastAsia" w:ascii="宋体" w:hAnsi="宋体" w:eastAsia="宋体" w:cs="宋体"/>
          <w:sz w:val="21"/>
          <w:szCs w:val="21"/>
          <w:lang w:val="en-US" w:eastAsia="zh-CN"/>
        </w:rPr>
        <w:t>作为最优参数。最终确定：2011—2018 年阶段的最优主题数为 23 个，2019—2021 年阶段为 22 个，2022—2024 年阶段为 34 个。</w:t>
      </w:r>
    </w:p>
    <w:p w14:paraId="55FD011C">
      <w:pPr>
        <w:keepNext w:val="0"/>
        <w:keepLines w:val="0"/>
        <w:pageBreakBefore w:val="0"/>
        <w:widowControl/>
        <w:numPr>
          <w:ilvl w:val="0"/>
          <w:numId w:val="0"/>
        </w:numPr>
        <w:kinsoku/>
        <w:wordWrap/>
        <w:overflowPunct/>
        <w:topLinePunct w:val="0"/>
        <w:autoSpaceDE/>
        <w:autoSpaceDN/>
        <w:bidi w:val="0"/>
        <w:adjustRightInd/>
        <w:snapToGrid/>
        <w:ind w:firstLine="400" w:firstLineChars="200"/>
        <w:jc w:val="left"/>
        <w:textAlignment w:val="auto"/>
        <w:rPr>
          <w:rFonts w:hint="eastAsia" w:ascii="Arial" w:hAnsi="Arial" w:eastAsia="黑体" w:cs="Times New Roman"/>
          <w:sz w:val="15"/>
          <w:szCs w:val="15"/>
          <w:lang w:val="en-US" w:eastAsia="zh-CN" w:bidi="ar-SA"/>
        </w:rPr>
      </w:pPr>
      <w:r>
        <w:drawing>
          <wp:inline distT="0" distB="0" distL="114300" distR="114300">
            <wp:extent cx="1459865" cy="1094105"/>
            <wp:effectExtent l="0" t="0" r="635" b="10795"/>
            <wp:docPr id="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
                    <pic:cNvPicPr>
                      <a:picLocks noChangeAspect="1"/>
                    </pic:cNvPicPr>
                  </pic:nvPicPr>
                  <pic:blipFill>
                    <a:blip r:embed="rId15"/>
                    <a:stretch>
                      <a:fillRect/>
                    </a:stretch>
                  </pic:blipFill>
                  <pic:spPr>
                    <a:xfrm>
                      <a:off x="0" y="0"/>
                      <a:ext cx="1459865" cy="1094105"/>
                    </a:xfrm>
                    <a:prstGeom prst="rect">
                      <a:avLst/>
                    </a:prstGeom>
                    <a:noFill/>
                    <a:ln>
                      <a:noFill/>
                    </a:ln>
                  </pic:spPr>
                </pic:pic>
              </a:graphicData>
            </a:graphic>
          </wp:inline>
        </w:drawing>
      </w:r>
      <w:r>
        <w:drawing>
          <wp:inline distT="0" distB="0" distL="114300" distR="114300">
            <wp:extent cx="1511300" cy="1133475"/>
            <wp:effectExtent l="0" t="0" r="0" b="952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16"/>
                    <a:stretch>
                      <a:fillRect/>
                    </a:stretch>
                  </pic:blipFill>
                  <pic:spPr>
                    <a:xfrm>
                      <a:off x="0" y="0"/>
                      <a:ext cx="1511300" cy="1133475"/>
                    </a:xfrm>
                    <a:prstGeom prst="rect">
                      <a:avLst/>
                    </a:prstGeom>
                    <a:noFill/>
                    <a:ln>
                      <a:noFill/>
                    </a:ln>
                  </pic:spPr>
                </pic:pic>
              </a:graphicData>
            </a:graphic>
          </wp:inline>
        </w:drawing>
      </w:r>
      <w:r>
        <w:drawing>
          <wp:inline distT="0" distB="0" distL="114300" distR="114300">
            <wp:extent cx="1522730" cy="1140460"/>
            <wp:effectExtent l="0" t="0" r="1270" b="254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17"/>
                    <a:stretch>
                      <a:fillRect/>
                    </a:stretch>
                  </pic:blipFill>
                  <pic:spPr>
                    <a:xfrm>
                      <a:off x="0" y="0"/>
                      <a:ext cx="1522730" cy="1140460"/>
                    </a:xfrm>
                    <a:prstGeom prst="rect">
                      <a:avLst/>
                    </a:prstGeom>
                    <a:noFill/>
                    <a:ln>
                      <a:noFill/>
                    </a:ln>
                  </pic:spPr>
                </pic:pic>
              </a:graphicData>
            </a:graphic>
          </wp:inline>
        </w:drawing>
      </w:r>
    </w:p>
    <w:p w14:paraId="1750DF19">
      <w:pPr>
        <w:keepNext w:val="0"/>
        <w:keepLines w:val="0"/>
        <w:pageBreakBefore w:val="0"/>
        <w:widowControl/>
        <w:numPr>
          <w:ilvl w:val="0"/>
          <w:numId w:val="0"/>
        </w:numPr>
        <w:kinsoku/>
        <w:wordWrap/>
        <w:overflowPunct/>
        <w:topLinePunct w:val="0"/>
        <w:autoSpaceDE/>
        <w:autoSpaceDN/>
        <w:bidi w:val="0"/>
        <w:adjustRightInd/>
        <w:snapToGrid/>
        <w:ind w:firstLine="360" w:firstLineChars="200"/>
        <w:jc w:val="center"/>
        <w:textAlignment w:val="auto"/>
        <w:rPr>
          <w:rFonts w:hint="eastAsia" w:ascii="楷体" w:hAnsi="楷体" w:eastAsia="楷体" w:cs="楷体"/>
          <w:sz w:val="18"/>
          <w:szCs w:val="18"/>
          <w:lang w:val="en-US" w:eastAsia="zh-CN" w:bidi="ar-SA"/>
        </w:rPr>
      </w:pPr>
      <w:r>
        <w:rPr>
          <w:rFonts w:hint="eastAsia" w:ascii="楷体" w:hAnsi="楷体" w:eastAsia="楷体" w:cs="楷体"/>
          <w:sz w:val="18"/>
          <w:szCs w:val="18"/>
          <w:lang w:val="en-US" w:eastAsia="zh-CN" w:bidi="ar-SA"/>
        </w:rPr>
        <w:t>图 2 不同时间窗口下的主题困惑</w:t>
      </w:r>
    </w:p>
    <w:p w14:paraId="113AC6C8">
      <w:pPr>
        <w:keepNext w:val="0"/>
        <w:keepLines w:val="0"/>
        <w:pageBreakBefore w:val="0"/>
        <w:widowControl/>
        <w:numPr>
          <w:ilvl w:val="0"/>
          <w:numId w:val="0"/>
        </w:numPr>
        <w:kinsoku/>
        <w:wordWrap/>
        <w:overflowPunct/>
        <w:topLinePunct w:val="0"/>
        <w:autoSpaceDE/>
        <w:autoSpaceDN/>
        <w:bidi w:val="0"/>
        <w:adjustRightInd/>
        <w:snapToGrid/>
        <w:ind w:firstLine="420" w:firstLineChars="200"/>
        <w:jc w:val="left"/>
        <w:textAlignment w:val="auto"/>
        <w:rPr>
          <w:rFonts w:hint="eastAsia" w:ascii="宋体" w:hAnsi="宋体" w:eastAsia="宋体" w:cs="宋体"/>
          <w:sz w:val="21"/>
          <w:szCs w:val="21"/>
          <w:lang w:val="en-US" w:eastAsia="zh-CN"/>
        </w:rPr>
      </w:pPr>
      <w:r>
        <w:rPr>
          <w:rFonts w:hint="eastAsia" w:ascii="宋体" w:hAnsi="宋体" w:cs="宋体"/>
          <w:sz w:val="21"/>
          <w:szCs w:val="21"/>
          <w:lang w:val="en-US" w:eastAsia="zh-CN"/>
        </w:rPr>
        <w:t>随后，</w:t>
      </w:r>
      <w:r>
        <w:rPr>
          <w:rFonts w:hint="eastAsia" w:ascii="宋体" w:hAnsi="宋体" w:eastAsia="宋体" w:cs="宋体"/>
          <w:sz w:val="21"/>
          <w:szCs w:val="21"/>
          <w:lang w:val="en-US" w:eastAsia="zh-CN"/>
        </w:rPr>
        <w:t>采用 Gibbs 采样算法对 LDA 模型进行训练，并综合考虑文本规模与计算效率。通过预实验验证，设置迭代次数为150次，以实现模型的稳定收敛。在主题后处理阶段，剔除由虚词构成、主题关联度低于设定阈值以及缺乏文献支持的主题条目。参照 Web of Science 学科分类体系，对保留主题进行语义命名，以确保其语义准确性、学科规范性及主题间的区分度。</w:t>
      </w:r>
    </w:p>
    <w:p w14:paraId="2BB37A55">
      <w:pPr>
        <w:pStyle w:val="5"/>
        <w:jc w:val="center"/>
        <w:rPr>
          <w:rFonts w:hint="eastAsia" w:ascii="楷体" w:hAnsi="楷体" w:eastAsia="楷体" w:cs="楷体"/>
          <w:sz w:val="18"/>
          <w:szCs w:val="18"/>
          <w:lang w:val="en-US" w:eastAsia="zh-CN"/>
        </w:rPr>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r>
        <w:rPr>
          <w:rFonts w:hint="eastAsia" w:ascii="楷体" w:hAnsi="楷体" w:eastAsia="楷体" w:cs="楷体"/>
          <w:sz w:val="18"/>
          <w:szCs w:val="18"/>
        </w:rPr>
        <w:t xml:space="preserve">表 </w:t>
      </w:r>
      <w:r>
        <w:rPr>
          <w:rFonts w:hint="eastAsia" w:ascii="楷体" w:hAnsi="楷体" w:eastAsia="楷体" w:cs="楷体"/>
          <w:sz w:val="18"/>
          <w:szCs w:val="18"/>
        </w:rPr>
        <w:fldChar w:fldCharType="begin"/>
      </w:r>
      <w:r>
        <w:rPr>
          <w:rFonts w:hint="eastAsia" w:ascii="楷体" w:hAnsi="楷体" w:eastAsia="楷体" w:cs="楷体"/>
          <w:sz w:val="18"/>
          <w:szCs w:val="18"/>
        </w:rPr>
        <w:instrText xml:space="preserve"> SEQ 表 \* ARABIC </w:instrText>
      </w:r>
      <w:r>
        <w:rPr>
          <w:rFonts w:hint="eastAsia" w:ascii="楷体" w:hAnsi="楷体" w:eastAsia="楷体" w:cs="楷体"/>
          <w:sz w:val="18"/>
          <w:szCs w:val="18"/>
        </w:rPr>
        <w:fldChar w:fldCharType="separate"/>
      </w:r>
      <w:r>
        <w:rPr>
          <w:rFonts w:hint="eastAsia" w:ascii="楷体" w:hAnsi="楷体" w:eastAsia="楷体" w:cs="楷体"/>
          <w:sz w:val="18"/>
          <w:szCs w:val="18"/>
        </w:rPr>
        <w:t>1</w:t>
      </w:r>
      <w:r>
        <w:rPr>
          <w:rFonts w:hint="eastAsia" w:ascii="楷体" w:hAnsi="楷体" w:eastAsia="楷体" w:cs="楷体"/>
          <w:sz w:val="18"/>
          <w:szCs w:val="18"/>
        </w:rPr>
        <w:fldChar w:fldCharType="end"/>
      </w:r>
      <w:r>
        <w:rPr>
          <w:rFonts w:hint="eastAsia" w:ascii="楷体" w:hAnsi="楷体" w:eastAsia="楷体" w:cs="楷体"/>
          <w:sz w:val="18"/>
          <w:szCs w:val="18"/>
          <w:lang w:eastAsia="zh-CN"/>
        </w:rPr>
        <w:t xml:space="preserve"> 国外生态文明教育不同时间窗口下的主题分</w:t>
      </w:r>
    </w:p>
    <w:tbl>
      <w:tblPr>
        <w:tblStyle w:val="11"/>
        <w:tblpPr w:leftFromText="180" w:rightFromText="180" w:vertAnchor="page" w:horzAnchor="page" w:tblpX="1775" w:tblpY="56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892"/>
        <w:gridCol w:w="1019"/>
        <w:gridCol w:w="5217"/>
      </w:tblGrid>
      <w:tr w14:paraId="4EA9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94" w:type="dxa"/>
            <w:tcBorders>
              <w:top w:val="single" w:color="000000" w:sz="12" w:space="0"/>
              <w:left w:val="nil"/>
              <w:bottom w:val="single" w:color="000000" w:sz="4" w:space="0"/>
              <w:right w:val="nil"/>
              <w:tl2br w:val="nil"/>
            </w:tcBorders>
            <w:shd w:val="clear" w:color="auto" w:fill="FFFFFF"/>
            <w:noWrap w:val="0"/>
            <w:vAlign w:val="top"/>
          </w:tcPr>
          <w:p w14:paraId="37DEBEBC">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default" w:ascii="Times New Roman" w:hAnsi="Times New Roman" w:cs="Times New Roman"/>
                <w:b w:val="0"/>
                <w:color w:val="000000"/>
                <w:kern w:val="2"/>
                <w:sz w:val="13"/>
                <w:szCs w:val="13"/>
                <w:vertAlign w:val="baseline"/>
                <w:lang w:val="en-US" w:eastAsia="zh-CN"/>
              </w:rPr>
              <w:t>时间窗口</w:t>
            </w:r>
          </w:p>
        </w:tc>
        <w:tc>
          <w:tcPr>
            <w:tcW w:w="892" w:type="dxa"/>
            <w:tcBorders>
              <w:top w:val="single" w:color="000000" w:sz="12" w:space="0"/>
              <w:left w:val="nil"/>
              <w:bottom w:val="single" w:color="000000" w:sz="4" w:space="0"/>
              <w:right w:val="nil"/>
            </w:tcBorders>
            <w:shd w:val="clear" w:color="auto" w:fill="FFFFFF"/>
            <w:noWrap w:val="0"/>
            <w:vAlign w:val="top"/>
          </w:tcPr>
          <w:p w14:paraId="21FCE553">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default" w:ascii="Times New Roman" w:hAnsi="Times New Roman" w:cs="Times New Roman"/>
                <w:b w:val="0"/>
                <w:color w:val="000000"/>
                <w:kern w:val="2"/>
                <w:sz w:val="13"/>
                <w:szCs w:val="13"/>
                <w:vertAlign w:val="baseline"/>
                <w:lang w:val="en-US" w:eastAsia="zh-CN"/>
              </w:rPr>
              <w:t>最优主题数</w:t>
            </w:r>
          </w:p>
        </w:tc>
        <w:tc>
          <w:tcPr>
            <w:tcW w:w="1019" w:type="dxa"/>
            <w:tcBorders>
              <w:top w:val="single" w:color="000000" w:sz="12" w:space="0"/>
              <w:left w:val="nil"/>
              <w:bottom w:val="single" w:color="000000" w:sz="4" w:space="0"/>
              <w:right w:val="nil"/>
            </w:tcBorders>
            <w:shd w:val="clear" w:color="auto" w:fill="FFFFFF"/>
            <w:noWrap w:val="0"/>
            <w:vAlign w:val="top"/>
          </w:tcPr>
          <w:p w14:paraId="1EA6A4C6">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default" w:ascii="Times New Roman" w:hAnsi="Times New Roman" w:cs="Times New Roman"/>
                <w:b w:val="0"/>
                <w:color w:val="000000"/>
                <w:kern w:val="2"/>
                <w:sz w:val="13"/>
                <w:szCs w:val="13"/>
                <w:vertAlign w:val="baseline"/>
                <w:lang w:val="en-US" w:eastAsia="zh-CN"/>
              </w:rPr>
              <w:t>最终主题数</w:t>
            </w:r>
          </w:p>
        </w:tc>
        <w:tc>
          <w:tcPr>
            <w:tcW w:w="5217" w:type="dxa"/>
            <w:tcBorders>
              <w:top w:val="single" w:color="000000" w:sz="12" w:space="0"/>
              <w:left w:val="nil"/>
              <w:bottom w:val="single" w:color="000000" w:sz="4" w:space="0"/>
              <w:right w:val="nil"/>
            </w:tcBorders>
            <w:shd w:val="clear" w:color="auto" w:fill="FFFFFF"/>
            <w:noWrap w:val="0"/>
            <w:vAlign w:val="top"/>
          </w:tcPr>
          <w:p w14:paraId="0610002B">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default" w:ascii="Times New Roman" w:hAnsi="Times New Roman" w:cs="Times New Roman"/>
                <w:b w:val="0"/>
                <w:color w:val="000000"/>
                <w:kern w:val="2"/>
                <w:sz w:val="13"/>
                <w:szCs w:val="13"/>
                <w:vertAlign w:val="baseline"/>
                <w:lang w:val="en-US" w:eastAsia="zh-CN"/>
              </w:rPr>
              <w:t>主题标签</w:t>
            </w:r>
          </w:p>
        </w:tc>
      </w:tr>
      <w:tr w14:paraId="49F2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8" w:hRule="atLeast"/>
        </w:trPr>
        <w:tc>
          <w:tcPr>
            <w:tcW w:w="1394" w:type="dxa"/>
            <w:tcBorders>
              <w:top w:val="single" w:color="000000" w:sz="4" w:space="0"/>
              <w:left w:val="nil"/>
              <w:bottom w:val="nil"/>
              <w:right w:val="nil"/>
            </w:tcBorders>
            <w:shd w:val="clear" w:color="auto" w:fill="FFFFFF"/>
            <w:noWrap w:val="0"/>
            <w:vAlign w:val="center"/>
          </w:tcPr>
          <w:p w14:paraId="5441A61D">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default" w:ascii="Times New Roman" w:hAnsi="Times New Roman" w:cs="Times New Roman"/>
                <w:b w:val="0"/>
                <w:color w:val="000000"/>
                <w:kern w:val="2"/>
                <w:sz w:val="13"/>
                <w:szCs w:val="13"/>
                <w:vertAlign w:val="baseline"/>
                <w:lang w:val="en-US" w:eastAsia="zh-CN"/>
              </w:rPr>
              <w:t>2011-2018年</w:t>
            </w:r>
          </w:p>
        </w:tc>
        <w:tc>
          <w:tcPr>
            <w:tcW w:w="892" w:type="dxa"/>
            <w:tcBorders>
              <w:top w:val="single" w:color="000000" w:sz="4" w:space="0"/>
              <w:left w:val="nil"/>
              <w:bottom w:val="nil"/>
              <w:right w:val="nil"/>
            </w:tcBorders>
            <w:shd w:val="clear" w:color="auto" w:fill="FFFFFF"/>
            <w:noWrap w:val="0"/>
            <w:vAlign w:val="center"/>
          </w:tcPr>
          <w:p w14:paraId="29EADE9D">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eastAsia" w:ascii="Times New Roman" w:hAnsi="Times New Roman" w:cs="Times New Roman"/>
                <w:b w:val="0"/>
                <w:color w:val="000000"/>
                <w:kern w:val="2"/>
                <w:sz w:val="13"/>
                <w:szCs w:val="13"/>
                <w:vertAlign w:val="baseline"/>
                <w:lang w:val="en-US" w:eastAsia="zh-CN"/>
              </w:rPr>
              <w:t>23</w:t>
            </w:r>
          </w:p>
        </w:tc>
        <w:tc>
          <w:tcPr>
            <w:tcW w:w="1019" w:type="dxa"/>
            <w:tcBorders>
              <w:top w:val="single" w:color="000000" w:sz="4" w:space="0"/>
              <w:left w:val="nil"/>
              <w:bottom w:val="nil"/>
              <w:right w:val="nil"/>
            </w:tcBorders>
            <w:shd w:val="clear" w:color="auto" w:fill="FFFFFF"/>
            <w:noWrap w:val="0"/>
            <w:vAlign w:val="center"/>
          </w:tcPr>
          <w:p w14:paraId="553BEACB">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eastAsia" w:ascii="Times New Roman" w:hAnsi="Times New Roman" w:cs="Times New Roman"/>
                <w:b w:val="0"/>
                <w:color w:val="000000"/>
                <w:kern w:val="2"/>
                <w:sz w:val="13"/>
                <w:szCs w:val="13"/>
                <w:vertAlign w:val="baseline"/>
                <w:lang w:val="en-US" w:eastAsia="zh-CN"/>
              </w:rPr>
              <w:t>12</w:t>
            </w:r>
          </w:p>
        </w:tc>
        <w:tc>
          <w:tcPr>
            <w:tcW w:w="5217" w:type="dxa"/>
            <w:tcBorders>
              <w:top w:val="single" w:color="000000" w:sz="4" w:space="0"/>
              <w:left w:val="nil"/>
              <w:bottom w:val="nil"/>
              <w:right w:val="nil"/>
            </w:tcBorders>
            <w:shd w:val="clear" w:color="auto" w:fill="FFFFFF"/>
            <w:noWrap w:val="0"/>
            <w:vAlign w:val="center"/>
          </w:tcPr>
          <w:p w14:paraId="721F6B96">
            <w:pPr>
              <w:widowControl w:val="0"/>
              <w:jc w:val="both"/>
              <w:rPr>
                <w:rFonts w:hint="default" w:ascii="Times New Roman" w:hAnsi="Times New Roman" w:eastAsia="宋体" w:cs="Times New Roman"/>
                <w:b w:val="0"/>
                <w:color w:val="000000"/>
                <w:kern w:val="2"/>
                <w:sz w:val="13"/>
                <w:szCs w:val="13"/>
                <w:vertAlign w:val="baseline"/>
                <w:lang w:val="en-US" w:eastAsia="zh-CN"/>
              </w:rPr>
            </w:pPr>
            <w:r>
              <w:rPr>
                <w:rFonts w:hint="default" w:ascii="Times New Roman" w:hAnsi="Times New Roman" w:cs="Times New Roman"/>
                <w:b w:val="0"/>
                <w:color w:val="000000"/>
                <w:kern w:val="2"/>
                <w:sz w:val="13"/>
                <w:szCs w:val="13"/>
                <w:vertAlign w:val="baseline"/>
              </w:rPr>
              <w:t xml:space="preserve">Climate Change </w:t>
            </w:r>
            <w:r>
              <w:rPr>
                <w:rFonts w:hint="eastAsia" w:ascii="Times New Roman" w:hAnsi="Times New Roman" w:cs="Times New Roman"/>
                <w:b w:val="0"/>
                <w:color w:val="000000"/>
                <w:kern w:val="2"/>
                <w:sz w:val="13"/>
                <w:szCs w:val="13"/>
                <w:vertAlign w:val="baseline"/>
                <w:lang w:eastAsia="zh-CN"/>
              </w:rPr>
              <w:t>（</w:t>
            </w:r>
            <w:r>
              <w:rPr>
                <w:rFonts w:hint="default" w:ascii="Times New Roman" w:hAnsi="Times New Roman" w:cs="Times New Roman"/>
                <w:b w:val="0"/>
                <w:color w:val="000000"/>
                <w:kern w:val="2"/>
                <w:sz w:val="13"/>
                <w:szCs w:val="13"/>
                <w:vertAlign w:val="baseline"/>
              </w:rPr>
              <w:t>气候变化</w:t>
            </w:r>
            <w:r>
              <w:rPr>
                <w:rFonts w:hint="eastAsia" w:ascii="Times New Roman" w:hAnsi="Times New Roman" w:cs="Times New Roman"/>
                <w:b w:val="0"/>
                <w:color w:val="000000"/>
                <w:kern w:val="2"/>
                <w:sz w:val="13"/>
                <w:szCs w:val="13"/>
                <w:vertAlign w:val="baseline"/>
                <w:lang w:eastAsia="zh-CN"/>
              </w:rPr>
              <w:t>）、</w:t>
            </w:r>
            <w:r>
              <w:rPr>
                <w:rFonts w:hint="eastAsia" w:ascii="Times New Roman" w:hAnsi="Times New Roman" w:cs="Times New Roman"/>
                <w:b w:val="0"/>
                <w:color w:val="000000"/>
                <w:kern w:val="2"/>
                <w:sz w:val="13"/>
                <w:szCs w:val="13"/>
                <w:vertAlign w:val="baseline"/>
                <w:lang w:val="en-US" w:eastAsia="zh-CN"/>
              </w:rPr>
              <w:t>Sustainable Development（可持续发展）、Environmental Research（环境研究）、Teacher Literacy（教师素养）、Student Learning （学生学习）、Knowledge Behavior Perception（知识行为认知）、Childhood  Health（儿童健康）、 Food  Consumption（食品消费）、 Social Participation（社会参与）、Conservation Biodiversity（保护生物多样性）、Energy Efficiency（能源效率）、水资源（Water）、 Social Wellbeing and Support（社会福祉与支持）、Urban （城市发展）</w:t>
            </w:r>
          </w:p>
        </w:tc>
      </w:tr>
      <w:tr w14:paraId="108A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tcBorders>
              <w:top w:val="nil"/>
              <w:left w:val="nil"/>
              <w:bottom w:val="nil"/>
              <w:right w:val="nil"/>
            </w:tcBorders>
            <w:shd w:val="clear" w:color="auto" w:fill="FFFFFF"/>
            <w:noWrap w:val="0"/>
            <w:vAlign w:val="center"/>
          </w:tcPr>
          <w:p w14:paraId="5D1CD064">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default" w:ascii="Times New Roman" w:hAnsi="Times New Roman" w:cs="Times New Roman"/>
                <w:b w:val="0"/>
                <w:color w:val="000000"/>
                <w:kern w:val="2"/>
                <w:sz w:val="13"/>
                <w:szCs w:val="13"/>
                <w:vertAlign w:val="baseline"/>
                <w:lang w:val="en-US" w:eastAsia="zh-CN"/>
              </w:rPr>
              <w:t>2019-2021年</w:t>
            </w:r>
          </w:p>
        </w:tc>
        <w:tc>
          <w:tcPr>
            <w:tcW w:w="892" w:type="dxa"/>
            <w:tcBorders>
              <w:top w:val="nil"/>
              <w:left w:val="nil"/>
              <w:bottom w:val="nil"/>
              <w:right w:val="nil"/>
            </w:tcBorders>
            <w:shd w:val="clear" w:color="auto" w:fill="FFFFFF"/>
            <w:noWrap w:val="0"/>
            <w:vAlign w:val="center"/>
          </w:tcPr>
          <w:p w14:paraId="0251F3B0">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eastAsia" w:ascii="Times New Roman" w:hAnsi="Times New Roman" w:cs="Times New Roman"/>
                <w:b w:val="0"/>
                <w:color w:val="000000"/>
                <w:kern w:val="2"/>
                <w:sz w:val="13"/>
                <w:szCs w:val="13"/>
                <w:vertAlign w:val="baseline"/>
                <w:lang w:val="en-US" w:eastAsia="zh-CN"/>
              </w:rPr>
              <w:t>22</w:t>
            </w:r>
          </w:p>
        </w:tc>
        <w:tc>
          <w:tcPr>
            <w:tcW w:w="1019" w:type="dxa"/>
            <w:tcBorders>
              <w:top w:val="nil"/>
              <w:left w:val="nil"/>
              <w:bottom w:val="nil"/>
              <w:right w:val="nil"/>
            </w:tcBorders>
            <w:shd w:val="clear" w:color="auto" w:fill="FFFFFF"/>
            <w:noWrap w:val="0"/>
            <w:vAlign w:val="center"/>
          </w:tcPr>
          <w:p w14:paraId="3E004663">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eastAsia" w:ascii="Times New Roman" w:hAnsi="Times New Roman" w:cs="Times New Roman"/>
                <w:b w:val="0"/>
                <w:color w:val="000000"/>
                <w:kern w:val="2"/>
                <w:sz w:val="13"/>
                <w:szCs w:val="13"/>
                <w:vertAlign w:val="baseline"/>
                <w:lang w:val="en-US" w:eastAsia="zh-CN"/>
              </w:rPr>
              <w:t>13</w:t>
            </w:r>
          </w:p>
        </w:tc>
        <w:tc>
          <w:tcPr>
            <w:tcW w:w="5217" w:type="dxa"/>
            <w:tcBorders>
              <w:top w:val="nil"/>
              <w:left w:val="nil"/>
              <w:bottom w:val="nil"/>
              <w:right w:val="nil"/>
            </w:tcBorders>
            <w:shd w:val="clear" w:color="auto" w:fill="FFFFFF"/>
            <w:noWrap w:val="0"/>
            <w:vAlign w:val="center"/>
          </w:tcPr>
          <w:p w14:paraId="674BD370">
            <w:pPr>
              <w:widowControl w:val="0"/>
              <w:jc w:val="both"/>
              <w:rPr>
                <w:rFonts w:hint="default" w:ascii="Times New Roman" w:hAnsi="Times New Roman" w:eastAsia="宋体" w:cs="Times New Roman"/>
                <w:b w:val="0"/>
                <w:color w:val="000000"/>
                <w:kern w:val="2"/>
                <w:sz w:val="13"/>
                <w:szCs w:val="13"/>
                <w:vertAlign w:val="baseline"/>
                <w:lang w:val="en-US" w:eastAsia="zh-CN"/>
              </w:rPr>
            </w:pPr>
            <w:r>
              <w:rPr>
                <w:rFonts w:hint="eastAsia" w:ascii="Times New Roman" w:hAnsi="Times New Roman" w:eastAsia="宋体" w:cs="Times New Roman"/>
                <w:b w:val="0"/>
                <w:color w:val="000000"/>
                <w:kern w:val="2"/>
                <w:sz w:val="13"/>
                <w:szCs w:val="13"/>
                <w:vertAlign w:val="baseline"/>
                <w:lang w:eastAsia="zh-CN"/>
              </w:rPr>
              <w:t>Sustainable Higher Education（可持续高等教育）</w:t>
            </w:r>
            <w:r>
              <w:rPr>
                <w:rFonts w:hint="eastAsia" w:ascii="Times New Roman" w:hAnsi="Times New Roman" w:cs="Times New Roman"/>
                <w:b w:val="0"/>
                <w:color w:val="000000"/>
                <w:kern w:val="2"/>
                <w:sz w:val="13"/>
                <w:szCs w:val="13"/>
                <w:vertAlign w:val="baseline"/>
                <w:lang w:eastAsia="zh-CN"/>
              </w:rPr>
              <w:t>、Sustainable Development（可持续发展）、Water（水资源）、School Teaching Curriculum（学校教学课程）、Ecological Conservation Tourism（生态保护）、 Community Resilience Participation（社区参与）、 Climate Change （气候变化）、Children's Activity（儿童活动）、Green Energy Consumption（绿色能源消费）、Childhood  Health（儿童健康）</w:t>
            </w:r>
            <w:r>
              <w:rPr>
                <w:rFonts w:hint="eastAsia" w:ascii="Times New Roman" w:hAnsi="Times New Roman" w:cs="Times New Roman"/>
                <w:b w:val="0"/>
                <w:color w:val="000000"/>
                <w:kern w:val="2"/>
                <w:sz w:val="13"/>
                <w:szCs w:val="13"/>
                <w:vertAlign w:val="baseline"/>
                <w:lang w:val="en-US" w:eastAsia="zh-CN"/>
              </w:rPr>
              <w:t>、Student Learning （学生学习）、Knowledge Behavior Perception（知识行为认知）、 Social Wellbeing and Support（社会福祉与支持）、Urban Ecological（城市保护）</w:t>
            </w:r>
          </w:p>
        </w:tc>
      </w:tr>
      <w:tr w14:paraId="3211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tcBorders>
              <w:top w:val="nil"/>
              <w:left w:val="nil"/>
              <w:bottom w:val="single" w:color="000000" w:sz="12" w:space="0"/>
              <w:right w:val="nil"/>
            </w:tcBorders>
            <w:shd w:val="clear" w:color="auto" w:fill="FFFFFF"/>
            <w:noWrap w:val="0"/>
            <w:vAlign w:val="center"/>
          </w:tcPr>
          <w:p w14:paraId="59AD6FDC">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default" w:ascii="Times New Roman" w:hAnsi="Times New Roman" w:cs="Times New Roman"/>
                <w:b w:val="0"/>
                <w:color w:val="000000"/>
                <w:kern w:val="2"/>
                <w:sz w:val="13"/>
                <w:szCs w:val="13"/>
                <w:vertAlign w:val="baseline"/>
                <w:lang w:val="en-US" w:eastAsia="zh-CN"/>
              </w:rPr>
              <w:t>2022-2024年</w:t>
            </w:r>
          </w:p>
        </w:tc>
        <w:tc>
          <w:tcPr>
            <w:tcW w:w="892" w:type="dxa"/>
            <w:tcBorders>
              <w:top w:val="nil"/>
              <w:left w:val="nil"/>
              <w:bottom w:val="single" w:color="000000" w:sz="12" w:space="0"/>
              <w:right w:val="nil"/>
            </w:tcBorders>
            <w:shd w:val="clear" w:color="auto" w:fill="FFFFFF"/>
            <w:noWrap w:val="0"/>
            <w:vAlign w:val="center"/>
          </w:tcPr>
          <w:p w14:paraId="498CAB89">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eastAsia" w:ascii="Times New Roman" w:hAnsi="Times New Roman" w:cs="Times New Roman"/>
                <w:b w:val="0"/>
                <w:color w:val="000000"/>
                <w:kern w:val="2"/>
                <w:sz w:val="13"/>
                <w:szCs w:val="13"/>
                <w:vertAlign w:val="baseline"/>
                <w:lang w:val="en-US" w:eastAsia="zh-CN"/>
              </w:rPr>
              <w:t>34</w:t>
            </w:r>
          </w:p>
        </w:tc>
        <w:tc>
          <w:tcPr>
            <w:tcW w:w="1019" w:type="dxa"/>
            <w:tcBorders>
              <w:top w:val="nil"/>
              <w:left w:val="nil"/>
              <w:bottom w:val="single" w:color="000000" w:sz="12" w:space="0"/>
              <w:right w:val="nil"/>
            </w:tcBorders>
            <w:shd w:val="clear" w:color="auto" w:fill="FFFFFF"/>
            <w:noWrap w:val="0"/>
            <w:vAlign w:val="center"/>
          </w:tcPr>
          <w:p w14:paraId="6799CCEA">
            <w:pPr>
              <w:widowControl w:val="0"/>
              <w:jc w:val="center"/>
              <w:rPr>
                <w:rFonts w:hint="default" w:ascii="Times New Roman" w:hAnsi="Times New Roman" w:eastAsia="宋体" w:cs="Times New Roman"/>
                <w:b w:val="0"/>
                <w:color w:val="000000"/>
                <w:kern w:val="2"/>
                <w:sz w:val="13"/>
                <w:szCs w:val="13"/>
                <w:vertAlign w:val="baseline"/>
                <w:lang w:val="en-US" w:eastAsia="zh-CN"/>
              </w:rPr>
            </w:pPr>
            <w:r>
              <w:rPr>
                <w:rFonts w:hint="eastAsia" w:ascii="Times New Roman" w:hAnsi="Times New Roman" w:cs="Times New Roman"/>
                <w:b w:val="0"/>
                <w:color w:val="000000"/>
                <w:kern w:val="2"/>
                <w:sz w:val="13"/>
                <w:szCs w:val="13"/>
                <w:vertAlign w:val="baseline"/>
                <w:lang w:val="en-US" w:eastAsia="zh-CN"/>
              </w:rPr>
              <w:t>22</w:t>
            </w:r>
          </w:p>
        </w:tc>
        <w:tc>
          <w:tcPr>
            <w:tcW w:w="5217" w:type="dxa"/>
            <w:tcBorders>
              <w:top w:val="nil"/>
              <w:left w:val="nil"/>
              <w:bottom w:val="single" w:color="000000" w:sz="12" w:space="0"/>
              <w:right w:val="nil"/>
            </w:tcBorders>
            <w:shd w:val="clear" w:color="auto" w:fill="FFFFFF"/>
            <w:noWrap w:val="0"/>
            <w:vAlign w:val="center"/>
          </w:tcPr>
          <w:p w14:paraId="52D492E8">
            <w:pPr>
              <w:widowControl w:val="0"/>
              <w:jc w:val="both"/>
              <w:rPr>
                <w:rFonts w:hint="eastAsia" w:ascii="Times New Roman" w:hAnsi="Times New Roman" w:eastAsia="宋体" w:cs="Times New Roman"/>
                <w:b w:val="0"/>
                <w:color w:val="000000"/>
                <w:kern w:val="2"/>
                <w:sz w:val="13"/>
                <w:szCs w:val="13"/>
                <w:vertAlign w:val="baseline"/>
                <w:lang w:eastAsia="zh-CN"/>
              </w:rPr>
            </w:pPr>
            <w:r>
              <w:rPr>
                <w:rFonts w:hint="default" w:ascii="Times New Roman" w:hAnsi="Times New Roman" w:cs="Times New Roman"/>
                <w:b w:val="0"/>
                <w:color w:val="000000"/>
                <w:kern w:val="2"/>
                <w:sz w:val="13"/>
                <w:szCs w:val="13"/>
                <w:vertAlign w:val="baseline"/>
              </w:rPr>
              <w:t>Community Participation （社区参与）</w:t>
            </w:r>
            <w:r>
              <w:rPr>
                <w:rFonts w:hint="eastAsia" w:ascii="Times New Roman" w:hAnsi="Times New Roman" w:cs="Times New Roman"/>
                <w:b w:val="0"/>
                <w:color w:val="000000"/>
                <w:kern w:val="2"/>
                <w:sz w:val="13"/>
                <w:szCs w:val="13"/>
                <w:vertAlign w:val="baseline"/>
                <w:lang w:eastAsia="zh-CN"/>
              </w:rPr>
              <w:t>、Professional Educational Development（职业教育发展）、 Natural  Resources（自然资源）Conservation Awareness（保护意识）、 University Student Performance（大学生表现）、Digital Technology Research（数字技术研究）Teacher Literacy（教师素养）、Childhood</w:t>
            </w:r>
            <w:r>
              <w:rPr>
                <w:rFonts w:hint="eastAsia" w:ascii="Times New Roman" w:hAnsi="Times New Roman" w:cs="Times New Roman"/>
                <w:b w:val="0"/>
                <w:color w:val="000000"/>
                <w:kern w:val="2"/>
                <w:sz w:val="13"/>
                <w:szCs w:val="13"/>
                <w:vertAlign w:val="baseline"/>
                <w:lang w:val="en-US" w:eastAsia="zh-CN"/>
              </w:rPr>
              <w:t xml:space="preserve"> </w:t>
            </w:r>
            <w:r>
              <w:rPr>
                <w:rFonts w:hint="eastAsia" w:ascii="Times New Roman" w:hAnsi="Times New Roman" w:cs="Times New Roman"/>
                <w:b w:val="0"/>
                <w:color w:val="000000"/>
                <w:kern w:val="2"/>
                <w:sz w:val="13"/>
                <w:szCs w:val="13"/>
                <w:vertAlign w:val="baseline"/>
                <w:lang w:eastAsia="zh-CN"/>
              </w:rPr>
              <w:t>Health（儿童健康）、Pandemic Activity（疫情期间活动）、Green Innovation in Business（企业绿色创新）、 Social Wellbeing and Support（社会福祉与支持）、Sustainable Development（可持续发展）、Online Learning Experiences（在线学习体验）、Sustainable Higher Education（可持续高等教育）、Water（水资源）、Waste Management （废物管理）、</w:t>
            </w:r>
            <w:r>
              <w:rPr>
                <w:rFonts w:hint="eastAsia" w:ascii="Times New Roman" w:hAnsi="Times New Roman" w:cs="Times New Roman"/>
                <w:b w:val="0"/>
                <w:color w:val="000000"/>
                <w:kern w:val="2"/>
                <w:sz w:val="13"/>
                <w:szCs w:val="13"/>
                <w:vertAlign w:val="baseline"/>
                <w:lang w:val="en-US" w:eastAsia="zh-CN"/>
              </w:rPr>
              <w:t>S</w:t>
            </w:r>
            <w:r>
              <w:rPr>
                <w:rFonts w:hint="eastAsia" w:ascii="Times New Roman" w:hAnsi="Times New Roman" w:cs="Times New Roman"/>
                <w:b w:val="0"/>
                <w:color w:val="000000"/>
                <w:kern w:val="2"/>
                <w:sz w:val="13"/>
                <w:szCs w:val="13"/>
                <w:vertAlign w:val="baseline"/>
                <w:lang w:eastAsia="zh-CN"/>
              </w:rPr>
              <w:t xml:space="preserve">cience </w:t>
            </w:r>
            <w:r>
              <w:rPr>
                <w:rFonts w:hint="eastAsia" w:ascii="Times New Roman" w:hAnsi="Times New Roman" w:cs="Times New Roman"/>
                <w:b w:val="0"/>
                <w:color w:val="000000"/>
                <w:kern w:val="2"/>
                <w:sz w:val="13"/>
                <w:szCs w:val="13"/>
                <w:vertAlign w:val="baseline"/>
                <w:lang w:val="en-US" w:eastAsia="zh-CN"/>
              </w:rPr>
              <w:t>C</w:t>
            </w:r>
            <w:r>
              <w:rPr>
                <w:rFonts w:hint="eastAsia" w:ascii="Times New Roman" w:hAnsi="Times New Roman" w:cs="Times New Roman"/>
                <w:b w:val="0"/>
                <w:color w:val="000000"/>
                <w:kern w:val="2"/>
                <w:sz w:val="13"/>
                <w:szCs w:val="13"/>
                <w:vertAlign w:val="baseline"/>
                <w:lang w:eastAsia="zh-CN"/>
              </w:rPr>
              <w:t>urriculum（</w:t>
            </w:r>
            <w:r>
              <w:rPr>
                <w:rFonts w:hint="eastAsia" w:ascii="Times New Roman" w:hAnsi="Times New Roman" w:cs="Times New Roman"/>
                <w:b w:val="0"/>
                <w:color w:val="000000"/>
                <w:kern w:val="2"/>
                <w:sz w:val="13"/>
                <w:szCs w:val="13"/>
                <w:vertAlign w:val="baseline"/>
                <w:lang w:val="en-US" w:eastAsia="zh-CN"/>
              </w:rPr>
              <w:t>科学课程</w:t>
            </w:r>
            <w:r>
              <w:rPr>
                <w:rFonts w:hint="eastAsia" w:ascii="Times New Roman" w:hAnsi="Times New Roman" w:cs="Times New Roman"/>
                <w:b w:val="0"/>
                <w:color w:val="000000"/>
                <w:kern w:val="2"/>
                <w:sz w:val="13"/>
                <w:szCs w:val="13"/>
                <w:vertAlign w:val="baseline"/>
                <w:lang w:eastAsia="zh-CN"/>
              </w:rPr>
              <w:t>）、Energy Efficiency（能源效率）、 Sustainable Food Consumption（可持续食品消费）、Climate Change Adaptation（气候变化）、Urban Ecological（城市生态）</w:t>
            </w:r>
          </w:p>
        </w:tc>
      </w:tr>
    </w:tbl>
    <w:p w14:paraId="6F411935">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sz w:val="21"/>
          <w:szCs w:val="21"/>
          <w:lang w:val="en-US" w:eastAsia="zh-CN"/>
        </w:rPr>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p>
    <w:p w14:paraId="55C6780B">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sz w:val="21"/>
          <w:szCs w:val="21"/>
          <w:lang w:val="en-US" w:eastAsia="zh-CN"/>
        </w:rPr>
      </w:pPr>
    </w:p>
    <w:p w14:paraId="6748B0F6">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420" w:firstLineChars="200"/>
        <w:textAlignment w:val="auto"/>
        <w:outlineLvl w:val="1"/>
        <w:rPr>
          <w:rFonts w:hint="eastAsia" w:ascii="黑体" w:hAnsi="黑体" w:eastAsia="黑体" w:cs="黑体"/>
          <w:sz w:val="21"/>
          <w:szCs w:val="21"/>
          <w:lang w:val="en-US" w:eastAsia="zh-CN" w:bidi="ar-SA"/>
        </w:rPr>
      </w:pPr>
      <w:r>
        <w:rPr>
          <w:rFonts w:hint="eastAsia" w:ascii="黑体" w:hAnsi="黑体" w:eastAsia="黑体" w:cs="黑体"/>
          <w:sz w:val="21"/>
          <w:szCs w:val="21"/>
          <w:lang w:val="en-US" w:eastAsia="zh-CN" w:bidi="ar-SA"/>
        </w:rPr>
        <w:t>（二）主题热度</w:t>
      </w:r>
    </w:p>
    <w:p w14:paraId="0164CB47">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sz w:val="21"/>
          <w:szCs w:val="21"/>
        </w:rPr>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p>
    <w:p w14:paraId="0333A4FC">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sz w:val="21"/>
          <w:szCs w:val="21"/>
        </w:rPr>
      </w:pPr>
      <w:r>
        <w:rPr>
          <w:rFonts w:hint="eastAsia"/>
          <w:sz w:val="21"/>
          <w:szCs w:val="21"/>
        </w:rPr>
        <w:t>热度图展示了不同时间窗口（</w:t>
      </w:r>
      <w:r>
        <w:rPr>
          <w:rFonts w:hint="default" w:ascii="Times New Roman" w:hAnsi="Times New Roman" w:cs="Times New Roman"/>
          <w:sz w:val="21"/>
          <w:szCs w:val="21"/>
        </w:rPr>
        <w:t>2011—2018 年、2019—2021 年、2022—2024 年</w:t>
      </w:r>
      <w:r>
        <w:rPr>
          <w:rFonts w:hint="eastAsia"/>
          <w:sz w:val="21"/>
          <w:szCs w:val="21"/>
        </w:rPr>
        <w:t>）内国外生态文明教育研究主题的变化趋势。图中颜色深浅反映了各主题在相应时间段内的研究热度</w:t>
      </w:r>
      <w:r>
        <w:rPr>
          <w:rFonts w:hint="eastAsia"/>
          <w:sz w:val="21"/>
          <w:szCs w:val="21"/>
          <w:lang w:eastAsia="zh-CN"/>
        </w:rPr>
        <w:t>。</w:t>
      </w:r>
      <w:r>
        <w:rPr>
          <w:rFonts w:hint="eastAsia"/>
          <w:sz w:val="21"/>
          <w:szCs w:val="21"/>
        </w:rPr>
        <w:t>颜色越深表示该主题获得的关注度越高</w:t>
      </w:r>
      <w:r>
        <w:rPr>
          <w:rFonts w:hint="eastAsia"/>
          <w:sz w:val="21"/>
          <w:szCs w:val="21"/>
          <w:lang w:eastAsia="zh-CN"/>
        </w:rPr>
        <w:t>，</w:t>
      </w:r>
      <w:r>
        <w:rPr>
          <w:rFonts w:hint="eastAsia"/>
          <w:sz w:val="21"/>
          <w:szCs w:val="21"/>
        </w:rPr>
        <w:t>颜色越浅则说明该主题的关注度相对较低。热度图有助于直观呈现研究重点的动态演变过程，为深入理解生态文明教育的学术发展趋势提供可视化支持。</w:t>
      </w:r>
    </w:p>
    <w:p w14:paraId="761A8949">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sz w:val="21"/>
          <w:szCs w:val="21"/>
        </w:rPr>
      </w:pPr>
      <w:r>
        <w:rPr>
          <w:rFonts w:hint="eastAsia"/>
          <w:sz w:val="21"/>
          <w:szCs w:val="21"/>
        </w:rPr>
        <w:t>从时间维度来看</w:t>
      </w:r>
      <w:r>
        <w:rPr>
          <w:rFonts w:hint="default" w:ascii="Times New Roman" w:hAnsi="Times New Roman" w:cs="Times New Roman"/>
          <w:sz w:val="21"/>
          <w:szCs w:val="21"/>
        </w:rPr>
        <w:t xml:space="preserve">，2011—2018 </w:t>
      </w:r>
      <w:r>
        <w:rPr>
          <w:rFonts w:hint="eastAsia"/>
          <w:sz w:val="21"/>
          <w:szCs w:val="21"/>
        </w:rPr>
        <w:t>年期间的研究主题较为有限，主要集中于气候变化、可持续发展、学生学习与认知行为等领</w:t>
      </w:r>
      <w:r>
        <w:rPr>
          <w:rFonts w:hint="default" w:ascii="Times New Roman" w:hAnsi="Times New Roman" w:cs="Times New Roman"/>
          <w:sz w:val="21"/>
          <w:szCs w:val="21"/>
        </w:rPr>
        <w:t>域。2019—2021 年间，研究主题范围逐步扩大，开始关注高等教育中的可持续发展、城市生态保护以及科学教育等议题。进入 2022—2024 年，研究主题显著增多，进一步拓展至数字</w:t>
      </w:r>
      <w:r>
        <w:rPr>
          <w:rFonts w:hint="eastAsia"/>
          <w:sz w:val="21"/>
          <w:szCs w:val="21"/>
        </w:rPr>
        <w:t>技术、绿色创新、在线学习、生态居民等新兴领域，显示出生态文明教育研究范围的持续扩展，并逐步与社会发展趋势深度融合。</w:t>
      </w:r>
    </w:p>
    <w:p w14:paraId="47BB2B15">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sz w:val="21"/>
          <w:szCs w:val="21"/>
        </w:rPr>
      </w:pPr>
      <w:r>
        <w:rPr>
          <w:rFonts w:hint="eastAsia"/>
          <w:sz w:val="21"/>
          <w:szCs w:val="21"/>
        </w:rPr>
        <w:t>从内容维度来看，早期研究主要聚焦生态文明教育与学校教育、健康促进及社会福祉之间的关系，强调个体的认知、行为及参与机制。随后，研究重心逐步延伸至更广泛的社会层面，如高校可持续发展、社区参与、水资源管理等。近年来，研究方向进一步转向数字技术应用、创新创业教育、绿色能源发展及在线学习模式等，反映出生态文明教育正加速与现代科技、经济建设和政策导向的融合，呈现出更加综合化与实践导向的演进特征。</w:t>
      </w:r>
    </w:p>
    <w:p w14:paraId="079C4623">
      <w:pPr>
        <w:pStyle w:val="5"/>
        <w:jc w:val="center"/>
        <w:rPr>
          <w:rFonts w:hint="eastAsia" w:ascii="楷体" w:hAnsi="楷体" w:eastAsia="楷体" w:cs="楷体"/>
          <w:sz w:val="18"/>
          <w:szCs w:val="18"/>
          <w:lang w:val="en-US" w:eastAsia="zh-CN"/>
        </w:rPr>
      </w:pPr>
      <w:r>
        <w:drawing>
          <wp:inline distT="0" distB="0" distL="114300" distR="114300">
            <wp:extent cx="2808605" cy="1857375"/>
            <wp:effectExtent l="0" t="0" r="10795" b="9525"/>
            <wp:docPr id="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3"/>
                    <pic:cNvPicPr>
                      <a:picLocks noChangeAspect="1"/>
                    </pic:cNvPicPr>
                  </pic:nvPicPr>
                  <pic:blipFill>
                    <a:blip r:embed="rId18"/>
                    <a:stretch>
                      <a:fillRect/>
                    </a:stretch>
                  </pic:blipFill>
                  <pic:spPr>
                    <a:xfrm>
                      <a:off x="0" y="0"/>
                      <a:ext cx="2808605" cy="1857375"/>
                    </a:xfrm>
                    <a:prstGeom prst="rect">
                      <a:avLst/>
                    </a:prstGeom>
                    <a:noFill/>
                    <a:ln>
                      <a:noFill/>
                    </a:ln>
                  </pic:spPr>
                </pic:pic>
              </a:graphicData>
            </a:graphic>
          </wp:inline>
        </w:drawing>
      </w:r>
    </w:p>
    <w:p w14:paraId="67D6CDC9">
      <w:pPr>
        <w:jc w:val="center"/>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r>
        <w:rPr>
          <w:rFonts w:hint="eastAsia" w:ascii="楷体" w:hAnsi="楷体" w:eastAsia="楷体" w:cs="楷体"/>
          <w:sz w:val="18"/>
          <w:szCs w:val="18"/>
          <w:lang w:eastAsia="zh-CN"/>
        </w:rPr>
        <w:t xml:space="preserve">图 </w:t>
      </w:r>
      <w:r>
        <w:rPr>
          <w:rFonts w:hint="eastAsia" w:ascii="楷体" w:hAnsi="楷体" w:eastAsia="楷体" w:cs="楷体"/>
          <w:sz w:val="18"/>
          <w:szCs w:val="18"/>
          <w:lang w:eastAsia="zh-CN"/>
        </w:rPr>
        <w:fldChar w:fldCharType="begin"/>
      </w:r>
      <w:r>
        <w:rPr>
          <w:rFonts w:hint="eastAsia" w:ascii="楷体" w:hAnsi="楷体" w:eastAsia="楷体" w:cs="楷体"/>
          <w:sz w:val="18"/>
          <w:szCs w:val="18"/>
          <w:lang w:eastAsia="zh-CN"/>
        </w:rPr>
        <w:instrText xml:space="preserve"> SEQ 图 \* ARABIC </w:instrText>
      </w:r>
      <w:r>
        <w:rPr>
          <w:rFonts w:hint="eastAsia" w:ascii="楷体" w:hAnsi="楷体" w:eastAsia="楷体" w:cs="楷体"/>
          <w:sz w:val="18"/>
          <w:szCs w:val="18"/>
          <w:lang w:eastAsia="zh-CN"/>
        </w:rPr>
        <w:fldChar w:fldCharType="separate"/>
      </w:r>
      <w:r>
        <w:rPr>
          <w:rFonts w:hint="eastAsia" w:ascii="楷体" w:hAnsi="楷体" w:eastAsia="楷体" w:cs="楷体"/>
          <w:sz w:val="18"/>
          <w:szCs w:val="18"/>
          <w:lang w:eastAsia="zh-CN"/>
        </w:rPr>
        <w:t>2</w:t>
      </w:r>
      <w:r>
        <w:rPr>
          <w:rFonts w:hint="eastAsia" w:ascii="楷体" w:hAnsi="楷体" w:eastAsia="楷体" w:cs="楷体"/>
          <w:sz w:val="18"/>
          <w:szCs w:val="18"/>
          <w:lang w:eastAsia="zh-CN"/>
        </w:rPr>
        <w:fldChar w:fldCharType="end"/>
      </w:r>
      <w:r>
        <w:rPr>
          <w:rFonts w:hint="eastAsia" w:ascii="楷体" w:hAnsi="楷体" w:eastAsia="楷体" w:cs="楷体"/>
          <w:sz w:val="18"/>
          <w:szCs w:val="18"/>
          <w:lang w:eastAsia="zh-CN"/>
        </w:rPr>
        <w:t xml:space="preserve"> 国外主题热度图</w:t>
      </w:r>
    </w:p>
    <w:p w14:paraId="55912B00">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420" w:firstLineChars="200"/>
        <w:textAlignment w:val="auto"/>
        <w:outlineLvl w:val="1"/>
        <w:rPr>
          <w:rFonts w:hint="eastAsia" w:ascii="黑体" w:hAnsi="黑体" w:eastAsia="黑体" w:cs="黑体"/>
          <w:sz w:val="21"/>
          <w:szCs w:val="21"/>
          <w:lang w:val="en-US" w:eastAsia="zh-CN" w:bidi="ar-SA"/>
        </w:rPr>
      </w:pPr>
      <w:r>
        <w:rPr>
          <w:rFonts w:hint="eastAsia" w:ascii="黑体" w:hAnsi="黑体" w:eastAsia="黑体" w:cs="黑体"/>
          <w:sz w:val="21"/>
          <w:szCs w:val="21"/>
          <w:lang w:val="en-US" w:eastAsia="zh-CN" w:bidi="ar-SA"/>
        </w:rPr>
        <w:t>（三）主题演化</w:t>
      </w:r>
    </w:p>
    <w:p w14:paraId="57DB63A0">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p>
    <w:p w14:paraId="7DAC98B1">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桑基图（Sankey Diagram）适用于分析研究主题的演化路径及其相互联系。为确保图中呈现的主题演化路径具备语义合理性本文先构建具有时间连续性的语料序列，随后在每一时间窗口内提取主题特征向量，并进行主题间的匹配与比较。当两个主题之间的相似度值大于或等于 0.65 时，视为存在延续关系</w:t>
      </w:r>
      <w:r>
        <w:rPr>
          <w:rStyle w:val="16"/>
          <w:rFonts w:hint="eastAsia"/>
          <w:lang w:val="en-US" w:eastAsia="zh-CN"/>
        </w:rPr>
        <w:footnoteReference w:id="1"/>
      </w:r>
      <w:r>
        <w:rPr>
          <w:rFonts w:hint="eastAsia" w:ascii="宋体" w:hAnsi="宋体" w:eastAsia="宋体" w:cs="宋体"/>
          <w:sz w:val="21"/>
          <w:szCs w:val="21"/>
          <w:lang w:val="en-US" w:eastAsia="zh-CN"/>
        </w:rPr>
        <w:t>一方面，通过方块在各时间窗口中的排列情况可以识别出保持连续性或消失的主题；另一方面，主题间流动关系的走向与强度可以揭示研究重点的迁移与演化趋势。</w:t>
      </w:r>
    </w:p>
    <w:p w14:paraId="272EB96A">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从时间窗口的演变趋势来看，生态文明教育研究整体呈现出由基础议题向综合拓展，再向多元融合的演进路径。在早期阶段，研究热点主要集中于“社会福祉”“水资源管理”“食物浪费”与“儿童健康”等</w:t>
      </w:r>
      <w:r>
        <w:rPr>
          <w:rFonts w:hint="eastAsia" w:ascii="宋体" w:hAnsi="宋体" w:cs="宋体"/>
          <w:sz w:val="21"/>
          <w:szCs w:val="21"/>
          <w:lang w:val="en-US" w:eastAsia="zh-CN"/>
        </w:rPr>
        <w:t>与</w:t>
      </w:r>
      <w:r>
        <w:rPr>
          <w:rFonts w:hint="eastAsia" w:ascii="宋体" w:hAnsi="宋体" w:eastAsia="宋体" w:cs="宋体"/>
          <w:sz w:val="21"/>
          <w:szCs w:val="21"/>
          <w:lang w:val="en-US" w:eastAsia="zh-CN"/>
        </w:rPr>
        <w:t>生活质量及基本生态条件之间</w:t>
      </w:r>
      <w:r>
        <w:rPr>
          <w:rFonts w:hint="eastAsia" w:ascii="宋体" w:hAnsi="宋体" w:cs="宋体"/>
          <w:sz w:val="21"/>
          <w:szCs w:val="21"/>
          <w:lang w:val="en-US" w:eastAsia="zh-CN"/>
        </w:rPr>
        <w:t>有关的</w:t>
      </w:r>
      <w:r>
        <w:rPr>
          <w:rFonts w:hint="eastAsia" w:ascii="宋体" w:hAnsi="宋体" w:eastAsia="宋体" w:cs="宋体"/>
          <w:sz w:val="21"/>
          <w:szCs w:val="21"/>
          <w:lang w:val="en-US" w:eastAsia="zh-CN"/>
        </w:rPr>
        <w:t>议题。随着研究的不断深入，研究逐步拓展至“高校可持续发展”“学生学习”“社区参与”以及“科学教育”等领域，标志着生态文明教育的研究重心由生态环境本体转向教育实践与公众参与。进入后期阶段，即2022 年及以后，研究内容呈现出明显的多元化与交叉融合趋势，出现了“数字技术”“在线学习”“绿色创新”“生态居民”“创业行为”等一系列新兴议题。</w:t>
      </w:r>
    </w:p>
    <w:p w14:paraId="1FA86F65">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内部演化”是指生态文明教育研究中已有主题之间的相互关联与动态转移。通过对主题内部演化关系的分析，有助于揭示研究领域内部议题之间的高度互动性与相互依赖性。当前，生态文明教育领域的内部主题演化呈现出系统性强、多维拓展明显的特征，主要体现在以下五个方面：第一，研究议题围绕“社会福祉”“学习行为”与“可持续发展”构建起较为稳定且紧密的知识网络，形成了生态文明教育的核心研究框架。第二，内部演化趋势推动</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研究关注点由教育场所向学科教育拓展、由学习过程向素养建构延伸。例如，从“学校”向“科学教育”的主题演化表明研究重心已从教育空间转向具体学科教学，并强调科学素养在生态教育中的核心作用。第三，传统议题在新兴议题的带动下持续焕发研究活力，构成“核心稳定—边缘扩展”的演化格局。例如，“可持续发展”与“气候变化”等主题不仅具有较强的延续性，还与新兴议题呈现出高度关联，反映出研究主题的复合化趋势。第四，部分主题具有显著的承接与桥接功能，如“高校可持续发展”既承接“社会福祉与支持”“知识行为认知”等传统议题的演化路径，又向“科学教育”“数字技术”等新兴领域延伸，表明其在研究网络中处于中介节点的位置，连接传统关注点与前沿话题。第五，研究对象与内容逐步走向精细化，标志着生态文明教育已由理念普及阶段迈入实践深化阶段。具体表现为研究从“生态意识”逐步细化为“学习素养”“行为认知”“身体活动”与“食品消费”等多个维度。</w:t>
      </w:r>
    </w:p>
    <w:p w14:paraId="24760A99">
      <w:pPr>
        <w:keepNext w:val="0"/>
        <w:keepLines w:val="0"/>
        <w:pageBreakBefore w:val="0"/>
        <w:widowControl/>
        <w:numPr>
          <w:ilvl w:val="0"/>
          <w:numId w:val="0"/>
        </w:numPr>
        <w:kinsoku/>
        <w:wordWrap/>
        <w:overflowPunct/>
        <w:topLinePunct w:val="0"/>
        <w:autoSpaceDE/>
        <w:autoSpaceDN/>
        <w:bidi w:val="0"/>
        <w:adjustRightInd/>
        <w:snapToGrid/>
        <w:ind w:firstLine="400" w:firstLineChars="200"/>
        <w:jc w:val="left"/>
        <w:textAlignment w:val="auto"/>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p>
    <w:p w14:paraId="7C9FEBDE">
      <w:pPr>
        <w:keepNext w:val="0"/>
        <w:keepLines w:val="0"/>
        <w:pageBreakBefore w:val="0"/>
        <w:widowControl/>
        <w:numPr>
          <w:ilvl w:val="0"/>
          <w:numId w:val="0"/>
        </w:numPr>
        <w:kinsoku/>
        <w:wordWrap/>
        <w:overflowPunct/>
        <w:topLinePunct w:val="0"/>
        <w:autoSpaceDE/>
        <w:autoSpaceDN/>
        <w:bidi w:val="0"/>
        <w:adjustRightInd/>
        <w:snapToGrid/>
        <w:ind w:firstLine="400" w:firstLineChars="200"/>
        <w:jc w:val="center"/>
        <w:textAlignment w:val="auto"/>
        <w:rPr>
          <w:rFonts w:hint="eastAsia" w:ascii="宋体" w:hAnsi="宋体" w:eastAsia="宋体" w:cs="宋体"/>
          <w:sz w:val="21"/>
          <w:szCs w:val="21"/>
          <w:lang w:val="en-US" w:eastAsia="zh-CN"/>
        </w:rPr>
      </w:pPr>
      <w:r>
        <w:drawing>
          <wp:inline distT="0" distB="0" distL="114300" distR="114300">
            <wp:extent cx="4514215" cy="2226310"/>
            <wp:effectExtent l="0" t="0" r="6985" b="8890"/>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19"/>
                    <a:srcRect l="4340" t="8794" r="4407" b="6737"/>
                    <a:stretch>
                      <a:fillRect/>
                    </a:stretch>
                  </pic:blipFill>
                  <pic:spPr>
                    <a:xfrm>
                      <a:off x="0" y="0"/>
                      <a:ext cx="4514215" cy="2226310"/>
                    </a:xfrm>
                    <a:prstGeom prst="rect">
                      <a:avLst/>
                    </a:prstGeom>
                    <a:noFill/>
                    <a:ln>
                      <a:noFill/>
                    </a:ln>
                  </pic:spPr>
                </pic:pic>
              </a:graphicData>
            </a:graphic>
          </wp:inline>
        </w:drawing>
      </w:r>
    </w:p>
    <w:p w14:paraId="2B90CB95">
      <w:pPr>
        <w:pStyle w:val="5"/>
        <w:jc w:val="center"/>
        <w:rPr>
          <w:rFonts w:hint="eastAsia" w:ascii="楷体" w:hAnsi="楷体" w:eastAsia="楷体" w:cs="楷体"/>
          <w:sz w:val="18"/>
          <w:szCs w:val="18"/>
          <w:lang w:val="en-US" w:eastAsia="zh-CN"/>
        </w:rPr>
      </w:pPr>
      <w:r>
        <w:rPr>
          <w:rFonts w:hint="eastAsia" w:ascii="楷体" w:hAnsi="楷体" w:eastAsia="楷体" w:cs="楷体"/>
          <w:sz w:val="18"/>
          <w:szCs w:val="18"/>
          <w:lang w:eastAsia="zh-CN"/>
        </w:rPr>
        <w:t xml:space="preserve">图 </w:t>
      </w:r>
      <w:r>
        <w:rPr>
          <w:rFonts w:hint="eastAsia" w:ascii="楷体" w:hAnsi="楷体" w:eastAsia="楷体" w:cs="楷体"/>
          <w:sz w:val="18"/>
          <w:szCs w:val="18"/>
          <w:lang w:eastAsia="zh-CN"/>
        </w:rPr>
        <w:fldChar w:fldCharType="begin"/>
      </w:r>
      <w:r>
        <w:rPr>
          <w:rFonts w:hint="eastAsia" w:ascii="楷体" w:hAnsi="楷体" w:eastAsia="楷体" w:cs="楷体"/>
          <w:sz w:val="18"/>
          <w:szCs w:val="18"/>
          <w:lang w:eastAsia="zh-CN"/>
        </w:rPr>
        <w:instrText xml:space="preserve"> SEQ 图 \* ARABIC </w:instrText>
      </w:r>
      <w:r>
        <w:rPr>
          <w:rFonts w:hint="eastAsia" w:ascii="楷体" w:hAnsi="楷体" w:eastAsia="楷体" w:cs="楷体"/>
          <w:sz w:val="18"/>
          <w:szCs w:val="18"/>
          <w:lang w:eastAsia="zh-CN"/>
        </w:rPr>
        <w:fldChar w:fldCharType="separate"/>
      </w:r>
      <w:r>
        <w:rPr>
          <w:rFonts w:hint="eastAsia" w:ascii="楷体" w:hAnsi="楷体" w:eastAsia="楷体" w:cs="楷体"/>
          <w:sz w:val="18"/>
          <w:szCs w:val="18"/>
          <w:lang w:eastAsia="zh-CN"/>
        </w:rPr>
        <w:t>3</w:t>
      </w:r>
      <w:r>
        <w:rPr>
          <w:rFonts w:hint="eastAsia" w:ascii="楷体" w:hAnsi="楷体" w:eastAsia="楷体" w:cs="楷体"/>
          <w:sz w:val="18"/>
          <w:szCs w:val="18"/>
          <w:lang w:eastAsia="zh-CN"/>
        </w:rPr>
        <w:fldChar w:fldCharType="end"/>
      </w:r>
      <w:r>
        <w:rPr>
          <w:rFonts w:hint="eastAsia" w:ascii="楷体" w:hAnsi="楷体" w:eastAsia="楷体" w:cs="楷体"/>
          <w:sz w:val="18"/>
          <w:szCs w:val="18"/>
          <w:lang w:eastAsia="zh-CN"/>
        </w:rPr>
        <w:t xml:space="preserve"> 国外生态文明教育主题演化图</w:t>
      </w:r>
    </w:p>
    <w:p w14:paraId="25FC68AD">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p>
    <w:p w14:paraId="6E8BEEE8">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生态文明教育研究在持续深化核心议题的同时，也呈现出显著的“外部演化”特征，即不断引入新的研究领域与视角。根据主题演化图可见，生态文明教育研究当前正经历三项主要趋势：其一，从宏观理念向具体实践转变；其二，从传统教育范式扩展至技术驱动与终身学习模式；其三，从单一学科向多学科融合演进。其中，生态文明教育与数字技术的深度融合</w:t>
      </w:r>
      <w:r>
        <w:rPr>
          <w:rFonts w:hint="eastAsia" w:ascii="宋体" w:hAnsi="宋体" w:cs="宋体"/>
          <w:sz w:val="21"/>
          <w:szCs w:val="21"/>
          <w:lang w:val="en-US" w:eastAsia="zh-CN"/>
        </w:rPr>
        <w:t>是</w:t>
      </w:r>
      <w:r>
        <w:rPr>
          <w:rFonts w:hint="eastAsia" w:ascii="宋体" w:hAnsi="宋体" w:eastAsia="宋体" w:cs="宋体"/>
          <w:sz w:val="21"/>
          <w:szCs w:val="21"/>
          <w:lang w:val="en-US" w:eastAsia="zh-CN"/>
        </w:rPr>
        <w:t>最为显著的趋势之一</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如“科学教育”“高校可持续发展”与“学生学习”等多个主题中均引入了“数字技术”元素，反映出技术在生态教育中的工具性与转化功能日益凸显。此外，生态文明教育的研究内容也呈现出多维度扩展的趋势，主要体现在以下四个方面：第一，研究关注从宏观议题逐步向环境治理实践延伸。诸如“废弃物管理”与“资源利用”等主题的出现，表明研究开始涵盖环境保护的具体操作层面，强调节能减排、污染控制与循环利用等实践内容。第二，教育主体与教育方式不断拓展。研究中对“数字化转型”“终身学习”以及“高校教育责任”等议题的关注日益增强，反映出教育形式从学校教育向跨年龄、跨媒介的生态教育延伸。第三，生态文明教育与绿色经济、社会创新之间的融合日趋紧密。如“绿色创新”主题的涌现，体现出研究逐步突破教育内部范畴，进入绿色创业、生态经济建设与社会可持续发展的交叉领域。第四，气候变化仍是持续关注的重要议题，但其研究角色正发生转变。当前相关研究多将“气候变化”作为生态教育干预的目标对象，而非问题源头，标志着研究焦点从问题认知逐步过渡到政策响应与综合治理层面。</w:t>
      </w:r>
    </w:p>
    <w:p w14:paraId="03F8D7FA">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420" w:firstLineChars="200"/>
        <w:textAlignment w:val="auto"/>
        <w:outlineLvl w:val="1"/>
        <w:rPr>
          <w:rFonts w:hint="eastAsia" w:ascii="黑体" w:hAnsi="黑体" w:eastAsia="黑体" w:cs="黑体"/>
          <w:sz w:val="21"/>
          <w:szCs w:val="21"/>
          <w:lang w:val="en-US" w:eastAsia="zh-CN"/>
        </w:rPr>
      </w:pPr>
      <w:r>
        <w:rPr>
          <w:rFonts w:hint="eastAsia" w:ascii="黑体" w:hAnsi="黑体" w:eastAsia="黑体" w:cs="黑体"/>
          <w:sz w:val="21"/>
          <w:szCs w:val="21"/>
          <w:lang w:val="en-US" w:eastAsia="zh-CN" w:bidi="ar-SA"/>
        </w:rPr>
        <w:t>（四）</w:t>
      </w:r>
      <w:r>
        <w:rPr>
          <w:rFonts w:hint="eastAsia" w:ascii="黑体" w:hAnsi="黑体" w:eastAsia="黑体" w:cs="黑体"/>
          <w:sz w:val="21"/>
          <w:szCs w:val="21"/>
          <w:lang w:val="en-US" w:eastAsia="zh-CN"/>
        </w:rPr>
        <w:t>主题前沿</w:t>
      </w:r>
    </w:p>
    <w:p w14:paraId="58A4246B">
      <w:pPr>
        <w:keepNext w:val="0"/>
        <w:keepLines w:val="0"/>
        <w:pageBreakBefore w:val="0"/>
        <w:widowControl/>
        <w:numPr>
          <w:ilvl w:val="0"/>
          <w:numId w:val="0"/>
        </w:numPr>
        <w:kinsoku/>
        <w:wordWrap/>
        <w:overflowPunct/>
        <w:topLinePunct w:val="0"/>
        <w:autoSpaceDE/>
        <w:autoSpaceDN/>
        <w:bidi w:val="0"/>
        <w:adjustRightInd/>
        <w:snapToGrid/>
        <w:ind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热点主题识别是一种用于挖掘与分析特定研究领域内高影响力主题的方法，通常结合文本挖掘、机器学习与网络分析等技术手段，通过对大规模文献数据的处理，识别在特定时间段内具有高研究热度、快速增长趋势或前沿特征的主题内容。</w:t>
      </w:r>
      <w:r>
        <w:rPr>
          <w:rFonts w:hint="eastAsia" w:ascii="宋体" w:hAnsi="宋体" w:cs="宋体"/>
          <w:sz w:val="21"/>
          <w:szCs w:val="21"/>
          <w:lang w:val="en-US" w:eastAsia="zh-CN"/>
        </w:rPr>
        <w:t>基于</w:t>
      </w:r>
      <w:r>
        <w:rPr>
          <w:rFonts w:hint="eastAsia" w:ascii="宋体" w:hAnsi="宋体" w:eastAsia="宋体" w:cs="宋体"/>
          <w:sz w:val="21"/>
          <w:szCs w:val="21"/>
          <w:lang w:val="en-US" w:eastAsia="zh-CN"/>
        </w:rPr>
        <w:t>相关文献的“文档—主题分布”并计算各主题的热度与新颖度</w:t>
      </w:r>
      <w:r>
        <w:rPr>
          <w:rStyle w:val="16"/>
          <w:rFonts w:hint="eastAsia" w:ascii="宋体" w:hAnsi="宋体" w:eastAsia="宋体" w:cs="宋体"/>
          <w:sz w:val="21"/>
          <w:szCs w:val="21"/>
          <w:lang w:val="en-US" w:eastAsia="zh-CN"/>
        </w:rPr>
        <w:footnoteReference w:id="2"/>
      </w:r>
      <w:r>
        <w:rPr>
          <w:rFonts w:hint="eastAsia" w:ascii="宋体" w:hAnsi="宋体" w:eastAsia="宋体" w:cs="宋体"/>
          <w:sz w:val="21"/>
          <w:szCs w:val="21"/>
          <w:lang w:val="en-US" w:eastAsia="zh-CN"/>
        </w:rPr>
        <w:t>。</w:t>
      </w:r>
      <w:r>
        <w:rPr>
          <w:rFonts w:hint="eastAsia" w:ascii="宋体" w:hAnsi="宋体" w:cs="宋体"/>
          <w:sz w:val="21"/>
          <w:szCs w:val="21"/>
          <w:lang w:val="en-US" w:eastAsia="zh-CN"/>
        </w:rPr>
        <w:t>同时，参考</w:t>
      </w:r>
      <w:r>
        <w:rPr>
          <w:rFonts w:hint="eastAsia" w:ascii="宋体" w:hAnsi="宋体" w:eastAsia="宋体" w:cs="宋体"/>
          <w:sz w:val="21"/>
          <w:szCs w:val="21"/>
          <w:lang w:val="en-US" w:eastAsia="zh-CN"/>
        </w:rPr>
        <w:t>周健等人的研究方法，将所有主题新颖度的平均值作为阈值，将热度较</w:t>
      </w:r>
      <w:bookmarkStart w:id="0" w:name="_GoBack"/>
      <w:bookmarkEnd w:id="0"/>
      <w:r>
        <w:rPr>
          <w:rFonts w:hint="eastAsia" w:ascii="宋体" w:hAnsi="宋体" w:eastAsia="宋体" w:cs="宋体"/>
          <w:sz w:val="21"/>
          <w:szCs w:val="21"/>
          <w:lang w:val="en-US" w:eastAsia="zh-CN"/>
        </w:rPr>
        <w:t>高</w:t>
      </w:r>
      <w:r>
        <w:rPr>
          <w:rFonts w:hint="eastAsia" w:ascii="宋体" w:hAnsi="宋体" w:cs="宋体"/>
          <w:sz w:val="21"/>
          <w:szCs w:val="21"/>
          <w:lang w:val="en-US" w:eastAsia="zh-CN"/>
        </w:rPr>
        <w:t>且</w:t>
      </w:r>
      <w:r>
        <w:rPr>
          <w:rFonts w:hint="eastAsia" w:ascii="宋体" w:hAnsi="宋体" w:eastAsia="宋体" w:cs="宋体"/>
          <w:sz w:val="21"/>
          <w:szCs w:val="21"/>
          <w:lang w:val="en-US" w:eastAsia="zh-CN"/>
        </w:rPr>
        <w:t>新颖度较</w:t>
      </w:r>
      <w:r>
        <w:rPr>
          <w:rFonts w:hint="eastAsia" w:ascii="宋体" w:hAnsi="宋体" w:cs="宋体"/>
          <w:sz w:val="21"/>
          <w:szCs w:val="21"/>
          <w:lang w:val="en-US" w:eastAsia="zh-CN"/>
        </w:rPr>
        <w:t>高</w:t>
      </w:r>
      <w:r>
        <w:rPr>
          <w:rFonts w:hint="eastAsia" w:ascii="宋体" w:hAnsi="宋体" w:eastAsia="宋体" w:cs="宋体"/>
          <w:sz w:val="21"/>
          <w:szCs w:val="21"/>
          <w:lang w:val="en-US" w:eastAsia="zh-CN"/>
        </w:rPr>
        <w:t>的主题划定为“热点主题”</w:t>
      </w:r>
      <w:r>
        <w:rPr>
          <w:rStyle w:val="14"/>
          <w:rFonts w:hint="eastAsia" w:ascii="宋体" w:hAnsi="宋体" w:eastAsia="宋体" w:cs="宋体"/>
          <w:sz w:val="21"/>
          <w:szCs w:val="21"/>
          <w:lang w:val="en-US" w:eastAsia="zh-CN"/>
        </w:rPr>
        <w:t>[</w:t>
      </w:r>
      <w:r>
        <w:rPr>
          <w:rStyle w:val="14"/>
          <w:rFonts w:hint="eastAsia" w:ascii="宋体" w:hAnsi="宋体" w:eastAsia="宋体" w:cs="宋体"/>
          <w:sz w:val="21"/>
          <w:szCs w:val="21"/>
          <w:lang w:val="en-US" w:eastAsia="zh-CN"/>
        </w:rPr>
        <w:endnoteReference w:id="12"/>
      </w:r>
      <w:r>
        <w:rPr>
          <w:rStyle w:val="14"/>
          <w:rFonts w:hint="eastAsia" w:ascii="宋体" w:hAnsi="宋体" w:eastAsia="宋体" w:cs="宋体"/>
          <w:sz w:val="21"/>
          <w:szCs w:val="21"/>
          <w:lang w:val="en-US" w:eastAsia="zh-CN"/>
        </w:rPr>
        <w:t>]</w:t>
      </w:r>
      <w:r>
        <w:rPr>
          <w:rFonts w:hint="eastAsia" w:ascii="宋体" w:hAnsi="宋体" w:cs="宋体"/>
          <w:sz w:val="21"/>
          <w:szCs w:val="21"/>
          <w:lang w:val="en-US" w:eastAsia="zh-CN"/>
        </w:rPr>
        <w:t>，并</w:t>
      </w:r>
      <w:r>
        <w:rPr>
          <w:rFonts w:hint="eastAsia" w:ascii="宋体" w:hAnsi="宋体" w:eastAsia="宋体" w:cs="宋体"/>
          <w:sz w:val="21"/>
          <w:szCs w:val="21"/>
          <w:lang w:val="en-US" w:eastAsia="zh-CN"/>
        </w:rPr>
        <w:t>采用“主题二维尺度分析法”，即以热度与新颖度两个维度对主题进行分类识别。最终识别出国外生态文明教育研究中共有 5 个热点主题。</w:t>
      </w:r>
    </w:p>
    <w:p w14:paraId="21EC0AED">
      <w:pPr>
        <w:keepNext w:val="0"/>
        <w:keepLines w:val="0"/>
        <w:pageBreakBefore w:val="0"/>
        <w:widowControl/>
        <w:numPr>
          <w:ilvl w:val="0"/>
          <w:numId w:val="0"/>
        </w:numPr>
        <w:kinsoku/>
        <w:wordWrap/>
        <w:overflowPunct/>
        <w:topLinePunct w:val="0"/>
        <w:autoSpaceDE/>
        <w:autoSpaceDN/>
        <w:bidi w:val="0"/>
        <w:adjustRightInd/>
        <w:snapToGrid/>
        <w:ind w:firstLine="360" w:firstLineChars="200"/>
        <w:jc w:val="center"/>
        <w:textAlignment w:val="auto"/>
        <w:rPr>
          <w:rFonts w:hint="eastAsia" w:ascii="宋体" w:hAnsi="宋体" w:eastAsia="宋体" w:cs="宋体"/>
          <w:sz w:val="21"/>
          <w:szCs w:val="21"/>
          <w:lang w:val="en-US" w:eastAsia="zh-CN"/>
        </w:rPr>
      </w:pPr>
      <w:r>
        <w:rPr>
          <w:rFonts w:hint="eastAsia" w:ascii="楷体" w:hAnsi="楷体" w:eastAsia="楷体" w:cs="楷体"/>
          <w:sz w:val="18"/>
          <w:szCs w:val="18"/>
          <w:lang w:eastAsia="zh-CN"/>
        </w:rPr>
        <w:t xml:space="preserve">表 </w:t>
      </w:r>
      <w:r>
        <w:rPr>
          <w:rFonts w:hint="eastAsia" w:ascii="楷体" w:hAnsi="楷体" w:eastAsia="楷体" w:cs="楷体"/>
          <w:sz w:val="18"/>
          <w:szCs w:val="18"/>
          <w:lang w:eastAsia="zh-CN"/>
        </w:rPr>
        <w:fldChar w:fldCharType="begin"/>
      </w:r>
      <w:r>
        <w:rPr>
          <w:rFonts w:hint="eastAsia" w:ascii="楷体" w:hAnsi="楷体" w:eastAsia="楷体" w:cs="楷体"/>
          <w:sz w:val="18"/>
          <w:szCs w:val="18"/>
          <w:lang w:eastAsia="zh-CN"/>
        </w:rPr>
        <w:instrText xml:space="preserve"> SEQ 表 \* ARABIC </w:instrText>
      </w:r>
      <w:r>
        <w:rPr>
          <w:rFonts w:hint="eastAsia" w:ascii="楷体" w:hAnsi="楷体" w:eastAsia="楷体" w:cs="楷体"/>
          <w:sz w:val="18"/>
          <w:szCs w:val="18"/>
          <w:lang w:eastAsia="zh-CN"/>
        </w:rPr>
        <w:fldChar w:fldCharType="separate"/>
      </w:r>
      <w:r>
        <w:rPr>
          <w:rFonts w:hint="eastAsia" w:ascii="楷体" w:hAnsi="楷体" w:eastAsia="楷体" w:cs="楷体"/>
          <w:sz w:val="18"/>
          <w:szCs w:val="18"/>
          <w:lang w:eastAsia="zh-CN"/>
        </w:rPr>
        <w:t>2</w:t>
      </w:r>
      <w:r>
        <w:rPr>
          <w:rFonts w:hint="eastAsia" w:ascii="楷体" w:hAnsi="楷体" w:eastAsia="楷体" w:cs="楷体"/>
          <w:sz w:val="18"/>
          <w:szCs w:val="18"/>
          <w:lang w:eastAsia="zh-CN"/>
        </w:rPr>
        <w:fldChar w:fldCharType="end"/>
      </w:r>
      <w:r>
        <w:rPr>
          <w:rFonts w:hint="eastAsia" w:ascii="楷体" w:hAnsi="楷体" w:eastAsia="楷体" w:cs="楷体"/>
          <w:sz w:val="18"/>
          <w:szCs w:val="18"/>
          <w:lang w:eastAsia="zh-CN"/>
        </w:rPr>
        <w:t xml:space="preserve">  国外生态文明教育热点主题</w:t>
      </w:r>
    </w:p>
    <w:tbl>
      <w:tblPr>
        <w:tblStyle w:val="11"/>
        <w:tblpPr w:leftFromText="180" w:rightFromText="180" w:vertAnchor="page" w:horzAnchor="page" w:tblpX="2112" w:tblpY="2572"/>
        <w:tblOverlap w:val="never"/>
        <w:tblW w:w="77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
        <w:gridCol w:w="1186"/>
        <w:gridCol w:w="1407"/>
        <w:gridCol w:w="1395"/>
        <w:gridCol w:w="1407"/>
        <w:gridCol w:w="1394"/>
      </w:tblGrid>
      <w:tr w14:paraId="0E8C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928" w:type="dxa"/>
            <w:tcBorders>
              <w:top w:val="single" w:color="000000" w:sz="12" w:space="0"/>
              <w:left w:val="nil"/>
              <w:bottom w:val="single" w:color="000000" w:sz="4" w:space="0"/>
              <w:right w:val="nil"/>
              <w:tl2br w:val="nil"/>
            </w:tcBorders>
            <w:shd w:val="clear" w:color="auto" w:fill="FFFFFF"/>
            <w:noWrap w:val="0"/>
            <w:vAlign w:val="center"/>
          </w:tcPr>
          <w:p w14:paraId="3D7F3BDF">
            <w:pPr>
              <w:widowControl w:val="0"/>
              <w:jc w:val="center"/>
              <w:rPr>
                <w:rFonts w:hint="eastAsia" w:ascii="黑体" w:hAnsi="黑体" w:eastAsia="黑体" w:cs="黑体"/>
                <w:b w:val="0"/>
                <w:color w:val="000000"/>
                <w:kern w:val="2"/>
                <w:sz w:val="18"/>
                <w:szCs w:val="18"/>
                <w:vertAlign w:val="baseline"/>
                <w:lang w:val="en-US" w:eastAsia="zh-CN"/>
              </w:rPr>
            </w:pPr>
          </w:p>
        </w:tc>
        <w:tc>
          <w:tcPr>
            <w:tcW w:w="1186" w:type="dxa"/>
            <w:tcBorders>
              <w:top w:val="single" w:color="000000" w:sz="12" w:space="0"/>
              <w:left w:val="nil"/>
              <w:bottom w:val="single" w:color="000000" w:sz="4" w:space="0"/>
              <w:right w:val="nil"/>
            </w:tcBorders>
            <w:shd w:val="clear" w:color="auto" w:fill="FFFFFF"/>
            <w:noWrap w:val="0"/>
            <w:vAlign w:val="center"/>
          </w:tcPr>
          <w:p w14:paraId="1D589FC2">
            <w:pPr>
              <w:widowControl w:val="0"/>
              <w:jc w:val="center"/>
              <w:rPr>
                <w:rFonts w:hint="eastAsia" w:ascii="Times New Roman" w:hAnsi="Times New Roman" w:cs="Times New Roman"/>
                <w:b w:val="0"/>
                <w:color w:val="000000"/>
                <w:kern w:val="2"/>
                <w:sz w:val="18"/>
                <w:szCs w:val="18"/>
                <w:vertAlign w:val="baseline"/>
                <w:lang w:val="en-US" w:eastAsia="zh-CN"/>
              </w:rPr>
            </w:pPr>
            <w:r>
              <w:rPr>
                <w:rFonts w:hint="eastAsia" w:ascii="Times New Roman" w:hAnsi="Times New Roman" w:cs="Times New Roman"/>
                <w:b w:val="0"/>
                <w:color w:val="000000"/>
                <w:kern w:val="2"/>
                <w:sz w:val="18"/>
                <w:szCs w:val="18"/>
                <w:vertAlign w:val="baseline"/>
                <w:lang w:val="en-US" w:eastAsia="zh-CN"/>
              </w:rPr>
              <w:t>Topic1</w:t>
            </w:r>
          </w:p>
        </w:tc>
        <w:tc>
          <w:tcPr>
            <w:tcW w:w="1407" w:type="dxa"/>
            <w:tcBorders>
              <w:top w:val="single" w:color="000000" w:sz="12" w:space="0"/>
              <w:left w:val="nil"/>
              <w:bottom w:val="single" w:color="000000" w:sz="4" w:space="0"/>
              <w:right w:val="nil"/>
            </w:tcBorders>
            <w:shd w:val="clear" w:color="auto" w:fill="FFFFFF"/>
            <w:noWrap w:val="0"/>
            <w:vAlign w:val="center"/>
          </w:tcPr>
          <w:p w14:paraId="5EE580D1">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Topic2</w:t>
            </w:r>
          </w:p>
        </w:tc>
        <w:tc>
          <w:tcPr>
            <w:tcW w:w="1395" w:type="dxa"/>
            <w:tcBorders>
              <w:top w:val="single" w:color="000000" w:sz="12" w:space="0"/>
              <w:left w:val="nil"/>
              <w:bottom w:val="single" w:color="000000" w:sz="4" w:space="0"/>
              <w:right w:val="nil"/>
            </w:tcBorders>
            <w:shd w:val="clear" w:color="auto" w:fill="FFFFFF"/>
            <w:noWrap w:val="0"/>
            <w:vAlign w:val="center"/>
          </w:tcPr>
          <w:p w14:paraId="175187A6">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Topic3</w:t>
            </w:r>
          </w:p>
        </w:tc>
        <w:tc>
          <w:tcPr>
            <w:tcW w:w="1407" w:type="dxa"/>
            <w:tcBorders>
              <w:top w:val="single" w:color="000000" w:sz="12" w:space="0"/>
              <w:left w:val="nil"/>
              <w:bottom w:val="single" w:color="000000" w:sz="4" w:space="0"/>
              <w:right w:val="nil"/>
            </w:tcBorders>
            <w:shd w:val="clear" w:color="auto" w:fill="FFFFFF"/>
            <w:noWrap w:val="0"/>
            <w:vAlign w:val="center"/>
          </w:tcPr>
          <w:p w14:paraId="5F39C0D7">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Topic4</w:t>
            </w:r>
          </w:p>
        </w:tc>
        <w:tc>
          <w:tcPr>
            <w:tcW w:w="1394" w:type="dxa"/>
            <w:tcBorders>
              <w:top w:val="single" w:color="000000" w:sz="12" w:space="0"/>
              <w:left w:val="nil"/>
              <w:bottom w:val="single" w:color="000000" w:sz="4" w:space="0"/>
              <w:right w:val="nil"/>
            </w:tcBorders>
            <w:shd w:val="clear" w:color="auto" w:fill="FFFFFF"/>
            <w:noWrap w:val="0"/>
            <w:vAlign w:val="center"/>
          </w:tcPr>
          <w:p w14:paraId="3B558DE4">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Topic5</w:t>
            </w:r>
          </w:p>
        </w:tc>
      </w:tr>
      <w:tr w14:paraId="03FA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928" w:type="dxa"/>
            <w:tcBorders>
              <w:top w:val="single" w:color="000000" w:sz="4" w:space="0"/>
              <w:left w:val="nil"/>
              <w:bottom w:val="nil"/>
              <w:right w:val="nil"/>
            </w:tcBorders>
            <w:shd w:val="clear" w:color="auto" w:fill="FFFFFF"/>
            <w:noWrap w:val="0"/>
            <w:vAlign w:val="center"/>
          </w:tcPr>
          <w:p w14:paraId="2F76252B">
            <w:pPr>
              <w:widowControl w:val="0"/>
              <w:jc w:val="center"/>
              <w:rPr>
                <w:rFonts w:hint="eastAsia" w:ascii="黑体" w:hAnsi="黑体" w:eastAsia="黑体" w:cs="黑体"/>
                <w:b w:val="0"/>
                <w:color w:val="000000"/>
                <w:kern w:val="2"/>
                <w:sz w:val="18"/>
                <w:szCs w:val="18"/>
                <w:vertAlign w:val="baseline"/>
                <w:lang w:val="en-US" w:eastAsia="zh-CN"/>
              </w:rPr>
            </w:pPr>
            <w:r>
              <w:rPr>
                <w:rFonts w:hint="eastAsia" w:ascii="黑体" w:hAnsi="黑体" w:eastAsia="黑体" w:cs="黑体"/>
                <w:b w:val="0"/>
                <w:color w:val="000000"/>
                <w:kern w:val="2"/>
                <w:sz w:val="18"/>
                <w:szCs w:val="18"/>
                <w:vertAlign w:val="baseline"/>
                <w:lang w:val="en-US" w:eastAsia="zh-CN"/>
              </w:rPr>
              <w:t>主题</w:t>
            </w:r>
          </w:p>
        </w:tc>
        <w:tc>
          <w:tcPr>
            <w:tcW w:w="1186" w:type="dxa"/>
            <w:tcBorders>
              <w:top w:val="single" w:color="000000" w:sz="4" w:space="0"/>
              <w:left w:val="nil"/>
              <w:bottom w:val="nil"/>
              <w:right w:val="nil"/>
            </w:tcBorders>
            <w:shd w:val="clear" w:color="auto" w:fill="FFFFFF"/>
            <w:noWrap w:val="0"/>
            <w:vAlign w:val="center"/>
          </w:tcPr>
          <w:p w14:paraId="7CBC79EE">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change</w:t>
            </w:r>
          </w:p>
        </w:tc>
        <w:tc>
          <w:tcPr>
            <w:tcW w:w="1407" w:type="dxa"/>
            <w:tcBorders>
              <w:top w:val="single" w:color="000000" w:sz="4" w:space="0"/>
              <w:left w:val="nil"/>
              <w:bottom w:val="nil"/>
              <w:right w:val="nil"/>
            </w:tcBorders>
            <w:shd w:val="clear" w:color="auto" w:fill="FFFFFF"/>
            <w:noWrap w:val="0"/>
            <w:vAlign w:val="center"/>
          </w:tcPr>
          <w:p w14:paraId="4541D265">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food</w:t>
            </w:r>
          </w:p>
        </w:tc>
        <w:tc>
          <w:tcPr>
            <w:tcW w:w="1395" w:type="dxa"/>
            <w:tcBorders>
              <w:top w:val="single" w:color="000000" w:sz="4" w:space="0"/>
              <w:left w:val="nil"/>
              <w:bottom w:val="nil"/>
              <w:right w:val="nil"/>
            </w:tcBorders>
            <w:shd w:val="clear" w:color="auto" w:fill="FFFFFF"/>
            <w:noWrap w:val="0"/>
            <w:vAlign w:val="center"/>
          </w:tcPr>
          <w:p w14:paraId="6AA032B4">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conservation</w:t>
            </w:r>
          </w:p>
        </w:tc>
        <w:tc>
          <w:tcPr>
            <w:tcW w:w="1407" w:type="dxa"/>
            <w:tcBorders>
              <w:top w:val="single" w:color="000000" w:sz="4" w:space="0"/>
              <w:left w:val="nil"/>
              <w:bottom w:val="nil"/>
              <w:right w:val="nil"/>
            </w:tcBorders>
            <w:shd w:val="clear" w:color="auto" w:fill="FFFFFF"/>
            <w:noWrap w:val="0"/>
            <w:vAlign w:val="center"/>
          </w:tcPr>
          <w:p w14:paraId="4B399FB7">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community</w:t>
            </w:r>
          </w:p>
        </w:tc>
        <w:tc>
          <w:tcPr>
            <w:tcW w:w="1394" w:type="dxa"/>
            <w:tcBorders>
              <w:top w:val="single" w:color="000000" w:sz="4" w:space="0"/>
              <w:left w:val="nil"/>
              <w:bottom w:val="nil"/>
              <w:right w:val="nil"/>
            </w:tcBorders>
            <w:shd w:val="clear" w:color="auto" w:fill="FFFFFF"/>
            <w:noWrap w:val="0"/>
            <w:vAlign w:val="center"/>
          </w:tcPr>
          <w:p w14:paraId="23699D60">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development</w:t>
            </w:r>
          </w:p>
        </w:tc>
      </w:tr>
      <w:tr w14:paraId="6B3C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928" w:type="dxa"/>
            <w:vMerge w:val="restart"/>
            <w:tcBorders>
              <w:top w:val="nil"/>
              <w:left w:val="nil"/>
              <w:right w:val="nil"/>
            </w:tcBorders>
            <w:shd w:val="clear" w:color="auto" w:fill="FFFFFF"/>
            <w:noWrap w:val="0"/>
            <w:vAlign w:val="center"/>
          </w:tcPr>
          <w:p w14:paraId="680E1C29">
            <w:pPr>
              <w:widowControl w:val="0"/>
              <w:jc w:val="center"/>
              <w:rPr>
                <w:rFonts w:hint="eastAsia" w:ascii="黑体" w:hAnsi="黑体" w:eastAsia="黑体" w:cs="黑体"/>
                <w:b w:val="0"/>
                <w:color w:val="000000"/>
                <w:kern w:val="2"/>
                <w:sz w:val="18"/>
                <w:szCs w:val="18"/>
                <w:vertAlign w:val="baseline"/>
                <w:lang w:val="en-US" w:eastAsia="zh-CN"/>
              </w:rPr>
            </w:pPr>
            <w:r>
              <w:rPr>
                <w:rFonts w:hint="eastAsia" w:ascii="黑体" w:hAnsi="黑体" w:eastAsia="黑体" w:cs="黑体"/>
                <w:b w:val="0"/>
                <w:color w:val="000000"/>
                <w:kern w:val="2"/>
                <w:sz w:val="18"/>
                <w:szCs w:val="18"/>
                <w:vertAlign w:val="baseline"/>
                <w:lang w:val="en-US" w:eastAsia="zh-CN"/>
              </w:rPr>
              <w:t>主题词</w:t>
            </w:r>
          </w:p>
        </w:tc>
        <w:tc>
          <w:tcPr>
            <w:tcW w:w="1186" w:type="dxa"/>
            <w:tcBorders>
              <w:top w:val="nil"/>
              <w:left w:val="nil"/>
              <w:bottom w:val="nil"/>
              <w:right w:val="nil"/>
            </w:tcBorders>
            <w:shd w:val="clear" w:color="auto" w:fill="FFFFFF"/>
            <w:noWrap w:val="0"/>
            <w:vAlign w:val="center"/>
          </w:tcPr>
          <w:p w14:paraId="73D91B04">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climate</w:t>
            </w:r>
          </w:p>
        </w:tc>
        <w:tc>
          <w:tcPr>
            <w:tcW w:w="1407" w:type="dxa"/>
            <w:tcBorders>
              <w:top w:val="nil"/>
              <w:left w:val="nil"/>
              <w:bottom w:val="nil"/>
              <w:right w:val="nil"/>
            </w:tcBorders>
            <w:shd w:val="clear" w:color="auto" w:fill="FFFFFF"/>
            <w:noWrap w:val="0"/>
            <w:vAlign w:val="center"/>
          </w:tcPr>
          <w:p w14:paraId="684302B9">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waste</w:t>
            </w:r>
          </w:p>
        </w:tc>
        <w:tc>
          <w:tcPr>
            <w:tcW w:w="1395" w:type="dxa"/>
            <w:tcBorders>
              <w:top w:val="nil"/>
              <w:left w:val="nil"/>
              <w:bottom w:val="nil"/>
              <w:right w:val="nil"/>
            </w:tcBorders>
            <w:shd w:val="clear" w:color="auto" w:fill="FFFFFF"/>
            <w:noWrap w:val="0"/>
            <w:vAlign w:val="center"/>
          </w:tcPr>
          <w:p w14:paraId="1335ED4F">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species</w:t>
            </w:r>
          </w:p>
        </w:tc>
        <w:tc>
          <w:tcPr>
            <w:tcW w:w="1407" w:type="dxa"/>
            <w:tcBorders>
              <w:top w:val="nil"/>
              <w:left w:val="nil"/>
              <w:bottom w:val="nil"/>
              <w:right w:val="nil"/>
            </w:tcBorders>
            <w:shd w:val="clear" w:color="auto" w:fill="FFFFFF"/>
            <w:noWrap w:val="0"/>
            <w:vAlign w:val="center"/>
          </w:tcPr>
          <w:p w14:paraId="593DF0C5">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local</w:t>
            </w:r>
          </w:p>
        </w:tc>
        <w:tc>
          <w:tcPr>
            <w:tcW w:w="1394" w:type="dxa"/>
            <w:tcBorders>
              <w:top w:val="nil"/>
              <w:left w:val="nil"/>
              <w:bottom w:val="nil"/>
              <w:right w:val="nil"/>
            </w:tcBorders>
            <w:shd w:val="clear" w:color="auto" w:fill="FFFFFF"/>
            <w:noWrap w:val="0"/>
            <w:vAlign w:val="center"/>
          </w:tcPr>
          <w:p w14:paraId="639A0E94">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economic</w:t>
            </w:r>
          </w:p>
        </w:tc>
      </w:tr>
      <w:tr w14:paraId="0316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928" w:type="dxa"/>
            <w:vMerge w:val="continue"/>
            <w:tcBorders>
              <w:left w:val="nil"/>
              <w:right w:val="nil"/>
            </w:tcBorders>
            <w:shd w:val="clear" w:color="auto" w:fill="FFFFFF"/>
            <w:noWrap w:val="0"/>
            <w:vAlign w:val="center"/>
          </w:tcPr>
          <w:p w14:paraId="1B35411D">
            <w:pPr>
              <w:widowControl w:val="0"/>
              <w:jc w:val="center"/>
              <w:rPr>
                <w:rFonts w:hint="default" w:ascii="Times New Roman" w:hAnsi="Times New Roman" w:cs="Times New Roman"/>
                <w:b w:val="0"/>
                <w:color w:val="000000"/>
                <w:kern w:val="2"/>
                <w:sz w:val="18"/>
                <w:szCs w:val="18"/>
                <w:vertAlign w:val="baseline"/>
                <w:lang w:val="en-US" w:eastAsia="zh-CN"/>
              </w:rPr>
            </w:pPr>
          </w:p>
        </w:tc>
        <w:tc>
          <w:tcPr>
            <w:tcW w:w="1186" w:type="dxa"/>
            <w:tcBorders>
              <w:top w:val="nil"/>
              <w:left w:val="nil"/>
              <w:bottom w:val="nil"/>
              <w:right w:val="nil"/>
            </w:tcBorders>
            <w:shd w:val="clear" w:color="auto" w:fill="FFFFFF"/>
            <w:noWrap w:val="0"/>
            <w:vAlign w:val="center"/>
          </w:tcPr>
          <w:p w14:paraId="524B3FA1">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green</w:t>
            </w:r>
          </w:p>
        </w:tc>
        <w:tc>
          <w:tcPr>
            <w:tcW w:w="1407" w:type="dxa"/>
            <w:tcBorders>
              <w:top w:val="nil"/>
              <w:left w:val="nil"/>
              <w:bottom w:val="nil"/>
              <w:right w:val="nil"/>
            </w:tcBorders>
            <w:shd w:val="clear" w:color="auto" w:fill="FFFFFF"/>
            <w:noWrap w:val="0"/>
            <w:vAlign w:val="center"/>
          </w:tcPr>
          <w:p w14:paraId="38524898">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consumption</w:t>
            </w:r>
          </w:p>
        </w:tc>
        <w:tc>
          <w:tcPr>
            <w:tcW w:w="1395" w:type="dxa"/>
            <w:tcBorders>
              <w:top w:val="nil"/>
              <w:left w:val="nil"/>
              <w:bottom w:val="nil"/>
              <w:right w:val="nil"/>
            </w:tcBorders>
            <w:shd w:val="clear" w:color="auto" w:fill="FFFFFF"/>
            <w:noWrap w:val="0"/>
            <w:vAlign w:val="center"/>
          </w:tcPr>
          <w:p w14:paraId="6AB8795E">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ecological</w:t>
            </w:r>
          </w:p>
        </w:tc>
        <w:tc>
          <w:tcPr>
            <w:tcW w:w="1407" w:type="dxa"/>
            <w:tcBorders>
              <w:top w:val="nil"/>
              <w:left w:val="nil"/>
              <w:bottom w:val="nil"/>
              <w:right w:val="nil"/>
            </w:tcBorders>
            <w:shd w:val="clear" w:color="auto" w:fill="FFFFFF"/>
            <w:noWrap w:val="0"/>
            <w:vAlign w:val="center"/>
          </w:tcPr>
          <w:p w14:paraId="4652E589">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communiti</w:t>
            </w:r>
            <w:r>
              <w:rPr>
                <w:rFonts w:hint="eastAsia" w:ascii="Times New Roman" w:hAnsi="Times New Roman" w:cs="Times New Roman"/>
                <w:b w:val="0"/>
                <w:color w:val="000000"/>
                <w:kern w:val="2"/>
                <w:sz w:val="18"/>
                <w:szCs w:val="18"/>
                <w:vertAlign w:val="baseline"/>
                <w:lang w:val="en-US" w:eastAsia="zh-CN"/>
              </w:rPr>
              <w:t>es</w:t>
            </w:r>
          </w:p>
        </w:tc>
        <w:tc>
          <w:tcPr>
            <w:tcW w:w="1394" w:type="dxa"/>
            <w:tcBorders>
              <w:top w:val="nil"/>
              <w:left w:val="nil"/>
              <w:bottom w:val="nil"/>
              <w:right w:val="nil"/>
            </w:tcBorders>
            <w:shd w:val="clear" w:color="auto" w:fill="FFFFFF"/>
            <w:noWrap w:val="0"/>
            <w:vAlign w:val="center"/>
          </w:tcPr>
          <w:p w14:paraId="2DEACAF0">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growth</w:t>
            </w:r>
          </w:p>
        </w:tc>
      </w:tr>
      <w:tr w14:paraId="5835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928" w:type="dxa"/>
            <w:vMerge w:val="continue"/>
            <w:tcBorders>
              <w:left w:val="nil"/>
              <w:right w:val="nil"/>
            </w:tcBorders>
            <w:shd w:val="clear" w:color="auto" w:fill="FFFFFF"/>
            <w:noWrap w:val="0"/>
            <w:vAlign w:val="center"/>
          </w:tcPr>
          <w:p w14:paraId="449862AB">
            <w:pPr>
              <w:widowControl w:val="0"/>
              <w:jc w:val="center"/>
              <w:rPr>
                <w:rFonts w:hint="default" w:ascii="Times New Roman" w:hAnsi="Times New Roman" w:cs="Times New Roman"/>
                <w:b w:val="0"/>
                <w:color w:val="000000"/>
                <w:kern w:val="2"/>
                <w:sz w:val="18"/>
                <w:szCs w:val="18"/>
                <w:vertAlign w:val="baseline"/>
                <w:lang w:val="en-US" w:eastAsia="zh-CN"/>
              </w:rPr>
            </w:pPr>
          </w:p>
        </w:tc>
        <w:tc>
          <w:tcPr>
            <w:tcW w:w="1186" w:type="dxa"/>
            <w:tcBorders>
              <w:top w:val="nil"/>
              <w:left w:val="nil"/>
              <w:bottom w:val="nil"/>
              <w:right w:val="nil"/>
            </w:tcBorders>
            <w:shd w:val="clear" w:color="auto" w:fill="FFFFFF"/>
            <w:noWrap w:val="0"/>
            <w:vAlign w:val="center"/>
          </w:tcPr>
          <w:p w14:paraId="07A88B2A">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changes</w:t>
            </w:r>
          </w:p>
        </w:tc>
        <w:tc>
          <w:tcPr>
            <w:tcW w:w="1407" w:type="dxa"/>
            <w:tcBorders>
              <w:top w:val="nil"/>
              <w:left w:val="nil"/>
              <w:bottom w:val="nil"/>
              <w:right w:val="nil"/>
            </w:tcBorders>
            <w:shd w:val="clear" w:color="auto" w:fill="FFFFFF"/>
            <w:noWrap w:val="0"/>
            <w:vAlign w:val="center"/>
          </w:tcPr>
          <w:p w14:paraId="729171C1">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products</w:t>
            </w:r>
          </w:p>
        </w:tc>
        <w:tc>
          <w:tcPr>
            <w:tcW w:w="1395" w:type="dxa"/>
            <w:tcBorders>
              <w:top w:val="nil"/>
              <w:left w:val="nil"/>
              <w:bottom w:val="nil"/>
              <w:right w:val="nil"/>
            </w:tcBorders>
            <w:shd w:val="clear" w:color="auto" w:fill="FFFFFF"/>
            <w:noWrap w:val="0"/>
            <w:vAlign w:val="center"/>
          </w:tcPr>
          <w:p w14:paraId="5B18989E">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local natural</w:t>
            </w:r>
          </w:p>
        </w:tc>
        <w:tc>
          <w:tcPr>
            <w:tcW w:w="1407" w:type="dxa"/>
            <w:tcBorders>
              <w:top w:val="nil"/>
              <w:left w:val="nil"/>
              <w:bottom w:val="nil"/>
              <w:right w:val="nil"/>
            </w:tcBorders>
            <w:shd w:val="clear" w:color="auto" w:fill="FFFFFF"/>
            <w:noWrap w:val="0"/>
            <w:vAlign w:val="center"/>
          </w:tcPr>
          <w:p w14:paraId="1914F0FC">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program</w:t>
            </w:r>
          </w:p>
        </w:tc>
        <w:tc>
          <w:tcPr>
            <w:tcW w:w="1394" w:type="dxa"/>
            <w:tcBorders>
              <w:top w:val="nil"/>
              <w:left w:val="nil"/>
              <w:bottom w:val="nil"/>
              <w:right w:val="nil"/>
            </w:tcBorders>
            <w:shd w:val="clear" w:color="auto" w:fill="FFFFFF"/>
            <w:noWrap w:val="0"/>
            <w:vAlign w:val="center"/>
          </w:tcPr>
          <w:p w14:paraId="39B12216">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china</w:t>
            </w:r>
          </w:p>
        </w:tc>
      </w:tr>
      <w:tr w14:paraId="703D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928" w:type="dxa"/>
            <w:vMerge w:val="continue"/>
            <w:tcBorders>
              <w:left w:val="nil"/>
              <w:right w:val="nil"/>
            </w:tcBorders>
            <w:shd w:val="clear" w:color="auto" w:fill="FFFFFF"/>
            <w:noWrap w:val="0"/>
            <w:vAlign w:val="center"/>
          </w:tcPr>
          <w:p w14:paraId="5ADF70F8">
            <w:pPr>
              <w:widowControl w:val="0"/>
              <w:jc w:val="center"/>
              <w:rPr>
                <w:rFonts w:hint="default" w:ascii="Times New Roman" w:hAnsi="Times New Roman" w:cs="Times New Roman"/>
                <w:b w:val="0"/>
                <w:color w:val="000000"/>
                <w:kern w:val="2"/>
                <w:sz w:val="18"/>
                <w:szCs w:val="18"/>
                <w:vertAlign w:val="baseline"/>
                <w:lang w:val="en-US" w:eastAsia="zh-CN"/>
              </w:rPr>
            </w:pPr>
          </w:p>
        </w:tc>
        <w:tc>
          <w:tcPr>
            <w:tcW w:w="1186" w:type="dxa"/>
            <w:tcBorders>
              <w:top w:val="nil"/>
              <w:left w:val="nil"/>
              <w:bottom w:val="nil"/>
              <w:right w:val="nil"/>
            </w:tcBorders>
            <w:shd w:val="clear" w:color="auto" w:fill="FFFFFF"/>
            <w:noWrap w:val="0"/>
            <w:vAlign w:val="center"/>
          </w:tcPr>
          <w:p w14:paraId="06AE1930">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adaptation</w:t>
            </w:r>
          </w:p>
        </w:tc>
        <w:tc>
          <w:tcPr>
            <w:tcW w:w="1407" w:type="dxa"/>
            <w:tcBorders>
              <w:top w:val="nil"/>
              <w:left w:val="nil"/>
              <w:bottom w:val="nil"/>
              <w:right w:val="nil"/>
            </w:tcBorders>
            <w:shd w:val="clear" w:color="auto" w:fill="FFFFFF"/>
            <w:noWrap w:val="0"/>
            <w:vAlign w:val="center"/>
          </w:tcPr>
          <w:p w14:paraId="101743CC">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recycling</w:t>
            </w:r>
          </w:p>
        </w:tc>
        <w:tc>
          <w:tcPr>
            <w:tcW w:w="1395" w:type="dxa"/>
            <w:tcBorders>
              <w:top w:val="nil"/>
              <w:left w:val="nil"/>
              <w:bottom w:val="nil"/>
              <w:right w:val="nil"/>
            </w:tcBorders>
            <w:shd w:val="clear" w:color="auto" w:fill="FFFFFF"/>
            <w:noWrap w:val="0"/>
            <w:vAlign w:val="center"/>
          </w:tcPr>
          <w:p w14:paraId="1919526C">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nature</w:t>
            </w:r>
          </w:p>
        </w:tc>
        <w:tc>
          <w:tcPr>
            <w:tcW w:w="1407" w:type="dxa"/>
            <w:tcBorders>
              <w:top w:val="nil"/>
              <w:left w:val="nil"/>
              <w:bottom w:val="nil"/>
              <w:right w:val="nil"/>
            </w:tcBorders>
            <w:shd w:val="clear" w:color="auto" w:fill="FFFFFF"/>
            <w:noWrap w:val="0"/>
            <w:vAlign w:val="center"/>
          </w:tcPr>
          <w:p w14:paraId="268A6EDB">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participation</w:t>
            </w:r>
          </w:p>
        </w:tc>
        <w:tc>
          <w:tcPr>
            <w:tcW w:w="1394" w:type="dxa"/>
            <w:tcBorders>
              <w:top w:val="nil"/>
              <w:left w:val="nil"/>
              <w:bottom w:val="nil"/>
              <w:right w:val="nil"/>
            </w:tcBorders>
            <w:shd w:val="clear" w:color="auto" w:fill="FFFFFF"/>
            <w:noWrap w:val="0"/>
            <w:vAlign w:val="center"/>
          </w:tcPr>
          <w:p w14:paraId="2C9DD61A">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financial</w:t>
            </w:r>
          </w:p>
        </w:tc>
      </w:tr>
      <w:tr w14:paraId="1B7B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928" w:type="dxa"/>
            <w:vMerge w:val="continue"/>
            <w:tcBorders>
              <w:left w:val="nil"/>
              <w:right w:val="nil"/>
            </w:tcBorders>
            <w:shd w:val="clear" w:color="auto" w:fill="FFFFFF"/>
            <w:noWrap w:val="0"/>
            <w:vAlign w:val="center"/>
          </w:tcPr>
          <w:p w14:paraId="78EAFCB4">
            <w:pPr>
              <w:widowControl w:val="0"/>
              <w:jc w:val="center"/>
              <w:rPr>
                <w:rFonts w:hint="default" w:ascii="Times New Roman" w:hAnsi="Times New Roman" w:cs="Times New Roman"/>
                <w:b w:val="0"/>
                <w:color w:val="000000"/>
                <w:kern w:val="2"/>
                <w:sz w:val="18"/>
                <w:szCs w:val="18"/>
                <w:vertAlign w:val="baseline"/>
                <w:lang w:val="en-US" w:eastAsia="zh-CN"/>
              </w:rPr>
            </w:pPr>
          </w:p>
        </w:tc>
        <w:tc>
          <w:tcPr>
            <w:tcW w:w="1186" w:type="dxa"/>
            <w:tcBorders>
              <w:top w:val="nil"/>
              <w:left w:val="nil"/>
              <w:bottom w:val="nil"/>
              <w:right w:val="nil"/>
            </w:tcBorders>
            <w:shd w:val="clear" w:color="auto" w:fill="FFFFFF"/>
            <w:noWrap w:val="0"/>
            <w:vAlign w:val="center"/>
          </w:tcPr>
          <w:p w14:paraId="47C40A41">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impacts</w:t>
            </w:r>
          </w:p>
        </w:tc>
        <w:tc>
          <w:tcPr>
            <w:tcW w:w="1407" w:type="dxa"/>
            <w:tcBorders>
              <w:top w:val="nil"/>
              <w:left w:val="nil"/>
              <w:bottom w:val="nil"/>
              <w:right w:val="nil"/>
            </w:tcBorders>
            <w:shd w:val="clear" w:color="auto" w:fill="FFFFFF"/>
            <w:noWrap w:val="0"/>
            <w:vAlign w:val="center"/>
          </w:tcPr>
          <w:p w14:paraId="2825F4E1">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consumers</w:t>
            </w:r>
          </w:p>
        </w:tc>
        <w:tc>
          <w:tcPr>
            <w:tcW w:w="1395" w:type="dxa"/>
            <w:tcBorders>
              <w:top w:val="nil"/>
              <w:left w:val="nil"/>
              <w:bottom w:val="nil"/>
              <w:right w:val="nil"/>
            </w:tcBorders>
            <w:shd w:val="clear" w:color="auto" w:fill="FFFFFF"/>
            <w:noWrap w:val="0"/>
            <w:vAlign w:val="center"/>
          </w:tcPr>
          <w:p w14:paraId="6EA2A9FD">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tourism</w:t>
            </w:r>
          </w:p>
        </w:tc>
        <w:tc>
          <w:tcPr>
            <w:tcW w:w="1407" w:type="dxa"/>
            <w:tcBorders>
              <w:top w:val="nil"/>
              <w:left w:val="nil"/>
              <w:bottom w:val="nil"/>
              <w:right w:val="nil"/>
            </w:tcBorders>
            <w:shd w:val="clear" w:color="auto" w:fill="FFFFFF"/>
            <w:noWrap w:val="0"/>
            <w:vAlign w:val="center"/>
          </w:tcPr>
          <w:p w14:paraId="79A6F932">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project</w:t>
            </w:r>
          </w:p>
        </w:tc>
        <w:tc>
          <w:tcPr>
            <w:tcW w:w="1394" w:type="dxa"/>
            <w:tcBorders>
              <w:top w:val="nil"/>
              <w:left w:val="nil"/>
              <w:bottom w:val="nil"/>
              <w:right w:val="nil"/>
            </w:tcBorders>
            <w:shd w:val="clear" w:color="auto" w:fill="FFFFFF"/>
            <w:noWrap w:val="0"/>
            <w:vAlign w:val="center"/>
          </w:tcPr>
          <w:p w14:paraId="333B1771">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impact</w:t>
            </w:r>
          </w:p>
        </w:tc>
      </w:tr>
      <w:tr w14:paraId="0F39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928" w:type="dxa"/>
            <w:vMerge w:val="continue"/>
            <w:tcBorders>
              <w:left w:val="nil"/>
              <w:bottom w:val="single" w:color="000000" w:sz="12" w:space="0"/>
              <w:right w:val="nil"/>
            </w:tcBorders>
            <w:shd w:val="clear" w:color="auto" w:fill="FFFFFF"/>
            <w:noWrap w:val="0"/>
            <w:vAlign w:val="center"/>
          </w:tcPr>
          <w:p w14:paraId="20690720">
            <w:pPr>
              <w:widowControl w:val="0"/>
              <w:jc w:val="center"/>
              <w:rPr>
                <w:rFonts w:hint="default" w:ascii="Times New Roman" w:hAnsi="Times New Roman" w:cs="Times New Roman"/>
                <w:b w:val="0"/>
                <w:color w:val="000000"/>
                <w:kern w:val="2"/>
                <w:sz w:val="18"/>
                <w:szCs w:val="18"/>
                <w:vertAlign w:val="baseline"/>
                <w:lang w:val="en-US" w:eastAsia="zh-CN"/>
              </w:rPr>
            </w:pPr>
          </w:p>
        </w:tc>
        <w:tc>
          <w:tcPr>
            <w:tcW w:w="1186" w:type="dxa"/>
            <w:tcBorders>
              <w:top w:val="nil"/>
              <w:left w:val="nil"/>
              <w:bottom w:val="single" w:color="000000" w:sz="12" w:space="0"/>
              <w:right w:val="nil"/>
            </w:tcBorders>
            <w:shd w:val="clear" w:color="auto" w:fill="FFFFFF"/>
            <w:noWrap w:val="0"/>
            <w:vAlign w:val="center"/>
          </w:tcPr>
          <w:p w14:paraId="5CC0F5E0">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globa</w:t>
            </w:r>
            <w:r>
              <w:rPr>
                <w:rFonts w:hint="eastAsia" w:ascii="Times New Roman" w:hAnsi="Times New Roman" w:cs="Times New Roman"/>
                <w:b w:val="0"/>
                <w:color w:val="000000"/>
                <w:kern w:val="2"/>
                <w:sz w:val="18"/>
                <w:szCs w:val="18"/>
                <w:vertAlign w:val="baseline"/>
                <w:lang w:val="en-US" w:eastAsia="zh-CN"/>
              </w:rPr>
              <w:t>l</w:t>
            </w:r>
          </w:p>
        </w:tc>
        <w:tc>
          <w:tcPr>
            <w:tcW w:w="1407" w:type="dxa"/>
            <w:tcBorders>
              <w:top w:val="nil"/>
              <w:left w:val="nil"/>
              <w:bottom w:val="single" w:color="000000" w:sz="12" w:space="0"/>
              <w:right w:val="nil"/>
            </w:tcBorders>
            <w:shd w:val="clear" w:color="auto" w:fill="FFFFFF"/>
            <w:noWrap w:val="0"/>
            <w:vAlign w:val="center"/>
          </w:tcPr>
          <w:p w14:paraId="31279457">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nutrition</w:t>
            </w:r>
          </w:p>
        </w:tc>
        <w:tc>
          <w:tcPr>
            <w:tcW w:w="1395" w:type="dxa"/>
            <w:tcBorders>
              <w:top w:val="nil"/>
              <w:left w:val="nil"/>
              <w:bottom w:val="single" w:color="000000" w:sz="12" w:space="0"/>
              <w:right w:val="nil"/>
            </w:tcBorders>
            <w:shd w:val="clear" w:color="auto" w:fill="FFFFFF"/>
            <w:noWrap w:val="0"/>
            <w:vAlign w:val="center"/>
          </w:tcPr>
          <w:p w14:paraId="1E37A974">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biodiversity</w:t>
            </w:r>
          </w:p>
        </w:tc>
        <w:tc>
          <w:tcPr>
            <w:tcW w:w="1407" w:type="dxa"/>
            <w:tcBorders>
              <w:top w:val="nil"/>
              <w:left w:val="nil"/>
              <w:bottom w:val="single" w:color="000000" w:sz="12" w:space="0"/>
              <w:right w:val="nil"/>
            </w:tcBorders>
            <w:shd w:val="clear" w:color="auto" w:fill="FFFFFF"/>
            <w:noWrap w:val="0"/>
            <w:vAlign w:val="center"/>
          </w:tcPr>
          <w:p w14:paraId="377F94B6">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research</w:t>
            </w:r>
          </w:p>
        </w:tc>
        <w:tc>
          <w:tcPr>
            <w:tcW w:w="1394" w:type="dxa"/>
            <w:tcBorders>
              <w:top w:val="nil"/>
              <w:left w:val="nil"/>
              <w:bottom w:val="single" w:color="000000" w:sz="12" w:space="0"/>
              <w:right w:val="nil"/>
            </w:tcBorders>
            <w:shd w:val="clear" w:color="auto" w:fill="FFFFFF"/>
            <w:noWrap w:val="0"/>
            <w:vAlign w:val="center"/>
          </w:tcPr>
          <w:p w14:paraId="425AD91F">
            <w:pPr>
              <w:widowControl w:val="0"/>
              <w:jc w:val="center"/>
              <w:rPr>
                <w:rFonts w:hint="default" w:ascii="Times New Roman" w:hAnsi="Times New Roman" w:cs="Times New Roman"/>
                <w:b w:val="0"/>
                <w:color w:val="000000"/>
                <w:kern w:val="2"/>
                <w:sz w:val="18"/>
                <w:szCs w:val="18"/>
                <w:vertAlign w:val="baseline"/>
                <w:lang w:val="en-US" w:eastAsia="zh-CN"/>
              </w:rPr>
            </w:pPr>
            <w:r>
              <w:rPr>
                <w:rFonts w:hint="default" w:ascii="Times New Roman" w:hAnsi="Times New Roman" w:cs="Times New Roman"/>
                <w:b w:val="0"/>
                <w:color w:val="000000"/>
                <w:kern w:val="2"/>
                <w:sz w:val="18"/>
                <w:szCs w:val="18"/>
                <w:vertAlign w:val="baseline"/>
                <w:lang w:val="en-US" w:eastAsia="zh-CN"/>
              </w:rPr>
              <w:t>effect</w:t>
            </w:r>
          </w:p>
        </w:tc>
      </w:tr>
    </w:tbl>
    <w:p w14:paraId="02AABB83">
      <w:pPr>
        <w:keepNext w:val="0"/>
        <w:keepLines w:val="0"/>
        <w:pageBreakBefore w:val="0"/>
        <w:widowControl/>
        <w:numPr>
          <w:ilvl w:val="0"/>
          <w:numId w:val="0"/>
        </w:numPr>
        <w:kinsoku/>
        <w:wordWrap/>
        <w:overflowPunct/>
        <w:topLinePunct w:val="0"/>
        <w:autoSpaceDE/>
        <w:autoSpaceDN/>
        <w:bidi w:val="0"/>
        <w:adjustRightInd/>
        <w:snapToGrid/>
        <w:ind w:firstLine="360" w:firstLineChars="200"/>
        <w:jc w:val="center"/>
        <w:textAlignment w:val="auto"/>
        <w:rPr>
          <w:rFonts w:hint="eastAsia" w:ascii="楷体" w:hAnsi="楷体" w:eastAsia="楷体" w:cs="楷体"/>
          <w:sz w:val="18"/>
          <w:szCs w:val="18"/>
          <w:lang w:eastAsia="zh-CN"/>
        </w:rPr>
      </w:pPr>
    </w:p>
    <w:p w14:paraId="18254926">
      <w:pPr>
        <w:keepNext w:val="0"/>
        <w:keepLines w:val="0"/>
        <w:pageBreakBefore w:val="0"/>
        <w:widowControl/>
        <w:numPr>
          <w:ilvl w:val="0"/>
          <w:numId w:val="0"/>
        </w:numPr>
        <w:kinsoku/>
        <w:wordWrap/>
        <w:overflowPunct/>
        <w:topLinePunct w:val="0"/>
        <w:autoSpaceDE/>
        <w:autoSpaceDN/>
        <w:bidi w:val="0"/>
        <w:adjustRightInd/>
        <w:snapToGrid/>
        <w:ind w:firstLine="360" w:firstLineChars="200"/>
        <w:jc w:val="center"/>
        <w:textAlignment w:val="auto"/>
        <w:rPr>
          <w:rFonts w:hint="eastAsia" w:ascii="楷体" w:hAnsi="楷体" w:eastAsia="楷体" w:cs="楷体"/>
          <w:sz w:val="18"/>
          <w:szCs w:val="18"/>
          <w:lang w:eastAsia="zh-CN"/>
        </w:rPr>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pPr>
    </w:p>
    <w:p w14:paraId="2253E2BB">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outlineLvl w:val="2"/>
        <w:rPr>
          <w:rFonts w:hint="eastAsia" w:ascii="黑体" w:hAnsi="黑体" w:eastAsia="黑体" w:cs="黑体"/>
          <w:sz w:val="21"/>
          <w:szCs w:val="21"/>
          <w:lang w:val="en-US" w:eastAsia="zh-CN"/>
        </w:rPr>
      </w:pPr>
      <w:r>
        <w:rPr>
          <w:rFonts w:hint="eastAsia" w:ascii="黑体" w:hAnsi="黑体" w:eastAsia="黑体" w:cs="黑体"/>
          <w:sz w:val="21"/>
          <w:szCs w:val="21"/>
          <w:lang w:val="en-US" w:eastAsia="zh-CN" w:bidi="ar-SA"/>
        </w:rPr>
        <w:t>1</w:t>
      </w:r>
      <w:r>
        <w:rPr>
          <w:rFonts w:hint="eastAsia" w:ascii="黑体" w:hAnsi="黑体" w:eastAsia="黑体" w:cs="黑体"/>
          <w:sz w:val="21"/>
          <w:szCs w:val="21"/>
          <w:lang w:val="en-US" w:eastAsia="zh-CN"/>
        </w:rPr>
        <w:t>气候变化</w:t>
      </w:r>
    </w:p>
    <w:p w14:paraId="56477691">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cs="宋体"/>
          <w:color w:val="auto"/>
          <w:sz w:val="21"/>
          <w:szCs w:val="21"/>
          <w:lang w:val="en-US" w:eastAsia="zh-CN"/>
        </w:rPr>
      </w:pPr>
      <w:r>
        <w:rPr>
          <w:rFonts w:hint="eastAsia" w:ascii="宋体" w:hAnsi="宋体" w:eastAsia="宋体" w:cs="宋体"/>
          <w:color w:val="auto"/>
          <w:sz w:val="21"/>
          <w:szCs w:val="21"/>
          <w:lang w:val="en-US" w:eastAsia="zh-CN"/>
        </w:rPr>
        <w:t>气候变化是当今最紧迫的环境挑战之一，也是生态文明教育领域的核心议题。其教育旨在通过提升公众对气候危机的认识和应对能力来促进可持续</w:t>
      </w:r>
      <w:r>
        <w:rPr>
          <w:rFonts w:hint="eastAsia" w:ascii="宋体" w:hAnsi="宋体" w:cs="宋体"/>
          <w:color w:val="auto"/>
          <w:sz w:val="21"/>
          <w:szCs w:val="21"/>
          <w:lang w:val="en-US" w:eastAsia="zh-CN"/>
        </w:rPr>
        <w:t>发展</w:t>
      </w:r>
      <w:r>
        <w:rPr>
          <w:rFonts w:hint="eastAsia" w:ascii="宋体" w:hAnsi="宋体" w:eastAsia="宋体" w:cs="宋体"/>
          <w:color w:val="auto"/>
          <w:sz w:val="21"/>
          <w:szCs w:val="21"/>
          <w:lang w:val="en-US" w:eastAsia="zh-CN"/>
        </w:rPr>
        <w:t>变革。</w:t>
      </w:r>
      <w:r>
        <w:rPr>
          <w:rFonts w:hint="eastAsia" w:ascii="宋体" w:hAnsi="宋体" w:cs="宋体"/>
          <w:color w:val="auto"/>
          <w:sz w:val="21"/>
          <w:szCs w:val="21"/>
          <w:lang w:val="en-US" w:eastAsia="zh-CN"/>
        </w:rPr>
        <w:t>目前，</w:t>
      </w:r>
      <w:r>
        <w:rPr>
          <w:rFonts w:hint="eastAsia" w:ascii="宋体" w:hAnsi="宋体" w:eastAsia="宋体" w:cs="宋体"/>
          <w:color w:val="auto"/>
          <w:sz w:val="21"/>
          <w:szCs w:val="21"/>
          <w:lang w:val="en-US" w:eastAsia="zh-CN"/>
        </w:rPr>
        <w:t>国际社会已经认识到教育在应对气候变化中的关键作用，联合国气候变化框架公约呼吁各国通过教育提升公众的气候意识与适应能</w:t>
      </w:r>
      <w:r>
        <w:rPr>
          <w:rFonts w:hint="eastAsia" w:ascii="宋体" w:hAnsi="宋体" w:cs="宋体"/>
          <w:color w:val="auto"/>
          <w:sz w:val="21"/>
          <w:szCs w:val="21"/>
          <w:lang w:val="en-US" w:eastAsia="zh-CN"/>
        </w:rPr>
        <w:t>力</w:t>
      </w:r>
      <w:r>
        <w:rPr>
          <w:rStyle w:val="14"/>
          <w:rFonts w:hint="eastAsia" w:ascii="宋体" w:hAnsi="宋体" w:cs="宋体"/>
          <w:color w:val="auto"/>
          <w:sz w:val="21"/>
          <w:szCs w:val="21"/>
          <w:lang w:val="en-US" w:eastAsia="zh-CN"/>
        </w:rPr>
        <w:t>[</w:t>
      </w:r>
      <w:r>
        <w:rPr>
          <w:rStyle w:val="14"/>
          <w:rFonts w:hint="eastAsia" w:ascii="宋体" w:hAnsi="宋体" w:cs="宋体"/>
          <w:color w:val="auto"/>
          <w:sz w:val="21"/>
          <w:szCs w:val="21"/>
          <w:lang w:val="en-US" w:eastAsia="zh-CN"/>
        </w:rPr>
        <w:endnoteReference w:id="13"/>
      </w:r>
      <w:r>
        <w:rPr>
          <w:rStyle w:val="14"/>
          <w:rFonts w:hint="eastAsia" w:ascii="宋体" w:hAnsi="宋体" w:cs="宋体"/>
          <w:color w:val="auto"/>
          <w:sz w:val="21"/>
          <w:szCs w:val="21"/>
          <w:lang w:val="en-US" w:eastAsia="zh-CN"/>
        </w:rPr>
        <w:t>]</w:t>
      </w:r>
      <w:r>
        <w:rPr>
          <w:rFonts w:hint="eastAsia" w:ascii="宋体" w:hAnsi="宋体" w:cs="宋体"/>
          <w:color w:val="auto"/>
          <w:sz w:val="21"/>
          <w:szCs w:val="21"/>
          <w:lang w:val="en-US" w:eastAsia="zh-CN"/>
        </w:rPr>
        <w:t>。在政策共识的推动下，有关教育在气候行动中相关学术研究也不断深入。从当前研究发展趋势来看，气候教育已主题的文献大致呈现出以下三个方面的重点。</w:t>
      </w:r>
    </w:p>
    <w:p w14:paraId="09919AB4">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第一，</w:t>
      </w:r>
      <w:r>
        <w:rPr>
          <w:rFonts w:hint="eastAsia" w:ascii="宋体" w:hAnsi="宋体" w:eastAsia="宋体" w:cs="宋体"/>
          <w:color w:val="auto"/>
          <w:sz w:val="21"/>
          <w:szCs w:val="21"/>
          <w:lang w:val="en-US" w:eastAsia="zh-CN"/>
        </w:rPr>
        <w:t>研究聚焦于如何在各级教育中融入气候变化相关内容，从气候</w:t>
      </w:r>
      <w:r>
        <w:rPr>
          <w:rFonts w:hint="eastAsia" w:ascii="宋体" w:hAnsi="宋体" w:cs="宋体"/>
          <w:color w:val="auto"/>
          <w:sz w:val="21"/>
          <w:szCs w:val="21"/>
          <w:lang w:val="en-US" w:eastAsia="zh-CN"/>
        </w:rPr>
        <w:t>变化</w:t>
      </w:r>
      <w:r>
        <w:rPr>
          <w:rFonts w:hint="eastAsia" w:ascii="宋体" w:hAnsi="宋体" w:eastAsia="宋体" w:cs="宋体"/>
          <w:color w:val="auto"/>
          <w:sz w:val="21"/>
          <w:szCs w:val="21"/>
          <w:lang w:val="en-US" w:eastAsia="zh-CN"/>
        </w:rPr>
        <w:t>的科学认识到适应与减缓策略，</w:t>
      </w:r>
      <w:r>
        <w:rPr>
          <w:rFonts w:hint="eastAsia" w:ascii="宋体" w:hAnsi="宋体" w:cs="宋体"/>
          <w:color w:val="auto"/>
          <w:sz w:val="21"/>
          <w:szCs w:val="21"/>
          <w:lang w:val="en-US" w:eastAsia="zh-CN"/>
        </w:rPr>
        <w:t>将</w:t>
      </w:r>
      <w:r>
        <w:rPr>
          <w:rFonts w:hint="eastAsia" w:ascii="宋体" w:hAnsi="宋体" w:eastAsia="宋体" w:cs="宋体"/>
          <w:color w:val="auto"/>
          <w:sz w:val="21"/>
          <w:szCs w:val="21"/>
          <w:lang w:val="en-US" w:eastAsia="zh-CN"/>
        </w:rPr>
        <w:t>青年作为变革推动者的角色</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强调培养</w:t>
      </w:r>
      <w:r>
        <w:rPr>
          <w:rFonts w:hint="eastAsia" w:ascii="宋体" w:hAnsi="宋体" w:cs="宋体"/>
          <w:color w:val="auto"/>
          <w:sz w:val="21"/>
          <w:szCs w:val="21"/>
          <w:lang w:val="en-US" w:eastAsia="zh-CN"/>
        </w:rPr>
        <w:t>他们</w:t>
      </w:r>
      <w:r>
        <w:rPr>
          <w:rFonts w:hint="eastAsia" w:ascii="宋体" w:hAnsi="宋体" w:eastAsia="宋体" w:cs="宋体"/>
          <w:color w:val="auto"/>
          <w:sz w:val="21"/>
          <w:szCs w:val="21"/>
          <w:lang w:val="en-US" w:eastAsia="zh-CN"/>
        </w:rPr>
        <w:t>的全球视野和本地应变能力</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14"/>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其中</w:t>
      </w:r>
      <w:r>
        <w:rPr>
          <w:rFonts w:hint="eastAsia" w:ascii="宋体" w:hAnsi="宋体" w:eastAsia="宋体" w:cs="宋体"/>
          <w:color w:val="auto"/>
          <w:sz w:val="21"/>
          <w:szCs w:val="21"/>
          <w:lang w:val="en-US" w:eastAsia="zh-CN"/>
        </w:rPr>
        <w:t>跨学科</w:t>
      </w:r>
      <w:r>
        <w:rPr>
          <w:rFonts w:hint="eastAsia" w:ascii="宋体" w:hAnsi="宋体" w:cs="宋体"/>
          <w:color w:val="auto"/>
          <w:sz w:val="21"/>
          <w:szCs w:val="21"/>
          <w:lang w:val="en-US" w:eastAsia="zh-CN"/>
        </w:rPr>
        <w:t>教学是</w:t>
      </w:r>
      <w:r>
        <w:rPr>
          <w:rFonts w:hint="eastAsia" w:ascii="宋体" w:hAnsi="宋体" w:eastAsia="宋体" w:cs="宋体"/>
          <w:color w:val="auto"/>
          <w:sz w:val="21"/>
          <w:szCs w:val="21"/>
          <w:lang w:val="en-US" w:eastAsia="zh-CN"/>
        </w:rPr>
        <w:t>主流</w:t>
      </w:r>
      <w:r>
        <w:rPr>
          <w:rFonts w:hint="eastAsia" w:ascii="宋体" w:hAnsi="宋体" w:cs="宋体"/>
          <w:color w:val="auto"/>
          <w:sz w:val="21"/>
          <w:szCs w:val="21"/>
          <w:lang w:val="en-US" w:eastAsia="zh-CN"/>
        </w:rPr>
        <w:t>的实践</w:t>
      </w:r>
      <w:r>
        <w:rPr>
          <w:rFonts w:hint="eastAsia" w:ascii="宋体" w:hAnsi="宋体" w:eastAsia="宋体" w:cs="宋体"/>
          <w:color w:val="auto"/>
          <w:sz w:val="21"/>
          <w:szCs w:val="21"/>
          <w:lang w:val="en-US" w:eastAsia="zh-CN"/>
        </w:rPr>
        <w:t>导向。</w:t>
      </w:r>
      <w:r>
        <w:rPr>
          <w:rFonts w:hint="eastAsia" w:ascii="宋体" w:hAnsi="宋体" w:cs="宋体"/>
          <w:color w:val="auto"/>
          <w:sz w:val="21"/>
          <w:szCs w:val="21"/>
          <w:lang w:val="en-US" w:eastAsia="zh-CN"/>
        </w:rPr>
        <w:t>例如</w:t>
      </w:r>
      <w:r>
        <w:rPr>
          <w:rFonts w:hint="eastAsia" w:ascii="宋体" w:hAnsi="宋体" w:eastAsia="宋体" w:cs="宋体"/>
          <w:color w:val="auto"/>
          <w:sz w:val="21"/>
          <w:szCs w:val="21"/>
          <w:lang w:val="en-US" w:eastAsia="zh-CN"/>
        </w:rPr>
        <w:t>注重体验式教学并鼓励学生通过生态足迹计算、节能实验、角色扮演、公共辩论和本地绿化行动等方式，将知识转化为实践</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15"/>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16"/>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17"/>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p>
    <w:p w14:paraId="7C4397D4">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第二，</w:t>
      </w:r>
      <w:r>
        <w:rPr>
          <w:rFonts w:hint="eastAsia" w:ascii="宋体" w:hAnsi="宋体" w:eastAsia="宋体" w:cs="宋体"/>
          <w:color w:val="auto"/>
          <w:sz w:val="21"/>
          <w:szCs w:val="21"/>
          <w:lang w:val="en-US" w:eastAsia="zh-CN"/>
        </w:rPr>
        <w:t>气候教育在实践推进中面临</w:t>
      </w:r>
      <w:r>
        <w:rPr>
          <w:rFonts w:hint="eastAsia" w:ascii="宋体" w:hAnsi="宋体" w:cs="宋体"/>
          <w:color w:val="auto"/>
          <w:sz w:val="21"/>
          <w:szCs w:val="21"/>
          <w:lang w:val="en-US" w:eastAsia="zh-CN"/>
        </w:rPr>
        <w:t>的宏观政策和微观教学实践等多方面的</w:t>
      </w:r>
      <w:r>
        <w:rPr>
          <w:rFonts w:hint="eastAsia" w:ascii="宋体" w:hAnsi="宋体" w:eastAsia="宋体" w:cs="宋体"/>
          <w:color w:val="auto"/>
          <w:sz w:val="21"/>
          <w:szCs w:val="21"/>
          <w:lang w:val="en-US" w:eastAsia="zh-CN"/>
        </w:rPr>
        <w:t>挑战</w:t>
      </w:r>
      <w:r>
        <w:rPr>
          <w:rFonts w:hint="eastAsia" w:ascii="宋体" w:hAnsi="宋体" w:cs="宋体"/>
          <w:color w:val="auto"/>
          <w:sz w:val="21"/>
          <w:szCs w:val="21"/>
          <w:lang w:val="en-US" w:eastAsia="zh-CN"/>
        </w:rPr>
        <w:t>。一方面，</w:t>
      </w:r>
      <w:r>
        <w:rPr>
          <w:rFonts w:hint="eastAsia" w:ascii="宋体" w:hAnsi="宋体" w:eastAsia="宋体" w:cs="宋体"/>
          <w:color w:val="auto"/>
          <w:sz w:val="21"/>
          <w:szCs w:val="21"/>
          <w:lang w:val="en-US" w:eastAsia="zh-CN"/>
        </w:rPr>
        <w:t>气候教育的重要性往往被政策</w:t>
      </w:r>
      <w:r>
        <w:rPr>
          <w:rFonts w:hint="eastAsia" w:ascii="宋体" w:hAnsi="宋体" w:cs="宋体"/>
          <w:color w:val="auto"/>
          <w:sz w:val="21"/>
          <w:szCs w:val="21"/>
          <w:lang w:val="en-US" w:eastAsia="zh-CN"/>
        </w:rPr>
        <w:t>制定者</w:t>
      </w:r>
      <w:r>
        <w:rPr>
          <w:rFonts w:hint="eastAsia" w:ascii="宋体" w:hAnsi="宋体" w:eastAsia="宋体" w:cs="宋体"/>
          <w:color w:val="auto"/>
          <w:sz w:val="21"/>
          <w:szCs w:val="21"/>
          <w:lang w:val="en-US" w:eastAsia="zh-CN"/>
        </w:rPr>
        <w:t>低估</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许多国家</w:t>
      </w:r>
      <w:r>
        <w:rPr>
          <w:rFonts w:hint="eastAsia" w:ascii="宋体" w:hAnsi="宋体" w:cs="宋体"/>
          <w:color w:val="auto"/>
          <w:sz w:val="21"/>
          <w:szCs w:val="21"/>
          <w:lang w:val="en-US" w:eastAsia="zh-CN"/>
        </w:rPr>
        <w:t>再设置</w:t>
      </w:r>
      <w:r>
        <w:rPr>
          <w:rFonts w:hint="eastAsia" w:ascii="宋体" w:hAnsi="宋体" w:eastAsia="宋体" w:cs="宋体"/>
          <w:color w:val="auto"/>
          <w:sz w:val="21"/>
          <w:szCs w:val="21"/>
          <w:lang w:val="en-US" w:eastAsia="zh-CN"/>
        </w:rPr>
        <w:t>课程</w:t>
      </w:r>
      <w:r>
        <w:rPr>
          <w:rFonts w:hint="eastAsia" w:ascii="宋体" w:hAnsi="宋体" w:cs="宋体"/>
          <w:color w:val="auto"/>
          <w:sz w:val="21"/>
          <w:szCs w:val="21"/>
          <w:lang w:val="en-US" w:eastAsia="zh-CN"/>
        </w:rPr>
        <w:t>时</w:t>
      </w:r>
      <w:r>
        <w:rPr>
          <w:rFonts w:hint="eastAsia" w:ascii="宋体" w:hAnsi="宋体" w:eastAsia="宋体" w:cs="宋体"/>
          <w:color w:val="auto"/>
          <w:sz w:val="21"/>
          <w:szCs w:val="21"/>
          <w:lang w:val="en-US" w:eastAsia="zh-CN"/>
        </w:rPr>
        <w:t>未充分纳入气候议题</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联合国教科文组织2021年的调查</w:t>
      </w:r>
      <w:r>
        <w:rPr>
          <w:rFonts w:hint="eastAsia" w:ascii="宋体" w:hAnsi="宋体" w:cs="宋体"/>
          <w:color w:val="auto"/>
          <w:sz w:val="21"/>
          <w:szCs w:val="21"/>
          <w:lang w:val="en-US" w:eastAsia="zh-CN"/>
        </w:rPr>
        <w:t>也指出，</w:t>
      </w:r>
      <w:r>
        <w:rPr>
          <w:rFonts w:hint="eastAsia" w:ascii="宋体" w:hAnsi="宋体" w:eastAsia="宋体" w:cs="宋体"/>
          <w:color w:val="auto"/>
          <w:sz w:val="21"/>
          <w:szCs w:val="21"/>
          <w:lang w:val="en-US" w:eastAsia="zh-CN"/>
        </w:rPr>
        <w:t>在100个国家中有47%的国家课程文件未提及“气候变化”</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18"/>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另一方面，</w:t>
      </w:r>
      <w:r>
        <w:rPr>
          <w:rFonts w:hint="eastAsia" w:ascii="宋体" w:hAnsi="宋体" w:eastAsia="宋体" w:cs="宋体"/>
          <w:color w:val="auto"/>
          <w:sz w:val="21"/>
          <w:szCs w:val="21"/>
          <w:lang w:val="en-US" w:eastAsia="zh-CN"/>
        </w:rPr>
        <w:t>科学界与教育实践之间仍有鸿沟</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19"/>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。一是学科内部的结构性问题，</w:t>
      </w:r>
      <w:r>
        <w:rPr>
          <w:rFonts w:hint="eastAsia" w:ascii="宋体" w:hAnsi="宋体" w:eastAsia="宋体" w:cs="宋体"/>
          <w:color w:val="auto"/>
          <w:sz w:val="21"/>
          <w:szCs w:val="21"/>
          <w:lang w:val="en-US" w:eastAsia="zh-CN"/>
        </w:rPr>
        <w:t>科学知识的传授</w:t>
      </w:r>
      <w:r>
        <w:rPr>
          <w:rFonts w:hint="eastAsia" w:ascii="宋体" w:hAnsi="宋体" w:cs="宋体"/>
          <w:color w:val="auto"/>
          <w:sz w:val="21"/>
          <w:szCs w:val="21"/>
          <w:lang w:val="en-US" w:eastAsia="zh-CN"/>
        </w:rPr>
        <w:t>既不够精确也未能及时更新</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学生容易</w:t>
      </w:r>
      <w:r>
        <w:rPr>
          <w:rFonts w:hint="eastAsia" w:ascii="宋体" w:hAnsi="宋体" w:eastAsia="宋体" w:cs="宋体"/>
          <w:color w:val="auto"/>
          <w:sz w:val="21"/>
          <w:szCs w:val="21"/>
          <w:lang w:val="en-US" w:eastAsia="zh-CN"/>
        </w:rPr>
        <w:t>混淆</w:t>
      </w:r>
      <w:r>
        <w:rPr>
          <w:rFonts w:hint="eastAsia" w:ascii="宋体" w:hAnsi="宋体" w:cs="宋体"/>
          <w:color w:val="auto"/>
          <w:sz w:val="21"/>
          <w:szCs w:val="21"/>
          <w:lang w:val="en-US" w:eastAsia="zh-CN"/>
        </w:rPr>
        <w:t>在学习特定名词、原理和概念，如</w:t>
      </w:r>
      <w:r>
        <w:rPr>
          <w:rFonts w:hint="eastAsia" w:ascii="宋体" w:hAnsi="宋体" w:eastAsia="宋体" w:cs="宋体"/>
          <w:color w:val="auto"/>
          <w:sz w:val="21"/>
          <w:szCs w:val="21"/>
          <w:lang w:val="en-US" w:eastAsia="zh-CN"/>
        </w:rPr>
        <w:t>“全球变暖”</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“臭氧层空洞”等</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20"/>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。而在</w:t>
      </w:r>
      <w:r>
        <w:rPr>
          <w:rFonts w:hint="eastAsia" w:ascii="宋体" w:hAnsi="宋体" w:eastAsia="宋体" w:cs="宋体"/>
          <w:color w:val="auto"/>
          <w:sz w:val="21"/>
          <w:szCs w:val="21"/>
          <w:lang w:val="en-US" w:eastAsia="zh-CN"/>
        </w:rPr>
        <w:t>教学实践中</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跨学科整合力度不足，气候议题仍多局限于自然科学课程，缺少社会科学介入</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21"/>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此外</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联合国政府间气候变化专门委员</w:t>
      </w:r>
      <w:r>
        <w:rPr>
          <w:rFonts w:hint="eastAsia" w:ascii="宋体" w:hAnsi="宋体" w:cs="宋体"/>
          <w:i w:val="0"/>
          <w:iCs w:val="0"/>
          <w:color w:val="auto"/>
          <w:sz w:val="21"/>
          <w:szCs w:val="21"/>
          <w:lang w:val="en-US" w:eastAsia="zh-CN"/>
        </w:rPr>
        <w:t>（</w:t>
      </w:r>
      <w:r>
        <w:rPr>
          <w:rFonts w:ascii="宋体" w:hAnsi="宋体" w:eastAsia="宋体" w:cs="宋体"/>
          <w:i w:val="0"/>
          <w:iCs w:val="0"/>
          <w:color w:val="auto"/>
          <w:sz w:val="21"/>
          <w:szCs w:val="21"/>
        </w:rPr>
        <w:t>Intergovernmental Panel on Climate Change</w:t>
      </w:r>
      <w:r>
        <w:rPr>
          <w:rFonts w:hint="eastAsia" w:ascii="宋体" w:hAnsi="宋体" w:cs="宋体"/>
          <w:i w:val="0"/>
          <w:iCs w:val="0"/>
          <w:color w:val="auto"/>
          <w:sz w:val="21"/>
          <w:szCs w:val="21"/>
          <w:lang w:val="en-US" w:eastAsia="zh-CN"/>
        </w:rPr>
        <w:t>）</w:t>
      </w:r>
      <w:r>
        <w:rPr>
          <w:rFonts w:hint="eastAsia" w:ascii="宋体" w:hAnsi="宋体" w:cs="宋体"/>
          <w:color w:val="auto"/>
          <w:sz w:val="21"/>
          <w:szCs w:val="21"/>
          <w:lang w:val="en-US" w:eastAsia="zh-CN"/>
        </w:rPr>
        <w:t>发表的针对全球气候变化的系统评估相关</w:t>
      </w:r>
      <w:r>
        <w:rPr>
          <w:rFonts w:hint="eastAsia" w:ascii="宋体" w:hAnsi="宋体" w:eastAsia="宋体" w:cs="宋体"/>
          <w:color w:val="auto"/>
          <w:sz w:val="21"/>
          <w:szCs w:val="21"/>
          <w:lang w:val="en-US" w:eastAsia="zh-CN"/>
        </w:rPr>
        <w:t>报告中</w:t>
      </w:r>
      <w:r>
        <w:rPr>
          <w:rFonts w:hint="eastAsia" w:ascii="宋体" w:hAnsi="宋体" w:cs="宋体"/>
          <w:color w:val="auto"/>
          <w:sz w:val="21"/>
          <w:szCs w:val="21"/>
          <w:lang w:val="en-US" w:eastAsia="zh-CN"/>
        </w:rPr>
        <w:t>有关</w:t>
      </w:r>
      <w:r>
        <w:rPr>
          <w:rFonts w:hint="eastAsia" w:ascii="宋体" w:hAnsi="宋体" w:eastAsia="宋体" w:cs="宋体"/>
          <w:color w:val="auto"/>
          <w:sz w:val="21"/>
          <w:szCs w:val="21"/>
          <w:lang w:val="en-US" w:eastAsia="zh-CN"/>
        </w:rPr>
        <w:t>教育</w:t>
      </w:r>
      <w:r>
        <w:rPr>
          <w:rFonts w:hint="eastAsia" w:ascii="宋体" w:hAnsi="宋体" w:cs="宋体"/>
          <w:color w:val="auto"/>
          <w:sz w:val="21"/>
          <w:szCs w:val="21"/>
          <w:lang w:val="en-US" w:eastAsia="zh-CN"/>
        </w:rPr>
        <w:t>也</w:t>
      </w:r>
      <w:r>
        <w:rPr>
          <w:rFonts w:hint="eastAsia" w:ascii="宋体" w:hAnsi="宋体" w:eastAsia="宋体" w:cs="宋体"/>
          <w:color w:val="auto"/>
          <w:sz w:val="21"/>
          <w:szCs w:val="21"/>
          <w:lang w:val="en-US" w:eastAsia="zh-CN"/>
        </w:rPr>
        <w:t>讨论寥寥。</w:t>
      </w:r>
      <w:r>
        <w:rPr>
          <w:rFonts w:hint="eastAsia" w:ascii="宋体" w:hAnsi="宋体" w:cs="宋体"/>
          <w:color w:val="auto"/>
          <w:sz w:val="21"/>
          <w:szCs w:val="21"/>
          <w:lang w:val="en-US" w:eastAsia="zh-CN"/>
        </w:rPr>
        <w:t>二是</w:t>
      </w:r>
      <w:r>
        <w:rPr>
          <w:rFonts w:hint="eastAsia" w:ascii="宋体" w:hAnsi="宋体" w:eastAsia="宋体" w:cs="宋体"/>
          <w:color w:val="auto"/>
          <w:sz w:val="21"/>
          <w:szCs w:val="21"/>
          <w:lang w:val="en-US" w:eastAsia="zh-CN"/>
        </w:rPr>
        <w:t>课程内容</w:t>
      </w:r>
      <w:r>
        <w:rPr>
          <w:rFonts w:hint="eastAsia" w:ascii="宋体" w:hAnsi="宋体" w:cs="宋体"/>
          <w:color w:val="auto"/>
          <w:sz w:val="21"/>
          <w:szCs w:val="21"/>
          <w:lang w:val="en-US" w:eastAsia="zh-CN"/>
        </w:rPr>
        <w:t>的选取不够平衡，不同国家在选择研究内容时具有强烈的倾向性。这就导致了，部分教学实践</w:t>
      </w:r>
      <w:r>
        <w:rPr>
          <w:rFonts w:hint="eastAsia" w:ascii="宋体" w:hAnsi="宋体" w:eastAsia="宋体" w:cs="宋体"/>
          <w:color w:val="auto"/>
          <w:sz w:val="21"/>
          <w:szCs w:val="21"/>
          <w:lang w:val="en-US" w:eastAsia="zh-CN"/>
        </w:rPr>
        <w:t>聚焦于个体行为选择，而忽视了政策制度与集体行动等结构性因素的重要性</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22"/>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；而另一些课程则偏向基于危机叙事的宏大议题，进而</w:t>
      </w:r>
      <w:r>
        <w:rPr>
          <w:rFonts w:hint="eastAsia" w:ascii="宋体" w:hAnsi="宋体" w:eastAsia="宋体" w:cs="宋体"/>
          <w:color w:val="auto"/>
          <w:sz w:val="21"/>
          <w:szCs w:val="21"/>
          <w:lang w:val="en-US" w:eastAsia="zh-CN"/>
        </w:rPr>
        <w:t>导致学生产生焦虑、无力感，缺乏对积极行动路径的引导</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23"/>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p>
    <w:p w14:paraId="26992E26">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第三，基于上述问题，</w:t>
      </w:r>
      <w:r>
        <w:rPr>
          <w:rFonts w:hint="eastAsia" w:ascii="宋体" w:hAnsi="宋体" w:eastAsia="宋体" w:cs="宋体"/>
          <w:color w:val="auto"/>
          <w:sz w:val="21"/>
          <w:szCs w:val="21"/>
          <w:lang w:val="en-US" w:eastAsia="zh-CN"/>
        </w:rPr>
        <w:t>气候变化教育需要在政策与实践中得到更系统的整合</w:t>
      </w:r>
      <w:r>
        <w:rPr>
          <w:rFonts w:hint="eastAsia" w:ascii="宋体" w:hAnsi="宋体" w:cs="宋体"/>
          <w:color w:val="auto"/>
          <w:sz w:val="21"/>
          <w:szCs w:val="21"/>
          <w:lang w:val="en-US" w:eastAsia="zh-CN"/>
        </w:rPr>
        <w:t>，可以</w:t>
      </w:r>
      <w:r>
        <w:rPr>
          <w:rFonts w:hint="eastAsia" w:ascii="宋体" w:hAnsi="宋体" w:eastAsia="宋体" w:cs="宋体"/>
          <w:color w:val="auto"/>
          <w:sz w:val="21"/>
          <w:szCs w:val="21"/>
          <w:lang w:val="en-US" w:eastAsia="zh-CN"/>
        </w:rPr>
        <w:t>将气候教育主题纳入国家课程和教师培训。同时，应开发创新教学实践来缩小认知与行动的差距，增强公众的气候行动能力。</w:t>
      </w:r>
    </w:p>
    <w:p w14:paraId="554A69B0">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outlineLvl w:val="2"/>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2食物浪费与可持续消费</w:t>
      </w:r>
    </w:p>
    <w:p w14:paraId="2C11FCF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200"/>
        <w:textAlignment w:val="auto"/>
        <w:rPr>
          <w:rFonts w:hint="eastAsia" w:ascii="宋体" w:hAnsi="宋体" w:cs="宋体"/>
          <w:color w:val="auto"/>
          <w:kern w:val="0"/>
          <w:sz w:val="21"/>
          <w:szCs w:val="21"/>
          <w:lang w:val="en-US" w:eastAsia="zh-CN" w:bidi="ar-SA"/>
        </w:rPr>
      </w:pPr>
      <w:r>
        <w:rPr>
          <w:rFonts w:hint="eastAsia" w:ascii="宋体" w:hAnsi="宋体" w:cs="宋体"/>
          <w:color w:val="auto"/>
          <w:kern w:val="0"/>
          <w:sz w:val="21"/>
          <w:szCs w:val="21"/>
          <w:lang w:val="en-US" w:eastAsia="zh-CN" w:bidi="ar-SA"/>
        </w:rPr>
        <w:t>根据</w:t>
      </w:r>
      <w:r>
        <w:rPr>
          <w:rFonts w:hint="eastAsia" w:ascii="宋体" w:hAnsi="宋体" w:eastAsia="宋体" w:cs="宋体"/>
          <w:color w:val="auto"/>
          <w:kern w:val="0"/>
          <w:sz w:val="21"/>
          <w:szCs w:val="21"/>
          <w:lang w:val="en-US" w:eastAsia="zh-CN" w:bidi="ar-SA"/>
        </w:rPr>
        <w:t>联合国环境规划署</w:t>
      </w:r>
      <w:r>
        <w:rPr>
          <w:rFonts w:hint="eastAsia" w:ascii="宋体" w:hAnsi="宋体" w:cs="宋体"/>
          <w:color w:val="auto"/>
          <w:kern w:val="0"/>
          <w:sz w:val="21"/>
          <w:szCs w:val="21"/>
          <w:lang w:val="en-US" w:eastAsia="zh-CN" w:bidi="ar-SA"/>
        </w:rPr>
        <w:t>的报告，</w:t>
      </w:r>
      <w:r>
        <w:rPr>
          <w:rFonts w:hint="eastAsia" w:ascii="宋体" w:hAnsi="宋体" w:eastAsia="宋体" w:cs="宋体"/>
          <w:color w:val="auto"/>
          <w:kern w:val="0"/>
          <w:sz w:val="21"/>
          <w:szCs w:val="21"/>
          <w:lang w:val="en-US" w:eastAsia="zh-CN" w:bidi="ar-SA"/>
        </w:rPr>
        <w:t>2019年消费端约17%的食物（约9.31亿吨）被直接丢弃</w:t>
      </w:r>
      <w:r>
        <w:rPr>
          <w:rFonts w:hint="eastAsia" w:ascii="宋体" w:hAnsi="宋体" w:cs="宋体"/>
          <w:color w:val="auto"/>
          <w:kern w:val="0"/>
          <w:sz w:val="21"/>
          <w:szCs w:val="21"/>
          <w:lang w:val="en-US" w:eastAsia="zh-CN" w:bidi="ar-SA"/>
        </w:rPr>
        <w:t>，这表明食物浪费与可持续消费在全球范围内较为严重</w:t>
      </w:r>
      <w:r>
        <w:rPr>
          <w:rStyle w:val="14"/>
          <w:rFonts w:hint="eastAsia" w:ascii="宋体" w:hAnsi="宋体" w:eastAsia="宋体" w:cs="宋体"/>
          <w:color w:val="auto"/>
          <w:kern w:val="0"/>
          <w:sz w:val="21"/>
          <w:szCs w:val="21"/>
          <w:lang w:val="en-US" w:eastAsia="zh-CN" w:bidi="ar-SA"/>
        </w:rPr>
        <w:t>[</w:t>
      </w:r>
      <w:r>
        <w:rPr>
          <w:rStyle w:val="14"/>
          <w:rFonts w:hint="eastAsia" w:ascii="宋体" w:hAnsi="宋体" w:eastAsia="宋体" w:cs="宋体"/>
          <w:color w:val="auto"/>
          <w:kern w:val="0"/>
          <w:sz w:val="21"/>
          <w:szCs w:val="21"/>
          <w:lang w:val="en-US" w:eastAsia="zh-CN" w:bidi="ar-SA"/>
        </w:rPr>
        <w:endnoteReference w:id="24"/>
      </w:r>
      <w:r>
        <w:rPr>
          <w:rStyle w:val="14"/>
          <w:rFonts w:hint="eastAsia" w:ascii="宋体" w:hAnsi="宋体" w:eastAsia="宋体" w:cs="宋体"/>
          <w:color w:val="auto"/>
          <w:kern w:val="0"/>
          <w:sz w:val="21"/>
          <w:szCs w:val="21"/>
          <w:lang w:val="en-US" w:eastAsia="zh-CN" w:bidi="ar-SA"/>
        </w:rPr>
        <w:t>]</w:t>
      </w:r>
      <w:r>
        <w:rPr>
          <w:rFonts w:hint="eastAsia" w:ascii="宋体" w:hAnsi="宋体" w:cs="宋体"/>
          <w:color w:val="auto"/>
          <w:kern w:val="0"/>
          <w:sz w:val="21"/>
          <w:szCs w:val="21"/>
          <w:lang w:val="en-US" w:eastAsia="zh-CN" w:bidi="ar-SA"/>
        </w:rPr>
        <w:t>。因此，</w:t>
      </w:r>
      <w:r>
        <w:rPr>
          <w:rFonts w:hint="eastAsia" w:ascii="宋体" w:hAnsi="宋体" w:eastAsia="宋体" w:cs="宋体"/>
          <w:color w:val="auto"/>
          <w:kern w:val="0"/>
          <w:sz w:val="21"/>
          <w:szCs w:val="21"/>
          <w:lang w:val="en-US" w:eastAsia="zh-CN" w:bidi="ar-SA"/>
        </w:rPr>
        <w:t>食物浪费与可持续消费</w:t>
      </w:r>
      <w:r>
        <w:rPr>
          <w:rFonts w:hint="eastAsia" w:ascii="宋体" w:hAnsi="宋体" w:cs="宋体"/>
          <w:color w:val="auto"/>
          <w:kern w:val="0"/>
          <w:sz w:val="21"/>
          <w:szCs w:val="21"/>
          <w:lang w:val="en-US" w:eastAsia="zh-CN" w:bidi="ar-SA"/>
        </w:rPr>
        <w:t>逐渐成为</w:t>
      </w:r>
      <w:r>
        <w:rPr>
          <w:rFonts w:hint="eastAsia" w:ascii="宋体" w:hAnsi="宋体" w:eastAsia="宋体" w:cs="宋体"/>
          <w:color w:val="auto"/>
          <w:kern w:val="0"/>
          <w:sz w:val="21"/>
          <w:szCs w:val="21"/>
          <w:lang w:val="en-US" w:eastAsia="zh-CN" w:bidi="ar-SA"/>
        </w:rPr>
        <w:t>生态文明教育研究中的另一大热点，旨在通过教育减少食品浪费、倡导节约和可持续的消费习惯，从而缓解资源压力和环境影响。现有研究</w:t>
      </w:r>
      <w:r>
        <w:rPr>
          <w:rFonts w:hint="eastAsia" w:ascii="宋体" w:hAnsi="宋体" w:cs="宋体"/>
          <w:color w:val="auto"/>
          <w:kern w:val="0"/>
          <w:sz w:val="21"/>
          <w:szCs w:val="21"/>
          <w:lang w:val="en-US" w:eastAsia="zh-CN" w:bidi="ar-SA"/>
        </w:rPr>
        <w:t>主要</w:t>
      </w:r>
      <w:r>
        <w:rPr>
          <w:rFonts w:hint="eastAsia" w:ascii="宋体" w:hAnsi="宋体" w:eastAsia="宋体" w:cs="宋体"/>
          <w:color w:val="auto"/>
          <w:kern w:val="0"/>
          <w:sz w:val="21"/>
          <w:szCs w:val="21"/>
          <w:lang w:val="en-US" w:eastAsia="zh-CN" w:bidi="ar-SA"/>
        </w:rPr>
        <w:t>关注如何培育公众</w:t>
      </w:r>
      <w:r>
        <w:rPr>
          <w:rFonts w:hint="eastAsia" w:ascii="宋体" w:hAnsi="宋体" w:cs="宋体"/>
          <w:color w:val="auto"/>
          <w:kern w:val="0"/>
          <w:sz w:val="21"/>
          <w:szCs w:val="21"/>
          <w:lang w:val="en-US" w:eastAsia="zh-CN" w:bidi="ar-SA"/>
        </w:rPr>
        <w:t>及青少年</w:t>
      </w:r>
      <w:r>
        <w:rPr>
          <w:rFonts w:hint="eastAsia" w:ascii="宋体" w:hAnsi="宋体" w:eastAsia="宋体" w:cs="宋体"/>
          <w:color w:val="auto"/>
          <w:kern w:val="0"/>
          <w:sz w:val="21"/>
          <w:szCs w:val="21"/>
          <w:lang w:val="en-US" w:eastAsia="zh-CN" w:bidi="ar-SA"/>
        </w:rPr>
        <w:t>的可持续消费观</w:t>
      </w:r>
      <w:r>
        <w:rPr>
          <w:rFonts w:hint="eastAsia" w:ascii="宋体" w:hAnsi="宋体" w:cs="宋体"/>
          <w:color w:val="auto"/>
          <w:kern w:val="0"/>
          <w:sz w:val="21"/>
          <w:szCs w:val="21"/>
          <w:lang w:val="en-US" w:eastAsia="zh-CN" w:bidi="ar-SA"/>
        </w:rPr>
        <w:t>，并</w:t>
      </w:r>
      <w:r>
        <w:rPr>
          <w:rFonts w:hint="eastAsia" w:ascii="宋体" w:hAnsi="宋体" w:eastAsia="宋体" w:cs="宋体"/>
          <w:color w:val="auto"/>
          <w:kern w:val="0"/>
          <w:sz w:val="21"/>
          <w:szCs w:val="21"/>
          <w:lang w:val="en-US" w:eastAsia="zh-CN" w:bidi="ar-SA"/>
        </w:rPr>
        <w:t>将绿色消费理念融入</w:t>
      </w:r>
      <w:r>
        <w:rPr>
          <w:rFonts w:hint="eastAsia" w:ascii="宋体" w:hAnsi="宋体" w:cs="宋体"/>
          <w:color w:val="auto"/>
          <w:kern w:val="0"/>
          <w:sz w:val="21"/>
          <w:szCs w:val="21"/>
          <w:lang w:val="en-US" w:eastAsia="zh-CN" w:bidi="ar-SA"/>
        </w:rPr>
        <w:t>到</w:t>
      </w:r>
      <w:r>
        <w:rPr>
          <w:rFonts w:hint="eastAsia" w:ascii="宋体" w:hAnsi="宋体" w:eastAsia="宋体" w:cs="宋体"/>
          <w:color w:val="auto"/>
          <w:kern w:val="0"/>
          <w:sz w:val="21"/>
          <w:szCs w:val="21"/>
          <w:lang w:val="en-US" w:eastAsia="zh-CN" w:bidi="ar-SA"/>
        </w:rPr>
        <w:t>学校食堂</w:t>
      </w:r>
      <w:r>
        <w:rPr>
          <w:rFonts w:hint="eastAsia" w:ascii="宋体" w:hAnsi="宋体" w:cs="宋体"/>
          <w:color w:val="auto"/>
          <w:kern w:val="0"/>
          <w:sz w:val="21"/>
          <w:szCs w:val="21"/>
          <w:lang w:val="en-US" w:eastAsia="zh-CN" w:bidi="ar-SA"/>
        </w:rPr>
        <w:t>、</w:t>
      </w:r>
      <w:r>
        <w:rPr>
          <w:rFonts w:hint="eastAsia" w:ascii="宋体" w:hAnsi="宋体" w:eastAsia="宋体" w:cs="宋体"/>
          <w:color w:val="auto"/>
          <w:kern w:val="0"/>
          <w:sz w:val="21"/>
          <w:szCs w:val="21"/>
          <w:lang w:val="en-US" w:eastAsia="zh-CN" w:bidi="ar-SA"/>
        </w:rPr>
        <w:t>家庭厨房</w:t>
      </w:r>
      <w:r>
        <w:rPr>
          <w:rFonts w:hint="eastAsia" w:ascii="宋体" w:hAnsi="宋体" w:cs="宋体"/>
          <w:color w:val="auto"/>
          <w:kern w:val="0"/>
          <w:sz w:val="21"/>
          <w:szCs w:val="21"/>
          <w:lang w:val="en-US" w:eastAsia="zh-CN" w:bidi="ar-SA"/>
        </w:rPr>
        <w:t>等不同</w:t>
      </w:r>
      <w:r>
        <w:rPr>
          <w:rFonts w:hint="eastAsia" w:ascii="宋体" w:hAnsi="宋体" w:eastAsia="宋体" w:cs="宋体"/>
          <w:color w:val="auto"/>
          <w:kern w:val="0"/>
          <w:sz w:val="21"/>
          <w:szCs w:val="21"/>
          <w:lang w:val="en-US" w:eastAsia="zh-CN" w:bidi="ar-SA"/>
        </w:rPr>
        <w:t>实际生活</w:t>
      </w:r>
      <w:r>
        <w:rPr>
          <w:rFonts w:hint="eastAsia" w:ascii="宋体" w:hAnsi="宋体" w:cs="宋体"/>
          <w:color w:val="auto"/>
          <w:kern w:val="0"/>
          <w:sz w:val="21"/>
          <w:szCs w:val="21"/>
          <w:lang w:val="en-US" w:eastAsia="zh-CN" w:bidi="ar-SA"/>
        </w:rPr>
        <w:t>场景中。</w:t>
      </w:r>
    </w:p>
    <w:p w14:paraId="078098E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200"/>
        <w:textAlignment w:val="auto"/>
        <w:rPr>
          <w:rFonts w:hint="eastAsia" w:ascii="宋体" w:hAnsi="宋体" w:cs="宋体"/>
          <w:color w:val="auto"/>
          <w:kern w:val="0"/>
          <w:sz w:val="21"/>
          <w:szCs w:val="21"/>
          <w:lang w:val="en-US" w:eastAsia="zh-CN" w:bidi="ar-SA"/>
        </w:rPr>
      </w:pPr>
      <w:r>
        <w:rPr>
          <w:rFonts w:hint="eastAsia" w:ascii="宋体" w:hAnsi="宋体" w:cs="宋体"/>
          <w:color w:val="auto"/>
          <w:kern w:val="0"/>
          <w:sz w:val="21"/>
          <w:szCs w:val="21"/>
          <w:lang w:val="en-US" w:eastAsia="zh-CN" w:bidi="ar-SA"/>
        </w:rPr>
        <w:t>一方面，当前相关研究指出了在食物浪费与可持续消费以主题的教育实践中会出现的困境。一是</w:t>
      </w:r>
      <w:r>
        <w:rPr>
          <w:rFonts w:hint="eastAsia" w:ascii="宋体" w:hAnsi="宋体" w:eastAsia="宋体" w:cs="宋体"/>
          <w:color w:val="auto"/>
          <w:kern w:val="0"/>
          <w:sz w:val="21"/>
          <w:szCs w:val="21"/>
          <w:lang w:val="en-US" w:eastAsia="zh-CN" w:bidi="ar-SA"/>
        </w:rPr>
        <w:t>课程内容碎片化</w:t>
      </w:r>
      <w:r>
        <w:rPr>
          <w:rFonts w:hint="eastAsia" w:ascii="宋体" w:hAnsi="宋体" w:cs="宋体"/>
          <w:color w:val="auto"/>
          <w:kern w:val="0"/>
          <w:sz w:val="21"/>
          <w:szCs w:val="21"/>
          <w:lang w:val="en-US" w:eastAsia="zh-CN" w:bidi="ar-SA"/>
        </w:rPr>
        <w:t>且未涵盖消费全过程，例如，研究指出与可持续消费有关的课程编排难以涵盖对</w:t>
      </w:r>
      <w:r>
        <w:rPr>
          <w:rFonts w:hint="eastAsia" w:ascii="宋体" w:hAnsi="宋体" w:eastAsia="宋体" w:cs="宋体"/>
          <w:color w:val="auto"/>
          <w:kern w:val="0"/>
          <w:sz w:val="21"/>
          <w:szCs w:val="21"/>
          <w:lang w:val="en-US" w:eastAsia="zh-CN" w:bidi="ar-SA"/>
        </w:rPr>
        <w:t>生产到流通到消费再到废弃的</w:t>
      </w:r>
      <w:r>
        <w:rPr>
          <w:rFonts w:hint="eastAsia" w:ascii="宋体" w:hAnsi="宋体" w:cs="宋体"/>
          <w:color w:val="auto"/>
          <w:kern w:val="0"/>
          <w:sz w:val="21"/>
          <w:szCs w:val="21"/>
          <w:lang w:val="en-US" w:eastAsia="zh-CN" w:bidi="ar-SA"/>
        </w:rPr>
        <w:t>整体过程，学生因此也未能了解到从源头减少浪费的有效措施</w:t>
      </w:r>
      <w:r>
        <w:rPr>
          <w:rStyle w:val="14"/>
          <w:rFonts w:hint="eastAsia" w:ascii="宋体" w:hAnsi="宋体" w:eastAsia="宋体" w:cs="宋体"/>
          <w:color w:val="auto"/>
          <w:kern w:val="0"/>
          <w:sz w:val="21"/>
          <w:szCs w:val="21"/>
          <w:lang w:val="en-US" w:eastAsia="zh-CN" w:bidi="ar-SA"/>
        </w:rPr>
        <w:t>[</w:t>
      </w:r>
      <w:r>
        <w:rPr>
          <w:rStyle w:val="14"/>
          <w:rFonts w:hint="eastAsia" w:ascii="宋体" w:hAnsi="宋体" w:eastAsia="宋体" w:cs="宋体"/>
          <w:color w:val="auto"/>
          <w:kern w:val="0"/>
          <w:sz w:val="21"/>
          <w:szCs w:val="21"/>
          <w:lang w:val="en-US" w:eastAsia="zh-CN" w:bidi="ar-SA"/>
        </w:rPr>
        <w:endnoteReference w:id="25"/>
      </w:r>
      <w:r>
        <w:rPr>
          <w:rStyle w:val="14"/>
          <w:rFonts w:hint="eastAsia" w:ascii="宋体" w:hAnsi="宋体" w:eastAsia="宋体" w:cs="宋体"/>
          <w:color w:val="auto"/>
          <w:kern w:val="0"/>
          <w:sz w:val="21"/>
          <w:szCs w:val="21"/>
          <w:lang w:val="en-US" w:eastAsia="zh-CN" w:bidi="ar-SA"/>
        </w:rPr>
        <w:t>][</w:t>
      </w:r>
      <w:r>
        <w:rPr>
          <w:rStyle w:val="14"/>
          <w:rFonts w:hint="eastAsia" w:ascii="宋体" w:hAnsi="宋体" w:eastAsia="宋体" w:cs="宋体"/>
          <w:color w:val="auto"/>
          <w:kern w:val="0"/>
          <w:sz w:val="21"/>
          <w:szCs w:val="21"/>
          <w:lang w:val="en-US" w:eastAsia="zh-CN" w:bidi="ar-SA"/>
        </w:rPr>
        <w:endnoteReference w:id="26"/>
      </w:r>
      <w:r>
        <w:rPr>
          <w:rStyle w:val="14"/>
          <w:rFonts w:hint="eastAsia" w:ascii="宋体" w:hAnsi="宋体" w:eastAsia="宋体" w:cs="宋体"/>
          <w:color w:val="auto"/>
          <w:kern w:val="0"/>
          <w:sz w:val="21"/>
          <w:szCs w:val="21"/>
          <w:lang w:val="en-US" w:eastAsia="zh-CN" w:bidi="ar-SA"/>
        </w:rPr>
        <w:t>]</w:t>
      </w:r>
      <w:r>
        <w:rPr>
          <w:rFonts w:hint="eastAsia" w:ascii="宋体" w:hAnsi="宋体" w:cs="宋体"/>
          <w:color w:val="auto"/>
          <w:kern w:val="0"/>
          <w:sz w:val="21"/>
          <w:szCs w:val="21"/>
          <w:lang w:val="en-US" w:eastAsia="zh-CN" w:bidi="ar-SA"/>
        </w:rPr>
        <w:t>。二是教育理论和实践脱离。青年群体在可持续消费上存在明显的“意愿—行动”落差，也就是在购买前重视可持续发展的目标，但实际消费时常忽视或忘记</w:t>
      </w:r>
      <w:r>
        <w:rPr>
          <w:rStyle w:val="14"/>
          <w:rFonts w:hint="eastAsia" w:ascii="宋体" w:hAnsi="宋体" w:cs="宋体"/>
          <w:color w:val="auto"/>
          <w:kern w:val="0"/>
          <w:sz w:val="21"/>
          <w:szCs w:val="21"/>
          <w:lang w:val="en-US" w:eastAsia="zh-CN" w:bidi="ar-SA"/>
        </w:rPr>
        <w:t>[</w:t>
      </w:r>
      <w:r>
        <w:rPr>
          <w:rStyle w:val="14"/>
          <w:rFonts w:hint="eastAsia" w:ascii="宋体" w:hAnsi="宋体" w:cs="宋体"/>
          <w:color w:val="auto"/>
          <w:kern w:val="0"/>
          <w:sz w:val="21"/>
          <w:szCs w:val="21"/>
          <w:lang w:val="en-US" w:eastAsia="zh-CN" w:bidi="ar-SA"/>
        </w:rPr>
        <w:endnoteReference w:id="27"/>
      </w:r>
      <w:r>
        <w:rPr>
          <w:rStyle w:val="14"/>
          <w:rFonts w:hint="eastAsia" w:ascii="宋体" w:hAnsi="宋体" w:cs="宋体"/>
          <w:color w:val="auto"/>
          <w:kern w:val="0"/>
          <w:sz w:val="21"/>
          <w:szCs w:val="21"/>
          <w:lang w:val="en-US" w:eastAsia="zh-CN" w:bidi="ar-SA"/>
        </w:rPr>
        <w:t>]</w:t>
      </w:r>
      <w:r>
        <w:rPr>
          <w:rFonts w:hint="eastAsia" w:ascii="宋体" w:hAnsi="宋体" w:cs="宋体"/>
          <w:color w:val="auto"/>
          <w:kern w:val="0"/>
          <w:sz w:val="21"/>
          <w:szCs w:val="21"/>
          <w:lang w:val="en-US" w:eastAsia="zh-CN" w:bidi="ar-SA"/>
        </w:rPr>
        <w:t>。所以，如果实践项目实施中缺乏合理评估和后续跟踪，</w:t>
      </w:r>
      <w:r>
        <w:rPr>
          <w:rFonts w:hint="eastAsia" w:ascii="宋体" w:hAnsi="宋体" w:eastAsia="宋体" w:cs="宋体"/>
          <w:color w:val="auto"/>
          <w:kern w:val="0"/>
          <w:sz w:val="21"/>
          <w:szCs w:val="21"/>
          <w:lang w:val="en-US" w:eastAsia="zh-CN" w:bidi="ar-SA"/>
        </w:rPr>
        <w:t>学生</w:t>
      </w:r>
      <w:r>
        <w:rPr>
          <w:rFonts w:hint="eastAsia" w:ascii="宋体" w:hAnsi="宋体" w:cs="宋体"/>
          <w:color w:val="auto"/>
          <w:kern w:val="0"/>
          <w:sz w:val="21"/>
          <w:szCs w:val="21"/>
          <w:lang w:val="en-US" w:eastAsia="zh-CN" w:bidi="ar-SA"/>
        </w:rPr>
        <w:t>即便在课程中学习到了食物浪费及可持续消费知识，也难以实现</w:t>
      </w:r>
      <w:r>
        <w:rPr>
          <w:rFonts w:hint="eastAsia" w:ascii="宋体" w:hAnsi="宋体" w:eastAsia="宋体" w:cs="宋体"/>
          <w:color w:val="auto"/>
          <w:kern w:val="0"/>
          <w:sz w:val="21"/>
          <w:szCs w:val="21"/>
          <w:lang w:val="en-US" w:eastAsia="zh-CN" w:bidi="ar-SA"/>
        </w:rPr>
        <w:t>实际行为</w:t>
      </w:r>
      <w:r>
        <w:rPr>
          <w:rFonts w:hint="eastAsia" w:ascii="宋体" w:hAnsi="宋体" w:cs="宋体"/>
          <w:color w:val="auto"/>
          <w:kern w:val="0"/>
          <w:sz w:val="21"/>
          <w:szCs w:val="21"/>
          <w:lang w:val="en-US" w:eastAsia="zh-CN" w:bidi="ar-SA"/>
        </w:rPr>
        <w:t>的有效</w:t>
      </w:r>
      <w:r>
        <w:rPr>
          <w:rFonts w:hint="eastAsia" w:ascii="宋体" w:hAnsi="宋体" w:eastAsia="宋体" w:cs="宋体"/>
          <w:color w:val="auto"/>
          <w:kern w:val="0"/>
          <w:sz w:val="21"/>
          <w:szCs w:val="21"/>
          <w:lang w:val="en-US" w:eastAsia="zh-CN" w:bidi="ar-SA"/>
        </w:rPr>
        <w:t>转化</w:t>
      </w:r>
      <w:r>
        <w:rPr>
          <w:rFonts w:hint="eastAsia" w:ascii="宋体" w:hAnsi="宋体" w:eastAsia="宋体" w:cs="宋体"/>
          <w:color w:val="auto"/>
          <w:kern w:val="0"/>
          <w:sz w:val="21"/>
          <w:szCs w:val="21"/>
          <w:vertAlign w:val="superscript"/>
          <w:lang w:val="en-US" w:eastAsia="zh-CN" w:bidi="ar-SA"/>
        </w:rPr>
        <w:t>[</w:t>
      </w:r>
      <w:r>
        <w:rPr>
          <w:rFonts w:hint="eastAsia" w:ascii="宋体" w:hAnsi="宋体" w:eastAsia="宋体" w:cs="宋体"/>
          <w:color w:val="auto"/>
          <w:kern w:val="0"/>
          <w:sz w:val="21"/>
          <w:szCs w:val="21"/>
          <w:vertAlign w:val="superscript"/>
          <w:lang w:val="en-US" w:eastAsia="zh-CN" w:bidi="ar-SA"/>
        </w:rPr>
        <w:endnoteReference w:id="28"/>
      </w:r>
      <w:r>
        <w:rPr>
          <w:rFonts w:hint="eastAsia" w:ascii="宋体" w:hAnsi="宋体" w:eastAsia="宋体" w:cs="宋体"/>
          <w:color w:val="auto"/>
          <w:kern w:val="0"/>
          <w:sz w:val="21"/>
          <w:szCs w:val="21"/>
          <w:vertAlign w:val="superscript"/>
          <w:lang w:val="en-US" w:eastAsia="zh-CN" w:bidi="ar-SA"/>
        </w:rPr>
        <w:t>]</w:t>
      </w:r>
      <w:r>
        <w:rPr>
          <w:rFonts w:hint="eastAsia" w:ascii="宋体" w:hAnsi="宋体" w:cs="宋体"/>
          <w:color w:val="auto"/>
          <w:kern w:val="0"/>
          <w:sz w:val="21"/>
          <w:szCs w:val="21"/>
          <w:lang w:val="en-US" w:eastAsia="zh-CN" w:bidi="ar-SA"/>
        </w:rPr>
        <w:t>。</w:t>
      </w:r>
    </w:p>
    <w:p w14:paraId="4920281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200"/>
        <w:textAlignment w:val="auto"/>
        <w:rPr>
          <w:rFonts w:hint="eastAsia" w:ascii="宋体" w:hAnsi="宋体" w:cs="宋体"/>
          <w:color w:val="auto"/>
          <w:kern w:val="0"/>
          <w:sz w:val="21"/>
          <w:szCs w:val="21"/>
          <w:lang w:val="en-US" w:eastAsia="zh-CN" w:bidi="ar-SA"/>
        </w:rPr>
      </w:pPr>
      <w:r>
        <w:rPr>
          <w:rFonts w:hint="eastAsia" w:ascii="宋体" w:hAnsi="宋体" w:cs="宋体"/>
          <w:color w:val="auto"/>
          <w:kern w:val="0"/>
          <w:sz w:val="21"/>
          <w:szCs w:val="21"/>
          <w:lang w:val="en-US" w:eastAsia="zh-CN" w:bidi="ar-SA"/>
        </w:rPr>
        <w:t>另一方面，也有诸多研究指出在教育实践中的两条主要策略。一是应将食物浪费和可持续消费理念全面融入各级教育体系，包括在课程标准中增加减少浪费、循环利用等内容，使学生从小养成节约意识；将健康营养与可持续消费相结合，在小学开设合理膳食课程以促进健康饮食和环保意识</w:t>
      </w:r>
      <w:r>
        <w:rPr>
          <w:rStyle w:val="14"/>
          <w:rFonts w:hint="eastAsia" w:ascii="宋体" w:hAnsi="宋体" w:cs="宋体"/>
          <w:color w:val="auto"/>
          <w:kern w:val="0"/>
          <w:sz w:val="21"/>
          <w:szCs w:val="21"/>
          <w:lang w:val="en-US" w:eastAsia="zh-CN" w:bidi="ar-SA"/>
        </w:rPr>
        <w:t>[</w:t>
      </w:r>
      <w:r>
        <w:rPr>
          <w:rStyle w:val="14"/>
          <w:rFonts w:hint="eastAsia" w:ascii="宋体" w:hAnsi="宋体" w:cs="宋体"/>
          <w:color w:val="auto"/>
          <w:kern w:val="0"/>
          <w:sz w:val="21"/>
          <w:szCs w:val="21"/>
          <w:lang w:val="en-US" w:eastAsia="zh-CN" w:bidi="ar-SA"/>
        </w:rPr>
        <w:endnoteReference w:id="29"/>
      </w:r>
      <w:r>
        <w:rPr>
          <w:rStyle w:val="14"/>
          <w:rFonts w:hint="eastAsia" w:ascii="宋体" w:hAnsi="宋体" w:cs="宋体"/>
          <w:color w:val="auto"/>
          <w:kern w:val="0"/>
          <w:sz w:val="21"/>
          <w:szCs w:val="21"/>
          <w:lang w:val="en-US" w:eastAsia="zh-CN" w:bidi="ar-SA"/>
        </w:rPr>
        <w:t>]</w:t>
      </w:r>
      <w:r>
        <w:rPr>
          <w:rFonts w:hint="eastAsia" w:ascii="宋体" w:hAnsi="宋体" w:cs="宋体"/>
          <w:color w:val="auto"/>
          <w:kern w:val="0"/>
          <w:sz w:val="21"/>
          <w:szCs w:val="21"/>
          <w:lang w:val="en-US" w:eastAsia="zh-CN" w:bidi="ar-SA"/>
        </w:rPr>
        <w:t>；强调预防性措施，培养学生“食物浪费素养”。二是应通过跨主体协同机制提升学习深度。学校、社区和政府应协力支持各种体验式学习项目，如校园种植、家庭厨余减量挑战等，让公众在实践中提升意识与技能。同时</w:t>
      </w:r>
      <w:r>
        <w:rPr>
          <w:rFonts w:hint="eastAsia" w:ascii="宋体" w:hAnsi="宋体" w:eastAsia="宋体" w:cs="宋体"/>
          <w:color w:val="auto"/>
          <w:kern w:val="0"/>
          <w:sz w:val="21"/>
          <w:szCs w:val="21"/>
          <w:lang w:val="en-US" w:eastAsia="zh-CN" w:bidi="ar-SA"/>
        </w:rPr>
        <w:t>辅以绿色积分、校园碳账户等制度性工具，使学生能够在多元场景中完成从知识到行动的转化</w:t>
      </w:r>
      <w:r>
        <w:rPr>
          <w:rStyle w:val="14"/>
          <w:rFonts w:hint="eastAsia" w:ascii="宋体" w:hAnsi="宋体" w:eastAsia="宋体" w:cs="宋体"/>
          <w:color w:val="auto"/>
          <w:kern w:val="0"/>
          <w:sz w:val="21"/>
          <w:szCs w:val="21"/>
          <w:lang w:val="en-US" w:eastAsia="zh-CN" w:bidi="ar-SA"/>
        </w:rPr>
        <w:t>[</w:t>
      </w:r>
      <w:r>
        <w:rPr>
          <w:rStyle w:val="14"/>
          <w:rFonts w:hint="eastAsia" w:ascii="宋体" w:hAnsi="宋体" w:eastAsia="宋体" w:cs="宋体"/>
          <w:color w:val="auto"/>
          <w:kern w:val="0"/>
          <w:sz w:val="21"/>
          <w:szCs w:val="21"/>
          <w:lang w:val="en-US" w:eastAsia="zh-CN" w:bidi="ar-SA"/>
        </w:rPr>
        <w:endnoteReference w:id="30"/>
      </w:r>
      <w:r>
        <w:rPr>
          <w:rStyle w:val="14"/>
          <w:rFonts w:hint="eastAsia" w:ascii="宋体" w:hAnsi="宋体" w:eastAsia="宋体" w:cs="宋体"/>
          <w:color w:val="auto"/>
          <w:kern w:val="0"/>
          <w:sz w:val="21"/>
          <w:szCs w:val="21"/>
          <w:lang w:val="en-US" w:eastAsia="zh-CN" w:bidi="ar-SA"/>
        </w:rPr>
        <w:t>]</w:t>
      </w:r>
      <w:r>
        <w:rPr>
          <w:rFonts w:hint="eastAsia" w:ascii="宋体" w:hAnsi="宋体" w:eastAsia="宋体" w:cs="宋体"/>
          <w:color w:val="auto"/>
          <w:kern w:val="0"/>
          <w:sz w:val="21"/>
          <w:szCs w:val="21"/>
          <w:lang w:val="en-US" w:eastAsia="zh-CN" w:bidi="ar-SA"/>
        </w:rPr>
        <w:t>。</w:t>
      </w:r>
      <w:r>
        <w:rPr>
          <w:rFonts w:hint="eastAsia" w:ascii="宋体" w:hAnsi="宋体" w:cs="宋体"/>
          <w:color w:val="auto"/>
          <w:kern w:val="0"/>
          <w:sz w:val="21"/>
          <w:szCs w:val="21"/>
          <w:lang w:val="en-US" w:eastAsia="zh-CN" w:bidi="ar-SA"/>
        </w:rPr>
        <w:t>此外，还应该从</w:t>
      </w:r>
      <w:r>
        <w:rPr>
          <w:rFonts w:hint="eastAsia" w:ascii="宋体" w:hAnsi="宋体" w:eastAsia="宋体" w:cs="宋体"/>
          <w:color w:val="auto"/>
          <w:kern w:val="0"/>
          <w:sz w:val="21"/>
          <w:szCs w:val="21"/>
          <w:lang w:val="en-US" w:eastAsia="zh-CN" w:bidi="ar-SA"/>
        </w:rPr>
        <w:t>“个人生活方式改变”扩展至“制度与文化层面的变革”</w:t>
      </w:r>
      <w:r>
        <w:rPr>
          <w:rFonts w:hint="eastAsia" w:ascii="宋体" w:hAnsi="宋体" w:eastAsia="宋体" w:cs="宋体"/>
          <w:color w:val="auto"/>
          <w:kern w:val="0"/>
          <w:sz w:val="21"/>
          <w:szCs w:val="21"/>
          <w:vertAlign w:val="superscript"/>
          <w:lang w:val="en-US" w:eastAsia="zh-CN" w:bidi="ar-SA"/>
        </w:rPr>
        <w:t>[</w:t>
      </w:r>
      <w:r>
        <w:rPr>
          <w:rFonts w:hint="eastAsia" w:ascii="宋体" w:hAnsi="宋体" w:eastAsia="宋体" w:cs="宋体"/>
          <w:color w:val="auto"/>
          <w:kern w:val="0"/>
          <w:sz w:val="21"/>
          <w:szCs w:val="21"/>
          <w:vertAlign w:val="superscript"/>
          <w:lang w:val="en-US" w:eastAsia="zh-CN" w:bidi="ar-SA"/>
        </w:rPr>
        <w:endnoteReference w:id="31"/>
      </w:r>
      <w:r>
        <w:rPr>
          <w:rFonts w:hint="eastAsia" w:ascii="宋体" w:hAnsi="宋体" w:eastAsia="宋体" w:cs="宋体"/>
          <w:color w:val="auto"/>
          <w:kern w:val="0"/>
          <w:sz w:val="21"/>
          <w:szCs w:val="21"/>
          <w:vertAlign w:val="superscript"/>
          <w:lang w:val="en-US" w:eastAsia="zh-CN" w:bidi="ar-SA"/>
        </w:rPr>
        <w:t>]</w:t>
      </w:r>
      <w:r>
        <w:rPr>
          <w:rFonts w:hint="eastAsia" w:ascii="宋体" w:hAnsi="宋体" w:cs="宋体"/>
          <w:color w:val="auto"/>
          <w:kern w:val="0"/>
          <w:sz w:val="21"/>
          <w:szCs w:val="21"/>
          <w:lang w:val="en-US" w:eastAsia="zh-CN" w:bidi="ar-SA"/>
        </w:rPr>
        <w:t>。</w:t>
      </w:r>
    </w:p>
    <w:p w14:paraId="4E923AAE">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outlineLvl w:val="2"/>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3生物多样性保护</w:t>
      </w:r>
    </w:p>
    <w:p w14:paraId="16E04659">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auto"/>
          <w:kern w:val="0"/>
          <w:sz w:val="21"/>
          <w:szCs w:val="21"/>
          <w:lang w:val="en-US" w:eastAsia="zh-CN" w:bidi="ar-SA"/>
        </w:rPr>
      </w:pPr>
      <w:r>
        <w:rPr>
          <w:rFonts w:hint="eastAsia" w:ascii="宋体" w:hAnsi="宋体" w:eastAsia="宋体" w:cs="宋体"/>
          <w:color w:val="auto"/>
          <w:kern w:val="0"/>
          <w:sz w:val="21"/>
          <w:szCs w:val="21"/>
          <w:lang w:val="en-US" w:eastAsia="zh-CN" w:bidi="ar-SA"/>
        </w:rPr>
        <w:t>全球生物多样性正面临严峻</w:t>
      </w:r>
      <w:r>
        <w:rPr>
          <w:rFonts w:hint="eastAsia" w:ascii="宋体" w:hAnsi="宋体" w:cs="宋体"/>
          <w:color w:val="auto"/>
          <w:kern w:val="0"/>
          <w:sz w:val="21"/>
          <w:szCs w:val="21"/>
          <w:lang w:val="en-US" w:eastAsia="zh-CN" w:bidi="ar-SA"/>
        </w:rPr>
        <w:t>挑战，据统计</w:t>
      </w:r>
      <w:r>
        <w:rPr>
          <w:rFonts w:hint="eastAsia" w:ascii="宋体" w:hAnsi="宋体" w:eastAsia="宋体" w:cs="宋体"/>
          <w:color w:val="auto"/>
          <w:kern w:val="0"/>
          <w:sz w:val="21"/>
          <w:szCs w:val="21"/>
          <w:lang w:val="en-US" w:eastAsia="zh-CN" w:bidi="ar-SA"/>
        </w:rPr>
        <w:t>多达一百万种动植物物种处于灭绝威胁之中</w:t>
      </w:r>
      <w:r>
        <w:rPr>
          <w:rStyle w:val="14"/>
          <w:rFonts w:hint="eastAsia" w:ascii="宋体" w:hAnsi="宋体" w:eastAsia="宋体" w:cs="宋体"/>
          <w:color w:val="auto"/>
          <w:kern w:val="0"/>
          <w:sz w:val="21"/>
          <w:szCs w:val="21"/>
          <w:lang w:val="en-US" w:eastAsia="zh-CN" w:bidi="ar-SA"/>
        </w:rPr>
        <w:t>[</w:t>
      </w:r>
      <w:r>
        <w:rPr>
          <w:rStyle w:val="14"/>
          <w:rFonts w:hint="eastAsia" w:ascii="宋体" w:hAnsi="宋体" w:eastAsia="宋体" w:cs="宋体"/>
          <w:color w:val="auto"/>
          <w:kern w:val="0"/>
          <w:sz w:val="21"/>
          <w:szCs w:val="21"/>
          <w:lang w:val="en-US" w:eastAsia="zh-CN" w:bidi="ar-SA"/>
        </w:rPr>
        <w:endnoteReference w:id="32"/>
      </w:r>
      <w:r>
        <w:rPr>
          <w:rStyle w:val="14"/>
          <w:rFonts w:hint="eastAsia" w:ascii="宋体" w:hAnsi="宋体" w:eastAsia="宋体" w:cs="宋体"/>
          <w:color w:val="auto"/>
          <w:kern w:val="0"/>
          <w:sz w:val="21"/>
          <w:szCs w:val="21"/>
          <w:lang w:val="en-US" w:eastAsia="zh-CN" w:bidi="ar-SA"/>
        </w:rPr>
        <w:t>]</w:t>
      </w:r>
      <w:r>
        <w:rPr>
          <w:rFonts w:hint="eastAsia" w:ascii="宋体" w:hAnsi="宋体" w:cs="宋体"/>
          <w:color w:val="auto"/>
          <w:kern w:val="0"/>
          <w:sz w:val="21"/>
          <w:szCs w:val="21"/>
          <w:lang w:val="en-US" w:eastAsia="zh-CN" w:bidi="ar-SA"/>
        </w:rPr>
        <w:t>。这一危机要求教育系统做出回应与介入。正如，联合国报告指出，可持续发展教育应赋予人们知识技能以应对生物多样性丧失等环境挑战</w:t>
      </w:r>
      <w:r>
        <w:rPr>
          <w:rStyle w:val="14"/>
          <w:rFonts w:hint="eastAsia" w:ascii="宋体" w:hAnsi="宋体" w:cs="宋体"/>
          <w:color w:val="auto"/>
          <w:kern w:val="0"/>
          <w:sz w:val="21"/>
          <w:szCs w:val="21"/>
          <w:lang w:val="en-US" w:eastAsia="zh-CN" w:bidi="ar-SA"/>
        </w:rPr>
        <w:t>[</w:t>
      </w:r>
      <w:r>
        <w:rPr>
          <w:rStyle w:val="14"/>
          <w:rFonts w:hint="eastAsia" w:ascii="宋体" w:hAnsi="宋体" w:cs="宋体"/>
          <w:color w:val="auto"/>
          <w:kern w:val="0"/>
          <w:sz w:val="21"/>
          <w:szCs w:val="21"/>
          <w:lang w:val="en-US" w:eastAsia="zh-CN" w:bidi="ar-SA"/>
        </w:rPr>
        <w:endnoteReference w:id="33"/>
      </w:r>
      <w:r>
        <w:rPr>
          <w:rStyle w:val="14"/>
          <w:rFonts w:hint="eastAsia" w:ascii="宋体" w:hAnsi="宋体" w:cs="宋体"/>
          <w:color w:val="auto"/>
          <w:kern w:val="0"/>
          <w:sz w:val="21"/>
          <w:szCs w:val="21"/>
          <w:lang w:val="en-US" w:eastAsia="zh-CN" w:bidi="ar-SA"/>
        </w:rPr>
        <w:t>]</w:t>
      </w:r>
      <w:r>
        <w:rPr>
          <w:rFonts w:hint="eastAsia" w:ascii="宋体" w:hAnsi="宋体" w:cs="宋体"/>
          <w:color w:val="auto"/>
          <w:kern w:val="0"/>
          <w:sz w:val="21"/>
          <w:szCs w:val="21"/>
          <w:lang w:val="en-US" w:eastAsia="zh-CN" w:bidi="ar-SA"/>
        </w:rPr>
        <w:t>。</w:t>
      </w:r>
      <w:r>
        <w:rPr>
          <w:rFonts w:hint="eastAsia" w:ascii="宋体" w:hAnsi="宋体" w:eastAsia="宋体" w:cs="宋体"/>
          <w:color w:val="auto"/>
          <w:kern w:val="0"/>
          <w:sz w:val="21"/>
          <w:szCs w:val="21"/>
          <w:lang w:val="en-US" w:eastAsia="zh-CN" w:bidi="ar-SA"/>
        </w:rPr>
        <w:t>生物多样性与生态保护</w:t>
      </w:r>
      <w:r>
        <w:rPr>
          <w:rFonts w:hint="eastAsia" w:ascii="宋体" w:hAnsi="宋体" w:cs="宋体"/>
          <w:color w:val="auto"/>
          <w:kern w:val="0"/>
          <w:sz w:val="21"/>
          <w:szCs w:val="21"/>
          <w:lang w:val="en-US" w:eastAsia="zh-CN" w:bidi="ar-SA"/>
        </w:rPr>
        <w:t>作为</w:t>
      </w:r>
      <w:r>
        <w:rPr>
          <w:rFonts w:hint="eastAsia" w:ascii="宋体" w:hAnsi="宋体" w:eastAsia="宋体" w:cs="宋体"/>
          <w:color w:val="auto"/>
          <w:kern w:val="0"/>
          <w:sz w:val="21"/>
          <w:szCs w:val="21"/>
          <w:lang w:val="en-US" w:eastAsia="zh-CN" w:bidi="ar-SA"/>
        </w:rPr>
        <w:t>生态文明教育的</w:t>
      </w:r>
      <w:r>
        <w:rPr>
          <w:rFonts w:hint="eastAsia" w:ascii="宋体" w:hAnsi="宋体" w:cs="宋体"/>
          <w:color w:val="auto"/>
          <w:kern w:val="0"/>
          <w:sz w:val="21"/>
          <w:szCs w:val="21"/>
          <w:lang w:val="en-US" w:eastAsia="zh-CN" w:bidi="ar-SA"/>
        </w:rPr>
        <w:t>热点</w:t>
      </w:r>
      <w:r>
        <w:rPr>
          <w:rFonts w:hint="eastAsia" w:ascii="宋体" w:hAnsi="宋体" w:eastAsia="宋体" w:cs="宋体"/>
          <w:color w:val="auto"/>
          <w:kern w:val="0"/>
          <w:sz w:val="21"/>
          <w:szCs w:val="21"/>
          <w:lang w:val="en-US" w:eastAsia="zh-CN" w:bidi="ar-SA"/>
        </w:rPr>
        <w:t>主题</w:t>
      </w:r>
      <w:r>
        <w:rPr>
          <w:rFonts w:hint="eastAsia" w:ascii="宋体" w:hAnsi="宋体" w:cs="宋体"/>
          <w:color w:val="auto"/>
          <w:kern w:val="0"/>
          <w:sz w:val="21"/>
          <w:szCs w:val="21"/>
          <w:lang w:val="en-US" w:eastAsia="zh-CN" w:bidi="ar-SA"/>
        </w:rPr>
        <w:t>之一</w:t>
      </w:r>
      <w:r>
        <w:rPr>
          <w:rFonts w:hint="eastAsia" w:ascii="宋体" w:hAnsi="宋体" w:eastAsia="宋体" w:cs="宋体"/>
          <w:color w:val="auto"/>
          <w:kern w:val="0"/>
          <w:sz w:val="21"/>
          <w:szCs w:val="21"/>
          <w:lang w:val="en-US" w:eastAsia="zh-CN" w:bidi="ar-SA"/>
        </w:rPr>
        <w:t>，其核心是在教育中倡导对自然的尊重与保护，提升公众对物种多样性和生态系统价值的认识。</w:t>
      </w:r>
    </w:p>
    <w:p w14:paraId="67739CBA">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auto"/>
          <w:sz w:val="21"/>
          <w:szCs w:val="21"/>
          <w:lang w:val="en-US" w:eastAsia="zh-CN"/>
        </w:rPr>
      </w:pPr>
      <w:r>
        <w:rPr>
          <w:rFonts w:hint="eastAsia" w:ascii="宋体" w:hAnsi="宋体" w:cs="宋体"/>
          <w:color w:val="auto"/>
          <w:kern w:val="0"/>
          <w:sz w:val="21"/>
          <w:szCs w:val="21"/>
          <w:lang w:val="en-US" w:eastAsia="zh-CN" w:bidi="ar-SA"/>
        </w:rPr>
        <w:t>首先，在教育目标层面，</w:t>
      </w:r>
      <w:r>
        <w:rPr>
          <w:rFonts w:hint="eastAsia" w:ascii="宋体" w:hAnsi="宋体" w:eastAsia="宋体" w:cs="宋体"/>
          <w:color w:val="auto"/>
          <w:sz w:val="21"/>
          <w:szCs w:val="21"/>
          <w:lang w:val="en-US" w:eastAsia="zh-CN"/>
        </w:rPr>
        <w:t>研究围绕“生物多样性教育应当培养学生什么样的知识与能力</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”已为我们提供了诸多</w:t>
      </w:r>
      <w:r>
        <w:rPr>
          <w:rFonts w:hint="eastAsia" w:ascii="宋体" w:hAnsi="宋体" w:cs="宋体"/>
          <w:color w:val="auto"/>
          <w:sz w:val="21"/>
          <w:szCs w:val="21"/>
          <w:lang w:val="en-US" w:eastAsia="zh-CN"/>
        </w:rPr>
        <w:t>参考</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例如，索洛维耶娃等人（</w:t>
      </w:r>
      <w:r>
        <w:rPr>
          <w:rFonts w:hint="eastAsia" w:ascii="宋体" w:hAnsi="宋体" w:eastAsia="宋体" w:cs="宋体"/>
          <w:color w:val="auto"/>
          <w:sz w:val="21"/>
          <w:szCs w:val="21"/>
          <w:lang w:val="en-US" w:eastAsia="zh-CN"/>
        </w:rPr>
        <w:t>Solovjeva</w:t>
      </w:r>
      <w:r>
        <w:rPr>
          <w:rFonts w:hint="eastAsia" w:ascii="宋体" w:hAnsi="宋体" w:cs="宋体"/>
          <w:color w:val="auto"/>
          <w:sz w:val="21"/>
          <w:szCs w:val="21"/>
          <w:lang w:val="en-US" w:eastAsia="zh-CN"/>
        </w:rPr>
        <w:t xml:space="preserve"> et.）</w:t>
      </w:r>
      <w:r>
        <w:rPr>
          <w:rFonts w:hint="eastAsia" w:ascii="宋体" w:hAnsi="宋体" w:eastAsia="宋体" w:cs="宋体"/>
          <w:color w:val="auto"/>
          <w:sz w:val="21"/>
          <w:szCs w:val="21"/>
          <w:lang w:val="en-US" w:eastAsia="zh-CN"/>
        </w:rPr>
        <w:t>在从生态系统服务角度出发，强调生物多样性教育</w:t>
      </w:r>
      <w:r>
        <w:rPr>
          <w:rFonts w:hint="eastAsia" w:ascii="宋体" w:hAnsi="宋体" w:cs="宋体"/>
          <w:color w:val="auto"/>
          <w:sz w:val="21"/>
          <w:szCs w:val="21"/>
          <w:lang w:val="en-US" w:eastAsia="zh-CN"/>
        </w:rPr>
        <w:t>应涵盖</w:t>
      </w:r>
      <w:r>
        <w:rPr>
          <w:rFonts w:hint="eastAsia" w:ascii="宋体" w:hAnsi="宋体" w:eastAsia="宋体" w:cs="宋体"/>
          <w:color w:val="auto"/>
          <w:sz w:val="21"/>
          <w:szCs w:val="21"/>
          <w:lang w:val="en-US" w:eastAsia="zh-CN"/>
        </w:rPr>
        <w:t>环境保护</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人类福祉、文化多样性及可持续发展</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34"/>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而克莱莫（</w:t>
      </w:r>
      <w:r>
        <w:rPr>
          <w:rFonts w:hint="eastAsia" w:ascii="宋体" w:hAnsi="宋体" w:eastAsia="宋体" w:cs="宋体"/>
          <w:color w:val="auto"/>
          <w:sz w:val="21"/>
          <w:szCs w:val="21"/>
          <w:lang w:val="en-US" w:eastAsia="zh-CN"/>
        </w:rPr>
        <w:t>Klemow et</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等人</w:t>
      </w:r>
      <w:r>
        <w:rPr>
          <w:rFonts w:hint="eastAsia" w:ascii="宋体" w:hAnsi="宋体" w:cs="宋体"/>
          <w:color w:val="auto"/>
          <w:sz w:val="21"/>
          <w:szCs w:val="21"/>
          <w:lang w:val="en-US" w:eastAsia="zh-CN"/>
        </w:rPr>
        <w:t>则</w:t>
      </w:r>
      <w:r>
        <w:rPr>
          <w:rFonts w:hint="eastAsia" w:ascii="宋体" w:hAnsi="宋体" w:eastAsia="宋体" w:cs="宋体"/>
          <w:color w:val="auto"/>
          <w:sz w:val="21"/>
          <w:szCs w:val="21"/>
          <w:lang w:val="en-US" w:eastAsia="zh-CN"/>
        </w:rPr>
        <w:t>提出</w:t>
      </w:r>
      <w:r>
        <w:rPr>
          <w:rFonts w:hint="eastAsia" w:ascii="宋体" w:hAnsi="宋体" w:cs="宋体"/>
          <w:color w:val="auto"/>
          <w:sz w:val="21"/>
          <w:szCs w:val="21"/>
          <w:lang w:val="en-US" w:eastAsia="zh-CN"/>
        </w:rPr>
        <w:t>了</w:t>
      </w:r>
      <w:r>
        <w:rPr>
          <w:rFonts w:hint="eastAsia" w:ascii="宋体" w:hAnsi="宋体" w:eastAsia="宋体" w:cs="宋体"/>
          <w:color w:val="auto"/>
          <w:sz w:val="21"/>
          <w:szCs w:val="21"/>
          <w:lang w:val="en-US" w:eastAsia="zh-CN"/>
        </w:rPr>
        <w:t>四维生态模型</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强调生物多样性教育应将生态学、伦理学、文化研究等内容进行融合，引导学生从不同学科角度理解物种多样性</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35"/>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。在教学实践方面，</w:t>
      </w:r>
      <w:r>
        <w:rPr>
          <w:rFonts w:hint="eastAsia" w:ascii="宋体" w:hAnsi="宋体" w:cs="宋体"/>
          <w:color w:val="auto"/>
          <w:sz w:val="21"/>
          <w:szCs w:val="21"/>
          <w:lang w:val="en-US" w:eastAsia="zh-CN"/>
        </w:rPr>
        <w:t>为了</w:t>
      </w:r>
      <w:r>
        <w:rPr>
          <w:rFonts w:hint="eastAsia" w:ascii="宋体" w:hAnsi="宋体" w:cs="宋体"/>
          <w:color w:val="auto"/>
          <w:kern w:val="0"/>
          <w:sz w:val="21"/>
          <w:szCs w:val="21"/>
          <w:lang w:val="en-US" w:eastAsia="zh-CN" w:bidi="ar-SA"/>
        </w:rPr>
        <w:t>增进青少年与自然的联结并培养其环保责任感，</w:t>
      </w:r>
      <w:r>
        <w:rPr>
          <w:rFonts w:hint="eastAsia" w:ascii="宋体" w:hAnsi="宋体" w:eastAsia="宋体" w:cs="宋体"/>
          <w:color w:val="auto"/>
          <w:sz w:val="21"/>
          <w:szCs w:val="21"/>
          <w:lang w:val="en-US" w:eastAsia="zh-CN"/>
        </w:rPr>
        <w:t>生物多样性教育</w:t>
      </w:r>
      <w:r>
        <w:rPr>
          <w:rFonts w:hint="eastAsia" w:ascii="宋体" w:hAnsi="宋体" w:cs="宋体"/>
          <w:color w:val="auto"/>
          <w:sz w:val="21"/>
          <w:szCs w:val="21"/>
          <w:lang w:val="en-US" w:eastAsia="zh-CN"/>
        </w:rPr>
        <w:t>实践</w:t>
      </w:r>
      <w:r>
        <w:rPr>
          <w:rFonts w:hint="eastAsia" w:ascii="宋体" w:hAnsi="宋体" w:eastAsia="宋体" w:cs="宋体"/>
          <w:color w:val="auto"/>
          <w:sz w:val="21"/>
          <w:szCs w:val="21"/>
          <w:lang w:val="en-US" w:eastAsia="zh-CN"/>
        </w:rPr>
        <w:t>重视体验式学习</w:t>
      </w:r>
      <w:r>
        <w:rPr>
          <w:rFonts w:hint="eastAsia" w:ascii="宋体" w:hAnsi="宋体" w:cs="宋体"/>
          <w:color w:val="auto"/>
          <w:sz w:val="21"/>
          <w:szCs w:val="21"/>
          <w:lang w:val="en-US" w:eastAsia="zh-CN"/>
        </w:rPr>
        <w:t>、跨学科教学和</w:t>
      </w:r>
      <w:r>
        <w:rPr>
          <w:rFonts w:hint="eastAsia" w:ascii="宋体" w:hAnsi="宋体" w:eastAsia="宋体" w:cs="宋体"/>
          <w:color w:val="auto"/>
          <w:sz w:val="21"/>
          <w:szCs w:val="21"/>
          <w:lang w:val="en-US" w:eastAsia="zh-CN"/>
        </w:rPr>
        <w:t>地方化教</w:t>
      </w:r>
      <w:r>
        <w:rPr>
          <w:rFonts w:hint="eastAsia" w:ascii="宋体" w:hAnsi="宋体" w:cs="宋体"/>
          <w:color w:val="auto"/>
          <w:sz w:val="21"/>
          <w:szCs w:val="21"/>
          <w:lang w:val="en-US" w:eastAsia="zh-CN"/>
        </w:rPr>
        <w:t>学。第一，体验式学习常以</w:t>
      </w:r>
      <w:r>
        <w:rPr>
          <w:rFonts w:hint="eastAsia" w:ascii="宋体" w:hAnsi="宋体" w:cs="宋体"/>
          <w:color w:val="auto"/>
          <w:kern w:val="0"/>
          <w:sz w:val="21"/>
          <w:szCs w:val="21"/>
          <w:lang w:val="en-US" w:eastAsia="zh-CN" w:bidi="ar-SA"/>
        </w:rPr>
        <w:t>户外教学、自然体验和社区科普等主要形式开展</w:t>
      </w:r>
      <w:r>
        <w:rPr>
          <w:rFonts w:hint="eastAsia" w:ascii="宋体" w:hAnsi="宋体" w:cs="宋体"/>
          <w:color w:val="auto"/>
          <w:sz w:val="21"/>
          <w:szCs w:val="21"/>
          <w:lang w:val="en-US" w:eastAsia="zh-CN"/>
        </w:rPr>
        <w:t>。第二，</w:t>
      </w:r>
      <w:r>
        <w:rPr>
          <w:rFonts w:hint="eastAsia" w:ascii="宋体" w:hAnsi="宋体" w:eastAsia="宋体" w:cs="宋体"/>
          <w:color w:val="auto"/>
          <w:sz w:val="21"/>
          <w:szCs w:val="21"/>
          <w:lang w:val="en-US" w:eastAsia="zh-CN"/>
        </w:rPr>
        <w:t>跨学科教学</w:t>
      </w:r>
      <w:r>
        <w:rPr>
          <w:rFonts w:hint="eastAsia" w:ascii="宋体" w:hAnsi="宋体" w:cs="宋体"/>
          <w:color w:val="auto"/>
          <w:sz w:val="21"/>
          <w:szCs w:val="21"/>
          <w:lang w:val="en-US" w:eastAsia="zh-CN"/>
        </w:rPr>
        <w:t>倾向融入多个学科或新兴技术</w:t>
      </w:r>
      <w:r>
        <w:rPr>
          <w:rFonts w:hint="eastAsia" w:ascii="宋体" w:hAnsi="宋体" w:eastAsia="宋体" w:cs="宋体"/>
          <w:color w:val="auto"/>
          <w:sz w:val="21"/>
          <w:szCs w:val="21"/>
          <w:lang w:val="en-US" w:eastAsia="zh-CN"/>
        </w:rPr>
        <w:t>，例如通过模拟食物链来揭示生态关系，或以原住民故事为</w:t>
      </w:r>
      <w:r>
        <w:rPr>
          <w:rFonts w:hint="eastAsia" w:ascii="宋体" w:hAnsi="宋体" w:cs="宋体"/>
          <w:color w:val="auto"/>
          <w:sz w:val="21"/>
          <w:szCs w:val="21"/>
          <w:lang w:val="en-US" w:eastAsia="zh-CN"/>
        </w:rPr>
        <w:t>主题</w:t>
      </w:r>
      <w:r>
        <w:rPr>
          <w:rFonts w:hint="eastAsia" w:ascii="宋体" w:hAnsi="宋体" w:eastAsia="宋体" w:cs="宋体"/>
          <w:color w:val="auto"/>
          <w:sz w:val="21"/>
          <w:szCs w:val="21"/>
          <w:lang w:val="en-US" w:eastAsia="zh-CN"/>
        </w:rPr>
        <w:t>认识人类与自然的关系</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36"/>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第三，在地化</w:t>
      </w:r>
      <w:r>
        <w:rPr>
          <w:rFonts w:hint="eastAsia" w:ascii="宋体" w:hAnsi="宋体" w:eastAsia="宋体" w:cs="宋体"/>
          <w:color w:val="auto"/>
          <w:sz w:val="21"/>
          <w:szCs w:val="21"/>
          <w:lang w:val="en-US" w:eastAsia="zh-CN"/>
        </w:rPr>
        <w:t>学习</w:t>
      </w:r>
      <w:r>
        <w:rPr>
          <w:rFonts w:hint="eastAsia" w:ascii="宋体" w:hAnsi="宋体" w:cs="宋体"/>
          <w:color w:val="auto"/>
          <w:sz w:val="21"/>
          <w:szCs w:val="21"/>
          <w:lang w:val="en-US" w:eastAsia="zh-CN"/>
        </w:rPr>
        <w:t>即基于</w:t>
      </w:r>
      <w:r>
        <w:rPr>
          <w:rFonts w:hint="eastAsia" w:ascii="宋体" w:hAnsi="宋体" w:eastAsia="宋体" w:cs="宋体"/>
          <w:color w:val="auto"/>
          <w:sz w:val="21"/>
          <w:szCs w:val="21"/>
          <w:lang w:val="en-US" w:eastAsia="zh-CN"/>
        </w:rPr>
        <w:t>本土</w:t>
      </w:r>
      <w:r>
        <w:rPr>
          <w:rFonts w:hint="eastAsia" w:ascii="宋体" w:hAnsi="宋体" w:cs="宋体"/>
          <w:color w:val="auto"/>
          <w:sz w:val="21"/>
          <w:szCs w:val="21"/>
          <w:lang w:val="en-US" w:eastAsia="zh-CN"/>
        </w:rPr>
        <w:t>特色资源实施，</w:t>
      </w:r>
      <w:r>
        <w:rPr>
          <w:rFonts w:hint="eastAsia" w:ascii="宋体" w:hAnsi="宋体" w:eastAsia="宋体" w:cs="宋体"/>
          <w:color w:val="auto"/>
          <w:sz w:val="21"/>
          <w:szCs w:val="21"/>
          <w:lang w:val="en-US" w:eastAsia="zh-CN"/>
        </w:rPr>
        <w:t>如参观自然保护区、记录城市生态微环境、管理校园农园、照料小动物等</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37"/>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38"/>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p>
    <w:p w14:paraId="33D41734">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再次，在实践探索的同时，不少研究也提出了开展与</w:t>
      </w:r>
      <w:r>
        <w:rPr>
          <w:rFonts w:hint="eastAsia" w:ascii="宋体" w:hAnsi="宋体" w:eastAsia="宋体" w:cs="宋体"/>
          <w:color w:val="auto"/>
          <w:sz w:val="21"/>
          <w:szCs w:val="21"/>
          <w:lang w:val="en-US" w:eastAsia="zh-CN"/>
        </w:rPr>
        <w:t>生物多样性教育</w:t>
      </w:r>
      <w:r>
        <w:rPr>
          <w:rFonts w:hint="eastAsia" w:ascii="宋体" w:hAnsi="宋体" w:cs="宋体"/>
          <w:color w:val="auto"/>
          <w:sz w:val="21"/>
          <w:szCs w:val="21"/>
          <w:lang w:val="en-US" w:eastAsia="zh-CN"/>
        </w:rPr>
        <w:t>的</w:t>
      </w:r>
      <w:r>
        <w:rPr>
          <w:rFonts w:hint="eastAsia" w:ascii="宋体" w:hAnsi="宋体" w:eastAsia="宋体" w:cs="宋体"/>
          <w:color w:val="auto"/>
          <w:sz w:val="21"/>
          <w:szCs w:val="21"/>
          <w:lang w:val="en-US" w:eastAsia="zh-CN"/>
        </w:rPr>
        <w:t>现实挑战。一方面，</w:t>
      </w:r>
      <w:r>
        <w:rPr>
          <w:rFonts w:hint="eastAsia" w:ascii="宋体" w:hAnsi="宋体" w:cs="宋体"/>
          <w:color w:val="auto"/>
          <w:sz w:val="21"/>
          <w:szCs w:val="21"/>
          <w:lang w:val="en-US" w:eastAsia="zh-CN"/>
        </w:rPr>
        <w:t>教学实践</w:t>
      </w:r>
      <w:r>
        <w:rPr>
          <w:rFonts w:hint="eastAsia" w:ascii="宋体" w:hAnsi="宋体" w:eastAsia="宋体" w:cs="宋体"/>
          <w:color w:val="auto"/>
          <w:sz w:val="21"/>
          <w:szCs w:val="21"/>
          <w:lang w:val="en-US" w:eastAsia="zh-CN"/>
        </w:rPr>
        <w:t>存在空间维度的断裂，学生在参与本地调查</w:t>
      </w:r>
      <w:r>
        <w:rPr>
          <w:rFonts w:hint="eastAsia" w:ascii="宋体" w:hAnsi="宋体" w:cs="宋体"/>
          <w:color w:val="auto"/>
          <w:sz w:val="21"/>
          <w:szCs w:val="21"/>
          <w:lang w:val="en-US" w:eastAsia="zh-CN"/>
        </w:rPr>
        <w:t>的活动</w:t>
      </w:r>
      <w:r>
        <w:rPr>
          <w:rFonts w:hint="eastAsia" w:ascii="宋体" w:hAnsi="宋体" w:eastAsia="宋体" w:cs="宋体"/>
          <w:color w:val="auto"/>
          <w:sz w:val="21"/>
          <w:szCs w:val="21"/>
          <w:lang w:val="en-US" w:eastAsia="zh-CN"/>
        </w:rPr>
        <w:t>往往难以</w:t>
      </w:r>
      <w:r>
        <w:rPr>
          <w:rFonts w:hint="eastAsia" w:ascii="宋体" w:hAnsi="宋体" w:cs="宋体"/>
          <w:color w:val="auto"/>
          <w:sz w:val="21"/>
          <w:szCs w:val="21"/>
          <w:lang w:val="en-US" w:eastAsia="zh-CN"/>
        </w:rPr>
        <w:t>将其</w:t>
      </w:r>
      <w:r>
        <w:rPr>
          <w:rFonts w:hint="eastAsia" w:ascii="宋体" w:hAnsi="宋体" w:eastAsia="宋体" w:cs="宋体"/>
          <w:color w:val="auto"/>
          <w:sz w:val="21"/>
          <w:szCs w:val="21"/>
          <w:lang w:val="en-US" w:eastAsia="zh-CN"/>
        </w:rPr>
        <w:t>与全球物种灭绝的问题建立关联，</w:t>
      </w:r>
      <w:r>
        <w:rPr>
          <w:rFonts w:hint="eastAsia" w:ascii="宋体" w:hAnsi="宋体" w:cs="宋体"/>
          <w:color w:val="auto"/>
          <w:sz w:val="21"/>
          <w:szCs w:val="21"/>
          <w:lang w:val="en-US" w:eastAsia="zh-CN"/>
        </w:rPr>
        <w:t>进而他们</w:t>
      </w:r>
      <w:r>
        <w:rPr>
          <w:rFonts w:hint="eastAsia" w:ascii="宋体" w:hAnsi="宋体" w:eastAsia="宋体" w:cs="宋体"/>
          <w:color w:val="auto"/>
          <w:sz w:val="21"/>
          <w:szCs w:val="21"/>
          <w:lang w:val="en-US" w:eastAsia="zh-CN"/>
        </w:rPr>
        <w:t>理解</w:t>
      </w:r>
      <w:r>
        <w:rPr>
          <w:rFonts w:hint="eastAsia" w:ascii="宋体" w:hAnsi="宋体" w:cs="宋体"/>
          <w:color w:val="auto"/>
          <w:sz w:val="21"/>
          <w:szCs w:val="21"/>
          <w:lang w:val="en-US" w:eastAsia="zh-CN"/>
        </w:rPr>
        <w:t>该问题</w:t>
      </w:r>
      <w:r>
        <w:rPr>
          <w:rFonts w:hint="eastAsia" w:ascii="宋体" w:hAnsi="宋体" w:eastAsia="宋体" w:cs="宋体"/>
          <w:color w:val="auto"/>
          <w:sz w:val="21"/>
          <w:szCs w:val="21"/>
          <w:lang w:val="en-US" w:eastAsia="zh-CN"/>
        </w:rPr>
        <w:t>的整体性</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39"/>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。对于生活在城市环境中的学生而言，缺乏与自然的日常接触可能会产生“自然疏离感”，影响其行动转化意愿。另一方面，课程内容深度不足，</w:t>
      </w:r>
      <w:r>
        <w:rPr>
          <w:rFonts w:hint="eastAsia" w:ascii="宋体" w:hAnsi="宋体" w:cs="宋体"/>
          <w:color w:val="auto"/>
          <w:sz w:val="21"/>
          <w:szCs w:val="21"/>
          <w:lang w:val="en-US" w:eastAsia="zh-CN"/>
        </w:rPr>
        <w:t>例如</w:t>
      </w:r>
      <w:r>
        <w:rPr>
          <w:rFonts w:hint="eastAsia" w:ascii="宋体" w:hAnsi="宋体" w:eastAsia="宋体" w:cs="宋体"/>
          <w:color w:val="auto"/>
          <w:sz w:val="21"/>
          <w:szCs w:val="21"/>
          <w:lang w:val="en-US" w:eastAsia="zh-CN"/>
        </w:rPr>
        <w:t>遗传多样性、生态系统功能等</w:t>
      </w:r>
      <w:r>
        <w:rPr>
          <w:rFonts w:hint="eastAsia" w:ascii="宋体" w:hAnsi="宋体" w:cs="宋体"/>
          <w:color w:val="auto"/>
          <w:sz w:val="21"/>
          <w:szCs w:val="21"/>
          <w:lang w:val="en-US" w:eastAsia="zh-CN"/>
        </w:rPr>
        <w:t>重要</w:t>
      </w:r>
      <w:r>
        <w:rPr>
          <w:rFonts w:hint="eastAsia" w:ascii="宋体" w:hAnsi="宋体" w:eastAsia="宋体" w:cs="宋体"/>
          <w:color w:val="auto"/>
          <w:sz w:val="21"/>
          <w:szCs w:val="21"/>
          <w:lang w:val="en-US" w:eastAsia="zh-CN"/>
        </w:rPr>
        <w:t>知识点在实际教学中常被忽略</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0"/>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p>
    <w:p w14:paraId="45E7FE08">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最后，</w:t>
      </w:r>
      <w:r>
        <w:rPr>
          <w:rFonts w:hint="eastAsia" w:ascii="宋体" w:hAnsi="宋体" w:cs="宋体"/>
          <w:color w:val="auto"/>
          <w:sz w:val="21"/>
          <w:szCs w:val="21"/>
          <w:lang w:val="en-US" w:eastAsia="zh-CN"/>
        </w:rPr>
        <w:t>不少研究对此提出了可参考的提升路径。具体而言，是在跨学科教学的基础上</w:t>
      </w:r>
      <w:r>
        <w:rPr>
          <w:rFonts w:hint="eastAsia" w:ascii="宋体" w:hAnsi="宋体" w:eastAsia="宋体" w:cs="宋体"/>
          <w:color w:val="auto"/>
          <w:sz w:val="21"/>
          <w:szCs w:val="21"/>
          <w:lang w:val="en-US" w:eastAsia="zh-CN"/>
        </w:rPr>
        <w:t>建立“学校—社区—保护机构”三方协作机制，</w:t>
      </w:r>
      <w:r>
        <w:rPr>
          <w:rFonts w:hint="eastAsia" w:ascii="宋体" w:hAnsi="宋体" w:cs="宋体"/>
          <w:color w:val="auto"/>
          <w:sz w:val="21"/>
          <w:szCs w:val="21"/>
          <w:lang w:val="en-US" w:eastAsia="zh-CN"/>
        </w:rPr>
        <w:t>为</w:t>
      </w:r>
      <w:r>
        <w:rPr>
          <w:rFonts w:hint="eastAsia" w:ascii="宋体" w:hAnsi="宋体" w:eastAsia="宋体" w:cs="宋体"/>
          <w:color w:val="auto"/>
          <w:sz w:val="21"/>
          <w:szCs w:val="21"/>
          <w:lang w:val="en-US" w:eastAsia="zh-CN"/>
        </w:rPr>
        <w:t>学生</w:t>
      </w:r>
      <w:r>
        <w:rPr>
          <w:rFonts w:hint="eastAsia" w:ascii="宋体" w:hAnsi="宋体" w:cs="宋体"/>
          <w:color w:val="auto"/>
          <w:sz w:val="21"/>
          <w:szCs w:val="21"/>
          <w:lang w:val="en-US" w:eastAsia="zh-CN"/>
        </w:rPr>
        <w:t>提供</w:t>
      </w:r>
      <w:r>
        <w:rPr>
          <w:rFonts w:hint="eastAsia" w:ascii="宋体" w:hAnsi="宋体" w:eastAsia="宋体" w:cs="宋体"/>
          <w:color w:val="auto"/>
          <w:sz w:val="21"/>
          <w:szCs w:val="21"/>
          <w:lang w:val="en-US" w:eastAsia="zh-CN"/>
        </w:rPr>
        <w:t>参与</w:t>
      </w:r>
      <w:r>
        <w:rPr>
          <w:rFonts w:hint="eastAsia" w:ascii="宋体" w:hAnsi="宋体" w:cs="宋体"/>
          <w:color w:val="auto"/>
          <w:sz w:val="21"/>
          <w:szCs w:val="21"/>
          <w:lang w:val="en-US" w:eastAsia="zh-CN"/>
        </w:rPr>
        <w:t>实际</w:t>
      </w:r>
      <w:r>
        <w:rPr>
          <w:rFonts w:hint="eastAsia" w:ascii="宋体" w:hAnsi="宋体" w:eastAsia="宋体" w:cs="宋体"/>
          <w:color w:val="auto"/>
          <w:sz w:val="21"/>
          <w:szCs w:val="21"/>
          <w:lang w:val="en-US" w:eastAsia="zh-CN"/>
        </w:rPr>
        <w:t>保护的机会</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1"/>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在课程设计中</w:t>
      </w:r>
      <w:r>
        <w:rPr>
          <w:rFonts w:hint="eastAsia" w:ascii="宋体" w:hAnsi="宋体" w:cs="宋体"/>
          <w:color w:val="auto"/>
          <w:sz w:val="21"/>
          <w:szCs w:val="21"/>
          <w:lang w:val="en-US" w:eastAsia="zh-CN"/>
        </w:rPr>
        <w:t>更加强调</w:t>
      </w:r>
      <w:r>
        <w:rPr>
          <w:rFonts w:hint="eastAsia" w:ascii="宋体" w:hAnsi="宋体" w:eastAsia="宋体" w:cs="宋体"/>
          <w:color w:val="auto"/>
          <w:sz w:val="21"/>
          <w:szCs w:val="21"/>
          <w:lang w:val="en-US" w:eastAsia="zh-CN"/>
        </w:rPr>
        <w:t>“生态系统服务与物种保护”专题</w:t>
      </w:r>
      <w:r>
        <w:rPr>
          <w:rFonts w:hint="eastAsia" w:ascii="宋体" w:hAnsi="宋体" w:cs="宋体"/>
          <w:color w:val="auto"/>
          <w:sz w:val="21"/>
          <w:szCs w:val="21"/>
          <w:lang w:val="en-US" w:eastAsia="zh-CN"/>
        </w:rPr>
        <w:t>课程和活动，让学生学习到</w:t>
      </w:r>
      <w:r>
        <w:rPr>
          <w:rFonts w:hint="eastAsia" w:ascii="宋体" w:hAnsi="宋体" w:eastAsia="宋体" w:cs="宋体"/>
          <w:color w:val="auto"/>
          <w:sz w:val="21"/>
          <w:szCs w:val="21"/>
          <w:lang w:val="en-US" w:eastAsia="zh-CN"/>
        </w:rPr>
        <w:t>生物多样性与人类社会</w:t>
      </w:r>
      <w:r>
        <w:rPr>
          <w:rFonts w:hint="eastAsia" w:ascii="宋体" w:hAnsi="宋体" w:cs="宋体"/>
          <w:color w:val="auto"/>
          <w:sz w:val="21"/>
          <w:szCs w:val="21"/>
          <w:lang w:val="en-US" w:eastAsia="zh-CN"/>
        </w:rPr>
        <w:t>的</w:t>
      </w:r>
      <w:r>
        <w:rPr>
          <w:rFonts w:hint="eastAsia" w:ascii="宋体" w:hAnsi="宋体" w:eastAsia="宋体" w:cs="宋体"/>
          <w:color w:val="auto"/>
          <w:sz w:val="21"/>
          <w:szCs w:val="21"/>
          <w:lang w:val="en-US" w:eastAsia="zh-CN"/>
        </w:rPr>
        <w:t>系统</w:t>
      </w:r>
      <w:r>
        <w:rPr>
          <w:rFonts w:hint="eastAsia" w:ascii="宋体" w:hAnsi="宋体" w:cs="宋体"/>
          <w:color w:val="auto"/>
          <w:sz w:val="21"/>
          <w:szCs w:val="21"/>
          <w:lang w:val="en-US" w:eastAsia="zh-CN"/>
        </w:rPr>
        <w:t>性知识，进而培养他们成为</w:t>
      </w:r>
      <w:r>
        <w:rPr>
          <w:rFonts w:hint="eastAsia" w:ascii="宋体" w:hAnsi="宋体" w:eastAsia="宋体" w:cs="宋体"/>
          <w:color w:val="auto"/>
          <w:sz w:val="21"/>
          <w:szCs w:val="21"/>
          <w:lang w:val="en-US" w:eastAsia="zh-CN"/>
        </w:rPr>
        <w:t>生态守护者的身份</w:t>
      </w:r>
      <w:r>
        <w:rPr>
          <w:rFonts w:hint="eastAsia" w:ascii="宋体" w:hAnsi="宋体" w:cs="宋体"/>
          <w:color w:val="auto"/>
          <w:sz w:val="21"/>
          <w:szCs w:val="21"/>
          <w:lang w:val="en-US" w:eastAsia="zh-CN"/>
        </w:rPr>
        <w:t>，深度参与生态保护</w:t>
      </w:r>
      <w:r>
        <w:rPr>
          <w:rFonts w:hint="eastAsia" w:ascii="宋体" w:hAnsi="宋体" w:eastAsia="宋体" w:cs="宋体"/>
          <w:color w:val="auto"/>
          <w:sz w:val="21"/>
          <w:szCs w:val="21"/>
          <w:lang w:val="en-US" w:eastAsia="zh-CN"/>
        </w:rPr>
        <w:t>。</w:t>
      </w:r>
    </w:p>
    <w:p w14:paraId="10BEA98E">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outlineLvl w:val="2"/>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 xml:space="preserve">4 </w:t>
      </w:r>
      <w:r>
        <w:rPr>
          <w:rFonts w:hint="default" w:ascii="黑体" w:hAnsi="黑体" w:eastAsia="黑体" w:cs="黑体"/>
          <w:color w:val="auto"/>
          <w:sz w:val="21"/>
          <w:szCs w:val="21"/>
          <w:lang w:val="en-US" w:eastAsia="zh-CN"/>
        </w:rPr>
        <w:t>社区参与</w:t>
      </w:r>
    </w:p>
    <w:p w14:paraId="337F4329">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cs="宋体"/>
          <w:color w:val="auto"/>
          <w:sz w:val="21"/>
          <w:szCs w:val="21"/>
          <w:lang w:val="en-US" w:eastAsia="zh-CN"/>
        </w:rPr>
      </w:pPr>
      <w:r>
        <w:rPr>
          <w:rFonts w:hint="eastAsia" w:ascii="宋体" w:hAnsi="宋体" w:cs="宋体"/>
          <w:color w:val="auto"/>
          <w:sz w:val="21"/>
          <w:szCs w:val="21"/>
          <w:lang w:val="en-US" w:eastAsia="zh-CN"/>
        </w:rPr>
        <w:t>社区教育重视</w:t>
      </w:r>
      <w:r>
        <w:rPr>
          <w:rFonts w:hint="eastAsia" w:ascii="宋体" w:hAnsi="宋体" w:eastAsia="宋体" w:cs="宋体"/>
          <w:color w:val="auto"/>
          <w:sz w:val="21"/>
          <w:szCs w:val="21"/>
          <w:lang w:val="en-US" w:eastAsia="zh-CN"/>
        </w:rPr>
        <w:t>在地方层面动员公众参与环境行动</w:t>
      </w:r>
      <w:r>
        <w:rPr>
          <w:rFonts w:hint="eastAsia" w:ascii="宋体" w:hAnsi="宋体" w:cs="宋体"/>
          <w:color w:val="auto"/>
          <w:sz w:val="21"/>
          <w:szCs w:val="21"/>
          <w:lang w:val="en-US" w:eastAsia="zh-CN"/>
        </w:rPr>
        <w:t>。已有研究表明，以社区为平台开展</w:t>
      </w:r>
      <w:r>
        <w:rPr>
          <w:rFonts w:hint="eastAsia" w:ascii="宋体" w:hAnsi="宋体" w:eastAsia="宋体" w:cs="宋体"/>
          <w:color w:val="auto"/>
          <w:sz w:val="21"/>
          <w:szCs w:val="21"/>
          <w:lang w:val="en-US" w:eastAsia="zh-CN"/>
        </w:rPr>
        <w:t>环境教育项目</w:t>
      </w:r>
      <w:r>
        <w:rPr>
          <w:rFonts w:hint="eastAsia" w:ascii="宋体" w:hAnsi="宋体" w:cs="宋体"/>
          <w:color w:val="auto"/>
          <w:sz w:val="21"/>
          <w:szCs w:val="21"/>
          <w:lang w:val="en-US" w:eastAsia="zh-CN"/>
        </w:rPr>
        <w:t>能够</w:t>
      </w:r>
      <w:r>
        <w:rPr>
          <w:rFonts w:hint="eastAsia" w:ascii="宋体" w:hAnsi="宋体" w:eastAsia="宋体" w:cs="宋体"/>
          <w:color w:val="auto"/>
          <w:sz w:val="21"/>
          <w:szCs w:val="21"/>
          <w:lang w:val="en-US" w:eastAsia="zh-CN"/>
        </w:rPr>
        <w:t>提高社区</w:t>
      </w:r>
      <w:r>
        <w:rPr>
          <w:rFonts w:hint="eastAsia" w:ascii="宋体" w:hAnsi="宋体" w:cs="宋体"/>
          <w:color w:val="auto"/>
          <w:sz w:val="21"/>
          <w:szCs w:val="21"/>
          <w:lang w:val="en-US" w:eastAsia="zh-CN"/>
        </w:rPr>
        <w:t>成员</w:t>
      </w:r>
      <w:r>
        <w:rPr>
          <w:rFonts w:hint="eastAsia" w:ascii="宋体" w:hAnsi="宋体" w:eastAsia="宋体" w:cs="宋体"/>
          <w:color w:val="auto"/>
          <w:sz w:val="21"/>
          <w:szCs w:val="21"/>
          <w:lang w:val="en-US" w:eastAsia="zh-CN"/>
        </w:rPr>
        <w:t>应对环保问题的能力</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2"/>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当前</w:t>
      </w:r>
      <w:r>
        <w:rPr>
          <w:rFonts w:hint="eastAsia" w:ascii="宋体" w:hAnsi="宋体" w:cs="宋体"/>
          <w:color w:val="auto"/>
          <w:sz w:val="21"/>
          <w:szCs w:val="21"/>
          <w:lang w:val="en-US" w:eastAsia="zh-CN"/>
        </w:rPr>
        <w:t>相关</w:t>
      </w:r>
      <w:r>
        <w:rPr>
          <w:rFonts w:hint="eastAsia" w:ascii="宋体" w:hAnsi="宋体" w:eastAsia="宋体" w:cs="宋体"/>
          <w:color w:val="auto"/>
          <w:sz w:val="21"/>
          <w:szCs w:val="21"/>
          <w:lang w:val="en-US" w:eastAsia="zh-CN"/>
        </w:rPr>
        <w:t>研究主要</w:t>
      </w:r>
      <w:r>
        <w:rPr>
          <w:rFonts w:hint="eastAsia" w:ascii="宋体" w:hAnsi="宋体" w:cs="宋体"/>
          <w:color w:val="auto"/>
          <w:sz w:val="21"/>
          <w:szCs w:val="21"/>
          <w:lang w:val="en-US" w:eastAsia="zh-CN"/>
        </w:rPr>
        <w:t>以</w:t>
      </w:r>
      <w:r>
        <w:rPr>
          <w:rFonts w:hint="eastAsia" w:ascii="宋体" w:hAnsi="宋体" w:eastAsia="宋体" w:cs="宋体"/>
          <w:color w:val="auto"/>
          <w:sz w:val="21"/>
          <w:szCs w:val="21"/>
          <w:lang w:val="en-US" w:eastAsia="zh-CN"/>
        </w:rPr>
        <w:t>“从社区中学习”</w:t>
      </w:r>
      <w:r>
        <w:rPr>
          <w:rFonts w:hint="eastAsia" w:ascii="宋体" w:hAnsi="宋体" w:cs="宋体"/>
          <w:color w:val="auto"/>
          <w:sz w:val="21"/>
          <w:szCs w:val="21"/>
          <w:lang w:val="en-US" w:eastAsia="zh-CN"/>
        </w:rPr>
        <w:t>为核心，</w:t>
      </w:r>
      <w:r>
        <w:rPr>
          <w:rFonts w:hint="eastAsia" w:ascii="宋体" w:hAnsi="宋体" w:eastAsia="宋体" w:cs="宋体"/>
          <w:color w:val="auto"/>
          <w:sz w:val="21"/>
          <w:szCs w:val="21"/>
          <w:lang w:val="en-US" w:eastAsia="zh-CN"/>
        </w:rPr>
        <w:t>围绕</w:t>
      </w:r>
      <w:r>
        <w:rPr>
          <w:rFonts w:hint="eastAsia" w:ascii="宋体" w:hAnsi="宋体" w:cs="宋体"/>
          <w:color w:val="auto"/>
          <w:sz w:val="21"/>
          <w:szCs w:val="21"/>
          <w:lang w:val="en-US" w:eastAsia="zh-CN"/>
        </w:rPr>
        <w:t>现状、问题和措施等多个</w:t>
      </w:r>
      <w:r>
        <w:rPr>
          <w:rFonts w:hint="eastAsia" w:ascii="宋体" w:hAnsi="宋体" w:eastAsia="宋体" w:cs="宋体"/>
          <w:color w:val="auto"/>
          <w:sz w:val="21"/>
          <w:szCs w:val="21"/>
          <w:lang w:val="en-US" w:eastAsia="zh-CN"/>
        </w:rPr>
        <w:t>方面展开</w:t>
      </w:r>
      <w:r>
        <w:rPr>
          <w:rFonts w:hint="eastAsia" w:ascii="宋体" w:hAnsi="宋体" w:cs="宋体"/>
          <w:color w:val="auto"/>
          <w:sz w:val="21"/>
          <w:szCs w:val="21"/>
          <w:lang w:val="en-US" w:eastAsia="zh-CN"/>
        </w:rPr>
        <w:t>。</w:t>
      </w:r>
    </w:p>
    <w:p w14:paraId="76321AE4">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首先，相关实践研究聚焦国际经验引入、本土模式探索两个方面。在国际经验引入方面，</w:t>
      </w:r>
      <w:r>
        <w:rPr>
          <w:rFonts w:hint="eastAsia" w:ascii="宋体" w:hAnsi="宋体" w:eastAsia="宋体" w:cs="宋体"/>
          <w:color w:val="auto"/>
          <w:sz w:val="21"/>
          <w:szCs w:val="21"/>
          <w:lang w:val="en-US" w:eastAsia="zh-CN"/>
        </w:rPr>
        <w:t>美国与欧洲部分国家开展</w:t>
      </w:r>
      <w:r>
        <w:rPr>
          <w:rFonts w:hint="eastAsia" w:ascii="宋体" w:hAnsi="宋体" w:cs="宋体"/>
          <w:color w:val="auto"/>
          <w:sz w:val="21"/>
          <w:szCs w:val="21"/>
          <w:lang w:val="en-US" w:eastAsia="zh-CN"/>
        </w:rPr>
        <w:t>了</w:t>
      </w:r>
      <w:r>
        <w:rPr>
          <w:rFonts w:hint="eastAsia" w:ascii="宋体" w:hAnsi="宋体" w:eastAsia="宋体" w:cs="宋体"/>
          <w:color w:val="auto"/>
          <w:sz w:val="21"/>
          <w:szCs w:val="21"/>
          <w:lang w:val="en-US" w:eastAsia="zh-CN"/>
        </w:rPr>
        <w:t>以学校</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社区</w:t>
      </w:r>
      <w:r>
        <w:rPr>
          <w:rFonts w:hint="eastAsia" w:ascii="宋体" w:hAnsi="宋体" w:cs="宋体"/>
          <w:color w:val="auto"/>
          <w:sz w:val="21"/>
          <w:szCs w:val="21"/>
          <w:lang w:val="en-US" w:eastAsia="zh-CN"/>
        </w:rPr>
        <w:t>和</w:t>
      </w:r>
      <w:r>
        <w:rPr>
          <w:rFonts w:hint="eastAsia" w:ascii="宋体" w:hAnsi="宋体" w:eastAsia="宋体" w:cs="宋体"/>
          <w:color w:val="auto"/>
          <w:sz w:val="21"/>
          <w:szCs w:val="21"/>
          <w:lang w:val="en-US" w:eastAsia="zh-CN"/>
        </w:rPr>
        <w:t>环境三位一体的合作模式，通过将学生直接纳入城市治理、生态服务等实际项目中，提升其生态公民意识与行动能力</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3"/>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4"/>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。韩国与荷兰的相关课程体系则强调服务学习与项目实践的融合，在食品银行、城市绿化等公益行动中培养学生的责任感和协作能力</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5"/>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。在本土探索方面，国外部分地区尝试将社区资源纳入中小学环境教育体系。例如引入公益课程模块，组织学生参与本地环保宣传、校园菜园管理等活动强化其实践技能与社会责任感</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6"/>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7"/>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。一些高校还探索本地居民与国际学生协同参与社区生态设计，以促进学生多元文化背景下的环境行动能力提升</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8"/>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p>
    <w:p w14:paraId="71C2A50E">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0000FF"/>
          <w:sz w:val="21"/>
          <w:szCs w:val="21"/>
          <w:lang w:val="en-US" w:eastAsia="zh-CN"/>
        </w:rPr>
      </w:pPr>
      <w:r>
        <w:rPr>
          <w:rFonts w:hint="eastAsia" w:ascii="宋体" w:hAnsi="宋体" w:cs="宋体"/>
          <w:color w:val="auto"/>
          <w:sz w:val="21"/>
          <w:szCs w:val="21"/>
          <w:lang w:val="en-US" w:eastAsia="zh-CN"/>
        </w:rPr>
        <w:t>其次，当前研究也住处了社区教育的两大核心问题。一是制度衔接不畅导致的短期化。志愿者是社区参与型项目开展的主力，当政府或环境部门部门人力不足时或缺乏的资金支持时，往往难以维持长期的生态文明实践活动</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49"/>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二是文化</w:t>
      </w:r>
      <w:r>
        <w:rPr>
          <w:rFonts w:hint="eastAsia" w:ascii="宋体" w:hAnsi="宋体" w:eastAsia="宋体" w:cs="宋体"/>
          <w:color w:val="auto"/>
          <w:sz w:val="21"/>
          <w:szCs w:val="21"/>
          <w:lang w:val="en-US" w:eastAsia="zh-CN"/>
        </w:rPr>
        <w:t>差异</w:t>
      </w:r>
      <w:r>
        <w:rPr>
          <w:rFonts w:hint="eastAsia" w:ascii="宋体" w:hAnsi="宋体" w:cs="宋体"/>
          <w:color w:val="auto"/>
          <w:sz w:val="21"/>
          <w:szCs w:val="21"/>
          <w:lang w:val="en-US" w:eastAsia="zh-CN"/>
        </w:rPr>
        <w:t>导致的活动开放和适应性受限，即在</w:t>
      </w:r>
      <w:r>
        <w:rPr>
          <w:rFonts w:hint="eastAsia" w:ascii="宋体" w:hAnsi="宋体" w:eastAsia="宋体" w:cs="宋体"/>
          <w:color w:val="auto"/>
          <w:sz w:val="21"/>
          <w:szCs w:val="21"/>
          <w:lang w:val="en-US" w:eastAsia="zh-CN"/>
        </w:rPr>
        <w:t>本地社区项目</w:t>
      </w:r>
      <w:r>
        <w:rPr>
          <w:rFonts w:hint="eastAsia" w:ascii="宋体" w:hAnsi="宋体" w:cs="宋体"/>
          <w:color w:val="auto"/>
          <w:sz w:val="21"/>
          <w:szCs w:val="21"/>
          <w:lang w:val="en-US" w:eastAsia="zh-CN"/>
        </w:rPr>
        <w:t>实施中</w:t>
      </w:r>
      <w:r>
        <w:rPr>
          <w:rFonts w:hint="eastAsia" w:ascii="宋体" w:hAnsi="宋体" w:eastAsia="宋体" w:cs="宋体"/>
          <w:color w:val="auto"/>
          <w:sz w:val="21"/>
          <w:szCs w:val="21"/>
          <w:lang w:val="en-US" w:eastAsia="zh-CN"/>
        </w:rPr>
        <w:t>中因</w:t>
      </w:r>
      <w:r>
        <w:rPr>
          <w:rFonts w:hint="eastAsia" w:ascii="宋体" w:hAnsi="宋体" w:cs="宋体"/>
          <w:color w:val="auto"/>
          <w:sz w:val="21"/>
          <w:szCs w:val="21"/>
          <w:lang w:val="en-US" w:eastAsia="zh-CN"/>
        </w:rPr>
        <w:t>活动实施者与参与者的</w:t>
      </w:r>
      <w:r>
        <w:rPr>
          <w:rFonts w:hint="eastAsia" w:ascii="宋体" w:hAnsi="宋体" w:eastAsia="宋体" w:cs="宋体"/>
          <w:color w:val="auto"/>
          <w:sz w:val="21"/>
          <w:szCs w:val="21"/>
          <w:lang w:val="en-US" w:eastAsia="zh-CN"/>
        </w:rPr>
        <w:t>认知</w:t>
      </w:r>
      <w:r>
        <w:rPr>
          <w:rFonts w:hint="eastAsia" w:ascii="宋体" w:hAnsi="宋体" w:cs="宋体"/>
          <w:color w:val="auto"/>
          <w:sz w:val="21"/>
          <w:szCs w:val="21"/>
          <w:lang w:val="en-US" w:eastAsia="zh-CN"/>
        </w:rPr>
        <w:t>偏差</w:t>
      </w:r>
      <w:r>
        <w:rPr>
          <w:rFonts w:hint="eastAsia" w:ascii="宋体" w:hAnsi="宋体" w:eastAsia="宋体" w:cs="宋体"/>
          <w:color w:val="auto"/>
          <w:sz w:val="21"/>
          <w:szCs w:val="21"/>
          <w:lang w:val="en-US" w:eastAsia="zh-CN"/>
        </w:rPr>
        <w:t>与沟通不畅</w:t>
      </w:r>
      <w:r>
        <w:rPr>
          <w:rFonts w:hint="eastAsia" w:ascii="宋体" w:hAnsi="宋体" w:cs="宋体"/>
          <w:color w:val="auto"/>
          <w:sz w:val="21"/>
          <w:szCs w:val="21"/>
          <w:lang w:val="en-US" w:eastAsia="zh-CN"/>
        </w:rPr>
        <w:t>，导致生态项目未达预期效果。这一困境在人口复杂或国际学生数量较多的社区尤为突出</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0"/>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三是</w:t>
      </w:r>
      <w:r>
        <w:rPr>
          <w:rFonts w:hint="eastAsia" w:ascii="宋体" w:hAnsi="宋体" w:eastAsia="宋体" w:cs="宋体"/>
          <w:color w:val="auto"/>
          <w:sz w:val="21"/>
          <w:szCs w:val="21"/>
          <w:lang w:val="en-US" w:eastAsia="zh-CN"/>
        </w:rPr>
        <w:t>不同社区在资源和知识方面的差异，弱势社区在</w:t>
      </w:r>
      <w:r>
        <w:rPr>
          <w:rFonts w:hint="eastAsia" w:ascii="宋体" w:hAnsi="宋体" w:cs="宋体"/>
          <w:color w:val="auto"/>
          <w:sz w:val="21"/>
          <w:szCs w:val="21"/>
          <w:lang w:val="en-US" w:eastAsia="zh-CN"/>
        </w:rPr>
        <w:t>往往处于</w:t>
      </w:r>
      <w:r>
        <w:rPr>
          <w:rFonts w:hint="eastAsia" w:ascii="宋体" w:hAnsi="宋体" w:eastAsia="宋体" w:cs="宋体"/>
          <w:color w:val="auto"/>
          <w:sz w:val="21"/>
          <w:szCs w:val="21"/>
          <w:lang w:val="en-US" w:eastAsia="zh-CN"/>
        </w:rPr>
        <w:t>于不利地位。为破解这些问题，</w:t>
      </w:r>
      <w:r>
        <w:rPr>
          <w:rFonts w:hint="eastAsia" w:ascii="宋体" w:hAnsi="宋体" w:cs="宋体"/>
          <w:color w:val="auto"/>
          <w:sz w:val="21"/>
          <w:szCs w:val="21"/>
          <w:lang w:val="en-US" w:eastAsia="zh-CN"/>
        </w:rPr>
        <w:t>可以</w:t>
      </w:r>
      <w:r>
        <w:rPr>
          <w:rFonts w:hint="eastAsia" w:ascii="宋体" w:hAnsi="宋体" w:eastAsia="宋体" w:cs="宋体"/>
          <w:color w:val="auto"/>
          <w:sz w:val="21"/>
          <w:szCs w:val="21"/>
          <w:lang w:val="en-US" w:eastAsia="zh-CN"/>
        </w:rPr>
        <w:t>从制度、能力与评估三个维度入手进行优化</w:t>
      </w:r>
      <w:r>
        <w:rPr>
          <w:rFonts w:hint="eastAsia" w:ascii="宋体" w:hAnsi="宋体" w:cs="宋体"/>
          <w:color w:val="auto"/>
          <w:sz w:val="21"/>
          <w:szCs w:val="21"/>
          <w:lang w:val="en-US" w:eastAsia="zh-CN"/>
        </w:rPr>
        <w:t>，比如</w:t>
      </w:r>
      <w:r>
        <w:rPr>
          <w:rFonts w:hint="eastAsia" w:ascii="宋体" w:hAnsi="宋体" w:eastAsia="宋体" w:cs="宋体"/>
          <w:color w:val="auto"/>
          <w:sz w:val="21"/>
          <w:szCs w:val="21"/>
          <w:lang w:val="en-US" w:eastAsia="zh-CN"/>
        </w:rPr>
        <w:t>统一协调社区项目资源，设立社区参与学分认证制度激发学生参与意愿</w:t>
      </w:r>
      <w:r>
        <w:rPr>
          <w:rFonts w:hint="eastAsia" w:ascii="宋体" w:hAnsi="宋体" w:cs="宋体"/>
          <w:color w:val="auto"/>
          <w:sz w:val="21"/>
          <w:szCs w:val="21"/>
          <w:lang w:val="en-US" w:eastAsia="zh-CN"/>
        </w:rPr>
        <w:t>。同时，</w:t>
      </w:r>
      <w:r>
        <w:rPr>
          <w:rFonts w:hint="eastAsia" w:ascii="宋体" w:hAnsi="宋体" w:eastAsia="宋体" w:cs="宋体"/>
          <w:color w:val="auto"/>
          <w:sz w:val="21"/>
          <w:szCs w:val="21"/>
          <w:lang w:val="en-US" w:eastAsia="zh-CN"/>
        </w:rPr>
        <w:t>可借助虚拟社区平台为学生提供跨文化沟通与环境应变能力</w:t>
      </w:r>
      <w:r>
        <w:rPr>
          <w:rFonts w:hint="eastAsia" w:ascii="宋体" w:hAnsi="宋体" w:cs="宋体"/>
          <w:color w:val="auto"/>
          <w:sz w:val="21"/>
          <w:szCs w:val="21"/>
          <w:lang w:val="en-US" w:eastAsia="zh-CN"/>
        </w:rPr>
        <w:t>的</w:t>
      </w:r>
      <w:r>
        <w:rPr>
          <w:rFonts w:hint="eastAsia" w:ascii="宋体" w:hAnsi="宋体" w:eastAsia="宋体" w:cs="宋体"/>
          <w:color w:val="auto"/>
          <w:sz w:val="21"/>
          <w:szCs w:val="21"/>
          <w:lang w:val="en-US" w:eastAsia="zh-CN"/>
        </w:rPr>
        <w:t>在线训练</w:t>
      </w:r>
      <w:r>
        <w:rPr>
          <w:rFonts w:hint="eastAsia" w:ascii="宋体" w:hAnsi="宋体" w:cs="宋体"/>
          <w:color w:val="auto"/>
          <w:sz w:val="21"/>
          <w:szCs w:val="21"/>
          <w:lang w:val="en-US" w:eastAsia="zh-CN"/>
        </w:rPr>
        <w:t>等</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1"/>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w:t>
      </w:r>
    </w:p>
    <w:p w14:paraId="4D5A925F">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outlineLvl w:val="2"/>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5 绿色发展</w:t>
      </w:r>
    </w:p>
    <w:p w14:paraId="7F92AE38">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cs="宋体"/>
          <w:color w:val="auto"/>
          <w:sz w:val="21"/>
          <w:szCs w:val="21"/>
          <w:lang w:val="en-US" w:eastAsia="zh-CN"/>
        </w:rPr>
      </w:pPr>
      <w:r>
        <w:rPr>
          <w:rFonts w:hint="eastAsia" w:ascii="宋体" w:hAnsi="宋体" w:eastAsia="宋体" w:cs="宋体"/>
          <w:color w:val="auto"/>
          <w:sz w:val="21"/>
          <w:szCs w:val="21"/>
          <w:lang w:val="en-US" w:eastAsia="zh-CN"/>
        </w:rPr>
        <w:t>传统经济增长模式是全球自然丧失的主要驱动力之一</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2"/>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联合国</w:t>
      </w:r>
      <w:r>
        <w:rPr>
          <w:rFonts w:hint="eastAsia" w:ascii="宋体" w:hAnsi="宋体" w:cs="宋体"/>
          <w:color w:val="auto"/>
          <w:sz w:val="21"/>
          <w:szCs w:val="21"/>
          <w:lang w:val="en-US" w:eastAsia="zh-CN"/>
        </w:rPr>
        <w:t>在</w:t>
      </w:r>
      <w:r>
        <w:rPr>
          <w:rFonts w:hint="eastAsia" w:ascii="宋体" w:hAnsi="宋体" w:eastAsia="宋体" w:cs="宋体"/>
          <w:color w:val="auto"/>
          <w:sz w:val="21"/>
          <w:szCs w:val="21"/>
          <w:lang w:val="en-US" w:eastAsia="zh-CN"/>
        </w:rPr>
        <w:t>可持续发展教育框架</w:t>
      </w:r>
      <w:r>
        <w:rPr>
          <w:rFonts w:hint="eastAsia" w:ascii="宋体" w:hAnsi="宋体" w:cs="宋体"/>
          <w:color w:val="auto"/>
          <w:sz w:val="21"/>
          <w:szCs w:val="21"/>
          <w:lang w:val="en-US" w:eastAsia="zh-CN"/>
        </w:rPr>
        <w:t>中希望将</w:t>
      </w:r>
      <w:r>
        <w:rPr>
          <w:rFonts w:hint="eastAsia" w:ascii="宋体" w:hAnsi="宋体" w:eastAsia="宋体" w:cs="宋体"/>
          <w:color w:val="auto"/>
          <w:sz w:val="21"/>
          <w:szCs w:val="21"/>
          <w:lang w:val="en-US" w:eastAsia="zh-CN"/>
        </w:rPr>
        <w:t>经济、社会、环境视为不可分割的整体，倡导通过教育促进环境可持续、经济可行和社会包容的未来</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3"/>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。在</w:t>
      </w:r>
      <w:r>
        <w:rPr>
          <w:rFonts w:hint="eastAsia" w:ascii="宋体" w:hAnsi="宋体" w:eastAsia="宋体" w:cs="宋体"/>
          <w:color w:val="auto"/>
          <w:sz w:val="21"/>
          <w:szCs w:val="21"/>
          <w:lang w:val="en-US" w:eastAsia="zh-CN"/>
        </w:rPr>
        <w:t>生态文明教育中</w:t>
      </w:r>
      <w:r>
        <w:rPr>
          <w:rFonts w:hint="eastAsia" w:ascii="宋体" w:hAnsi="宋体" w:cs="宋体"/>
          <w:color w:val="auto"/>
          <w:sz w:val="21"/>
          <w:szCs w:val="21"/>
          <w:lang w:val="en-US" w:eastAsia="zh-CN"/>
        </w:rPr>
        <w:t>，绿色发展</w:t>
      </w:r>
      <w:r>
        <w:rPr>
          <w:rFonts w:hint="eastAsia" w:ascii="宋体" w:hAnsi="宋体" w:eastAsia="宋体" w:cs="宋体"/>
          <w:color w:val="auto"/>
          <w:sz w:val="21"/>
          <w:szCs w:val="21"/>
          <w:lang w:val="en-US" w:eastAsia="zh-CN"/>
        </w:rPr>
        <w:t>关注经济活动与环境系统的互动关系，以及教育如何引导公众树立可持续的发展观。</w:t>
      </w:r>
      <w:r>
        <w:rPr>
          <w:rFonts w:hint="eastAsia" w:ascii="宋体" w:hAnsi="宋体" w:cs="宋体"/>
          <w:color w:val="auto"/>
          <w:sz w:val="21"/>
          <w:szCs w:val="21"/>
          <w:lang w:val="en-US" w:eastAsia="zh-CN"/>
        </w:rPr>
        <w:t>绿色经济、循环经济等概念逐渐融入在教育领域中。但正如科斯塔（Kosta）等人指出，可持续发展理念在基础教育中仍明显缺位</w:t>
      </w:r>
      <w:r>
        <w:rPr>
          <w:rStyle w:val="14"/>
          <w:rFonts w:hint="eastAsia" w:ascii="宋体" w:hAnsi="宋体" w:cs="宋体"/>
          <w:color w:val="auto"/>
          <w:sz w:val="21"/>
          <w:szCs w:val="21"/>
          <w:lang w:val="en-US" w:eastAsia="zh-CN"/>
        </w:rPr>
        <w:t>[</w:t>
      </w:r>
      <w:r>
        <w:rPr>
          <w:rStyle w:val="14"/>
          <w:rFonts w:hint="eastAsia" w:ascii="宋体" w:hAnsi="宋体" w:cs="宋体"/>
          <w:color w:val="auto"/>
          <w:sz w:val="21"/>
          <w:szCs w:val="21"/>
          <w:lang w:val="en-US" w:eastAsia="zh-CN"/>
        </w:rPr>
        <w:endnoteReference w:id="54"/>
      </w:r>
      <w:r>
        <w:rPr>
          <w:rStyle w:val="14"/>
          <w:rFonts w:hint="eastAsia" w:ascii="宋体" w:hAnsi="宋体" w:cs="宋体"/>
          <w:color w:val="auto"/>
          <w:sz w:val="21"/>
          <w:szCs w:val="21"/>
          <w:lang w:val="en-US" w:eastAsia="zh-CN"/>
        </w:rPr>
        <w:t>]</w:t>
      </w:r>
      <w:r>
        <w:rPr>
          <w:rFonts w:hint="eastAsia" w:ascii="宋体" w:hAnsi="宋体" w:cs="宋体"/>
          <w:color w:val="auto"/>
          <w:sz w:val="21"/>
          <w:szCs w:val="21"/>
          <w:lang w:val="en-US" w:eastAsia="zh-CN"/>
        </w:rPr>
        <w:t>。</w:t>
      </w:r>
    </w:p>
    <w:p w14:paraId="0EAA119E">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绿色发展在</w:t>
      </w:r>
      <w:r>
        <w:rPr>
          <w:rFonts w:hint="eastAsia" w:ascii="宋体" w:hAnsi="宋体" w:eastAsia="宋体" w:cs="宋体"/>
          <w:color w:val="auto"/>
          <w:sz w:val="21"/>
          <w:szCs w:val="21"/>
          <w:lang w:val="en-US" w:eastAsia="zh-CN"/>
        </w:rPr>
        <w:t>教育体系中</w:t>
      </w:r>
      <w:r>
        <w:rPr>
          <w:rFonts w:hint="eastAsia" w:ascii="宋体" w:hAnsi="宋体" w:cs="宋体"/>
          <w:color w:val="auto"/>
          <w:sz w:val="21"/>
          <w:szCs w:val="21"/>
          <w:lang w:val="en-US" w:eastAsia="zh-CN"/>
        </w:rPr>
        <w:t>面临与其他生态文明议题课程相似的问题，如</w:t>
      </w:r>
      <w:r>
        <w:rPr>
          <w:rFonts w:hint="eastAsia" w:ascii="宋体" w:hAnsi="宋体" w:eastAsia="宋体" w:cs="宋体"/>
          <w:color w:val="auto"/>
          <w:sz w:val="21"/>
          <w:szCs w:val="21"/>
          <w:lang w:val="en-US" w:eastAsia="zh-CN"/>
        </w:rPr>
        <w:t>课程内容</w:t>
      </w:r>
      <w:r>
        <w:rPr>
          <w:rFonts w:hint="eastAsia" w:ascii="宋体" w:hAnsi="宋体" w:cs="宋体"/>
          <w:color w:val="auto"/>
          <w:sz w:val="21"/>
          <w:szCs w:val="21"/>
          <w:lang w:val="en-US" w:eastAsia="zh-CN"/>
        </w:rPr>
        <w:t>较为分散、</w:t>
      </w:r>
      <w:r>
        <w:rPr>
          <w:rFonts w:hint="eastAsia" w:ascii="宋体" w:hAnsi="宋体" w:eastAsia="宋体" w:cs="宋体"/>
          <w:color w:val="auto"/>
          <w:sz w:val="21"/>
          <w:szCs w:val="21"/>
          <w:lang w:val="en-US" w:eastAsia="zh-CN"/>
        </w:rPr>
        <w:t>实践制度不健全</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t>知识</w:t>
      </w:r>
      <w:r>
        <w:rPr>
          <w:rFonts w:hint="eastAsia" w:ascii="宋体" w:hAnsi="宋体" w:cs="宋体"/>
          <w:color w:val="auto"/>
          <w:sz w:val="21"/>
          <w:szCs w:val="21"/>
          <w:lang w:val="en-US" w:eastAsia="zh-CN"/>
        </w:rPr>
        <w:t>与</w:t>
      </w:r>
      <w:r>
        <w:rPr>
          <w:rFonts w:hint="eastAsia" w:ascii="宋体" w:hAnsi="宋体" w:eastAsia="宋体" w:cs="宋体"/>
          <w:color w:val="auto"/>
          <w:sz w:val="21"/>
          <w:szCs w:val="21"/>
          <w:lang w:val="en-US" w:eastAsia="zh-CN"/>
        </w:rPr>
        <w:t>制度文化脱节</w:t>
      </w:r>
      <w:r>
        <w:rPr>
          <w:rFonts w:hint="eastAsia" w:ascii="宋体" w:hAnsi="宋体" w:cs="宋体"/>
          <w:color w:val="auto"/>
          <w:sz w:val="21"/>
          <w:szCs w:val="21"/>
          <w:lang w:val="en-US" w:eastAsia="zh-CN"/>
        </w:rPr>
        <w:t>等</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对于绿色发展来说，最为突出的问题在于，第一，</w:t>
      </w:r>
      <w:r>
        <w:rPr>
          <w:rFonts w:hint="eastAsia" w:ascii="宋体" w:hAnsi="宋体" w:eastAsia="宋体" w:cs="宋体"/>
          <w:color w:val="auto"/>
          <w:sz w:val="21"/>
          <w:szCs w:val="21"/>
          <w:lang w:val="en-US" w:eastAsia="zh-CN"/>
        </w:rPr>
        <w:t>课程知识之间缺乏必要的逻辑衔接</w:t>
      </w:r>
      <w:r>
        <w:rPr>
          <w:rFonts w:hint="eastAsia" w:ascii="宋体" w:hAnsi="宋体" w:cs="宋体"/>
          <w:color w:val="auto"/>
          <w:sz w:val="21"/>
          <w:szCs w:val="21"/>
          <w:lang w:val="en-US" w:eastAsia="zh-CN"/>
        </w:rPr>
        <w:t>。例如</w:t>
      </w:r>
      <w:r>
        <w:rPr>
          <w:rFonts w:hint="eastAsia" w:ascii="宋体" w:hAnsi="宋体" w:eastAsia="宋体" w:cs="宋体"/>
          <w:color w:val="auto"/>
          <w:sz w:val="21"/>
          <w:szCs w:val="21"/>
          <w:lang w:val="en-US" w:eastAsia="zh-CN"/>
        </w:rPr>
        <w:t>学生</w:t>
      </w:r>
      <w:r>
        <w:rPr>
          <w:rFonts w:hint="eastAsia" w:ascii="宋体" w:hAnsi="宋体" w:cs="宋体"/>
          <w:color w:val="auto"/>
          <w:sz w:val="21"/>
          <w:szCs w:val="21"/>
          <w:lang w:val="en-US" w:eastAsia="zh-CN"/>
        </w:rPr>
        <w:t>只能较为浅显地理解</w:t>
      </w:r>
      <w:r>
        <w:rPr>
          <w:rFonts w:hint="eastAsia" w:ascii="宋体" w:hAnsi="宋体" w:eastAsia="宋体" w:cs="宋体"/>
          <w:color w:val="auto"/>
          <w:sz w:val="21"/>
          <w:szCs w:val="21"/>
          <w:lang w:val="en-US" w:eastAsia="zh-CN"/>
        </w:rPr>
        <w:t>绿色金融与环境伦理的关系</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5"/>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。第二，教育评价上</w:t>
      </w:r>
      <w:r>
        <w:rPr>
          <w:rFonts w:hint="eastAsia" w:ascii="宋体" w:hAnsi="宋体" w:eastAsia="宋体" w:cs="宋体"/>
          <w:color w:val="auto"/>
          <w:sz w:val="21"/>
          <w:szCs w:val="21"/>
          <w:lang w:val="en-US" w:eastAsia="zh-CN"/>
        </w:rPr>
        <w:t>缺少科学评估机制</w:t>
      </w:r>
      <w:r>
        <w:rPr>
          <w:rFonts w:hint="eastAsia" w:ascii="宋体" w:hAnsi="宋体" w:cs="宋体"/>
          <w:color w:val="auto"/>
          <w:sz w:val="21"/>
          <w:szCs w:val="21"/>
          <w:lang w:val="en-US" w:eastAsia="zh-CN"/>
        </w:rPr>
        <w:t>，不少“绿色校园”</w:t>
      </w:r>
      <w:r>
        <w:rPr>
          <w:rFonts w:hint="eastAsia" w:ascii="宋体" w:hAnsi="宋体" w:eastAsia="宋体" w:cs="宋体"/>
          <w:color w:val="auto"/>
          <w:sz w:val="21"/>
          <w:szCs w:val="21"/>
          <w:lang w:val="en-US" w:eastAsia="zh-CN"/>
        </w:rPr>
        <w:t>沦</w:t>
      </w:r>
      <w:r>
        <w:rPr>
          <w:rFonts w:hint="eastAsia" w:ascii="宋体" w:hAnsi="宋体" w:cs="宋体"/>
          <w:color w:val="auto"/>
          <w:sz w:val="21"/>
          <w:szCs w:val="21"/>
          <w:lang w:val="en-US" w:eastAsia="zh-CN"/>
        </w:rPr>
        <w:t>因此</w:t>
      </w:r>
      <w:r>
        <w:rPr>
          <w:rFonts w:hint="eastAsia" w:ascii="宋体" w:hAnsi="宋体" w:eastAsia="宋体" w:cs="宋体"/>
          <w:color w:val="auto"/>
          <w:sz w:val="21"/>
          <w:szCs w:val="21"/>
          <w:lang w:val="en-US" w:eastAsia="zh-CN"/>
        </w:rPr>
        <w:t>表面工程</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6"/>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第三，理论与实践</w:t>
      </w:r>
      <w:r>
        <w:rPr>
          <w:rFonts w:hint="eastAsia" w:ascii="宋体" w:hAnsi="宋体" w:eastAsia="宋体" w:cs="宋体"/>
          <w:color w:val="auto"/>
          <w:sz w:val="21"/>
          <w:szCs w:val="21"/>
          <w:lang w:val="en-US" w:eastAsia="zh-CN"/>
        </w:rPr>
        <w:t>缺失“南方视角”</w:t>
      </w:r>
      <w:r>
        <w:rPr>
          <w:rFonts w:hint="eastAsia" w:ascii="宋体" w:hAnsi="宋体" w:cs="宋体"/>
          <w:color w:val="auto"/>
          <w:sz w:val="21"/>
          <w:szCs w:val="21"/>
          <w:lang w:val="en-US" w:eastAsia="zh-CN"/>
        </w:rPr>
        <w:t>，即西</w:t>
      </w:r>
      <w:r>
        <w:rPr>
          <w:rFonts w:hint="eastAsia" w:ascii="宋体" w:hAnsi="宋体" w:eastAsia="宋体" w:cs="宋体"/>
          <w:color w:val="auto"/>
          <w:sz w:val="21"/>
          <w:szCs w:val="21"/>
          <w:lang w:val="en-US" w:eastAsia="zh-CN"/>
        </w:rPr>
        <w:t>方国家</w:t>
      </w:r>
      <w:r>
        <w:rPr>
          <w:rFonts w:hint="eastAsia" w:ascii="宋体" w:hAnsi="宋体" w:cs="宋体"/>
          <w:color w:val="auto"/>
          <w:sz w:val="21"/>
          <w:szCs w:val="21"/>
          <w:lang w:val="en-US" w:eastAsia="zh-CN"/>
        </w:rPr>
        <w:t>对于</w:t>
      </w:r>
      <w:r>
        <w:rPr>
          <w:rFonts w:hint="eastAsia" w:ascii="宋体" w:hAnsi="宋体" w:eastAsia="宋体" w:cs="宋体"/>
          <w:color w:val="auto"/>
          <w:sz w:val="21"/>
          <w:szCs w:val="21"/>
          <w:lang w:val="en-US" w:eastAsia="zh-CN"/>
        </w:rPr>
        <w:t>绿色教育</w:t>
      </w:r>
      <w:r>
        <w:rPr>
          <w:rFonts w:hint="eastAsia" w:ascii="宋体" w:hAnsi="宋体" w:cs="宋体"/>
          <w:color w:val="auto"/>
          <w:sz w:val="21"/>
          <w:szCs w:val="21"/>
          <w:lang w:val="en-US" w:eastAsia="zh-CN"/>
        </w:rPr>
        <w:t>相关话语体系构建的霸</w:t>
      </w:r>
      <w:r>
        <w:rPr>
          <w:rFonts w:hint="eastAsia" w:ascii="宋体" w:hAnsi="宋体" w:eastAsia="宋体" w:cs="宋体"/>
          <w:color w:val="auto"/>
          <w:sz w:val="21"/>
          <w:szCs w:val="21"/>
          <w:lang w:val="en-US" w:eastAsia="zh-CN"/>
        </w:rPr>
        <w:t>权</w:t>
      </w:r>
      <w:r>
        <w:rPr>
          <w:rFonts w:hint="eastAsia" w:ascii="宋体" w:hAnsi="宋体" w:cs="宋体"/>
          <w:color w:val="auto"/>
          <w:sz w:val="21"/>
          <w:szCs w:val="21"/>
          <w:lang w:val="en-US" w:eastAsia="zh-CN"/>
        </w:rPr>
        <w:t>主义倾向，以及对世界欠发达地区和人民，如</w:t>
      </w:r>
      <w:r>
        <w:rPr>
          <w:rFonts w:hint="eastAsia" w:ascii="宋体" w:hAnsi="宋体" w:eastAsia="宋体" w:cs="宋体"/>
          <w:color w:val="auto"/>
          <w:sz w:val="21"/>
          <w:szCs w:val="21"/>
          <w:lang w:val="en-US" w:eastAsia="zh-CN"/>
        </w:rPr>
        <w:t>热带雨林地区原住民的生态知识</w:t>
      </w:r>
      <w:r>
        <w:rPr>
          <w:rFonts w:hint="eastAsia" w:ascii="宋体" w:hAnsi="宋体" w:cs="宋体"/>
          <w:color w:val="auto"/>
          <w:sz w:val="21"/>
          <w:szCs w:val="21"/>
          <w:lang w:val="en-US" w:eastAsia="zh-CN"/>
        </w:rPr>
        <w:t>等的忽视与漠然</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7"/>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w:t>
      </w:r>
    </w:p>
    <w:p w14:paraId="6E0574ED">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0000FF"/>
          <w:sz w:val="21"/>
          <w:szCs w:val="21"/>
          <w:lang w:val="en-US" w:eastAsia="zh-CN"/>
        </w:rPr>
      </w:pPr>
      <w:r>
        <w:rPr>
          <w:rFonts w:hint="eastAsia" w:ascii="宋体" w:hAnsi="宋体" w:cs="宋体"/>
          <w:color w:val="auto"/>
          <w:sz w:val="21"/>
          <w:szCs w:val="21"/>
          <w:lang w:val="en-US" w:eastAsia="zh-CN"/>
        </w:rPr>
        <w:t>在此基础上，绿色发展教育应采取融合“课程内容—实践场域建设—文化多元接入”的三位一体策略。首先，可以从借助马斯洛（Abraham Maslow）的需求层次理论，可以将绿色发展教育的价值层次划分为，环境认知满足“安全”与“归属”需要、系统能力建构回应“自尊”发展，而生态批判力的提升则对应“自我实现”需求。其次，应注重</w:t>
      </w:r>
      <w:r>
        <w:rPr>
          <w:rFonts w:hint="eastAsia" w:ascii="宋体" w:hAnsi="宋体" w:eastAsia="宋体" w:cs="宋体"/>
          <w:color w:val="auto"/>
          <w:sz w:val="21"/>
          <w:szCs w:val="21"/>
          <w:lang w:val="en-US" w:eastAsia="zh-CN"/>
        </w:rPr>
        <w:t>通过开发数字校园系统，将碳足迹监测、能耗审计等绿色管理内容可视化，转化为日常学习场景</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8"/>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。同时</w:t>
      </w:r>
      <w:r>
        <w:rPr>
          <w:rFonts w:hint="eastAsia" w:ascii="宋体" w:hAnsi="宋体" w:eastAsia="宋体" w:cs="宋体"/>
          <w:color w:val="auto"/>
          <w:sz w:val="21"/>
          <w:szCs w:val="21"/>
          <w:lang w:val="en-US" w:eastAsia="zh-CN"/>
        </w:rPr>
        <w:t>在制度层面构建绿色素养成长评价体系，</w:t>
      </w:r>
      <w:r>
        <w:rPr>
          <w:rFonts w:hint="eastAsia" w:ascii="宋体" w:hAnsi="宋体" w:cs="宋体"/>
          <w:color w:val="auto"/>
          <w:sz w:val="21"/>
          <w:szCs w:val="21"/>
          <w:lang w:val="en-US" w:eastAsia="zh-CN"/>
        </w:rPr>
        <w:t>例如</w:t>
      </w:r>
      <w:r>
        <w:rPr>
          <w:rFonts w:hint="eastAsia" w:ascii="宋体" w:hAnsi="宋体" w:eastAsia="宋体" w:cs="宋体"/>
          <w:color w:val="auto"/>
          <w:sz w:val="21"/>
          <w:szCs w:val="21"/>
          <w:lang w:val="en-US" w:eastAsia="zh-CN"/>
        </w:rPr>
        <w:t>引入区块链技术记录学生从知识认知到行动参与的全过程</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59"/>
      </w:r>
      <w:r>
        <w:rPr>
          <w:rStyle w:val="14"/>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。此外，针对</w:t>
      </w:r>
      <w:r>
        <w:rPr>
          <w:rFonts w:hint="eastAsia" w:ascii="宋体" w:hAnsi="宋体" w:eastAsia="宋体" w:cs="宋体"/>
          <w:color w:val="auto"/>
          <w:sz w:val="21"/>
          <w:szCs w:val="21"/>
          <w:lang w:val="en-US" w:eastAsia="zh-CN"/>
        </w:rPr>
        <w:t>文化</w:t>
      </w:r>
      <w:r>
        <w:rPr>
          <w:rFonts w:hint="eastAsia" w:ascii="宋体" w:hAnsi="宋体" w:cs="宋体"/>
          <w:color w:val="auto"/>
          <w:sz w:val="21"/>
          <w:szCs w:val="21"/>
          <w:lang w:val="en-US" w:eastAsia="zh-CN"/>
        </w:rPr>
        <w:t>视角缺失的问题</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应</w:t>
      </w:r>
      <w:r>
        <w:rPr>
          <w:rFonts w:hint="eastAsia" w:ascii="宋体" w:hAnsi="宋体" w:eastAsia="宋体" w:cs="宋体"/>
          <w:color w:val="auto"/>
          <w:sz w:val="21"/>
          <w:szCs w:val="21"/>
          <w:lang w:val="en-US" w:eastAsia="zh-CN"/>
        </w:rPr>
        <w:t>引入</w:t>
      </w:r>
      <w:r>
        <w:rPr>
          <w:rFonts w:hint="eastAsia" w:ascii="宋体" w:hAnsi="宋体" w:cs="宋体"/>
          <w:color w:val="auto"/>
          <w:sz w:val="21"/>
          <w:szCs w:val="21"/>
          <w:lang w:val="en-US" w:eastAsia="zh-CN"/>
        </w:rPr>
        <w:t>多元化</w:t>
      </w:r>
      <w:r>
        <w:rPr>
          <w:rFonts w:hint="eastAsia" w:ascii="宋体" w:hAnsi="宋体" w:eastAsia="宋体" w:cs="宋体"/>
          <w:color w:val="auto"/>
          <w:sz w:val="21"/>
          <w:szCs w:val="21"/>
          <w:lang w:val="en-US" w:eastAsia="zh-CN"/>
        </w:rPr>
        <w:t>视角，拓展学生对全球绿色多样性的理解</w:t>
      </w:r>
      <w:r>
        <w:rPr>
          <w:rStyle w:val="14"/>
          <w:rFonts w:hint="eastAsia" w:ascii="宋体" w:hAnsi="宋体" w:eastAsia="宋体" w:cs="宋体"/>
          <w:color w:val="auto"/>
          <w:sz w:val="21"/>
          <w:szCs w:val="21"/>
          <w:lang w:val="en-US" w:eastAsia="zh-CN"/>
        </w:rPr>
        <w:t>[</w:t>
      </w:r>
      <w:r>
        <w:rPr>
          <w:rStyle w:val="14"/>
          <w:rFonts w:hint="eastAsia" w:ascii="宋体" w:hAnsi="宋体" w:eastAsia="宋体" w:cs="宋体"/>
          <w:color w:val="auto"/>
          <w:sz w:val="21"/>
          <w:szCs w:val="21"/>
          <w:lang w:val="en-US" w:eastAsia="zh-CN"/>
        </w:rPr>
        <w:endnoteReference w:id="60"/>
      </w:r>
      <w:r>
        <w:rPr>
          <w:rStyle w:val="14"/>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p>
    <w:p w14:paraId="60A5CC03">
      <w:pPr>
        <w:keepNext w:val="0"/>
        <w:keepLines w:val="0"/>
        <w:pageBreakBefore w:val="0"/>
        <w:widowControl/>
        <w:numPr>
          <w:ilvl w:val="0"/>
          <w:numId w:val="0"/>
        </w:numPr>
        <w:kinsoku/>
        <w:wordWrap/>
        <w:overflowPunct/>
        <w:topLinePunct w:val="0"/>
        <w:autoSpaceDE/>
        <w:autoSpaceDN/>
        <w:bidi w:val="0"/>
        <w:adjustRightInd/>
        <w:snapToGrid/>
        <w:spacing w:before="157" w:beforeLines="50" w:after="157" w:afterLines="50"/>
        <w:ind w:left="0" w:leftChars="0" w:firstLine="420" w:firstLineChars="200"/>
        <w:textAlignment w:val="auto"/>
        <w:outlineLvl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四、研究结论</w:t>
      </w:r>
    </w:p>
    <w:p w14:paraId="67D8502E">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eastAsia" w:ascii="宋体" w:hAnsi="宋体" w:cs="宋体"/>
          <w:sz w:val="21"/>
          <w:szCs w:val="21"/>
          <w:lang w:val="en-US" w:eastAsia="zh-CN"/>
        </w:rPr>
      </w:pPr>
      <w:r>
        <w:rPr>
          <w:rFonts w:hint="eastAsia" w:ascii="宋体" w:hAnsi="宋体" w:cs="宋体"/>
          <w:sz w:val="21"/>
          <w:szCs w:val="21"/>
          <w:lang w:val="en-US" w:eastAsia="zh-CN"/>
        </w:rPr>
        <w:t>综上，生态文明教育研究在全球背景与本土实践的互动中不断演进，呈现出主题拓展、路径多元与实践深化的整体趋势。</w:t>
      </w:r>
    </w:p>
    <w:p w14:paraId="5B56896F">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首先，</w:t>
      </w:r>
      <w:r>
        <w:rPr>
          <w:rFonts w:hint="default" w:ascii="宋体" w:hAnsi="宋体" w:eastAsia="宋体" w:cs="宋体"/>
          <w:sz w:val="21"/>
          <w:szCs w:val="21"/>
          <w:lang w:val="en-US" w:eastAsia="zh-CN"/>
        </w:rPr>
        <w:t>生态文明教育研究在不同时间段呈现出主题</w:t>
      </w:r>
      <w:r>
        <w:rPr>
          <w:rFonts w:hint="eastAsia" w:ascii="宋体" w:hAnsi="宋体" w:cs="宋体"/>
          <w:sz w:val="21"/>
          <w:szCs w:val="21"/>
          <w:lang w:val="en-US" w:eastAsia="zh-CN"/>
        </w:rPr>
        <w:t>拓展的</w:t>
      </w:r>
      <w:r>
        <w:rPr>
          <w:rFonts w:hint="default" w:ascii="宋体" w:hAnsi="宋体" w:eastAsia="宋体" w:cs="宋体"/>
          <w:sz w:val="21"/>
          <w:szCs w:val="21"/>
          <w:lang w:val="en-US" w:eastAsia="zh-CN"/>
        </w:rPr>
        <w:t>趋势</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2011–2018年关注较集中，聚焦气候变化、可持续发展等基础议题；2019–2021年逐步扩展至高校教育、城市保护与科学教育；2022–2024年则迅速拓展至数字技术、绿色创新等前沿主题，反映研究紧跟社会发展与技术演进。</w:t>
      </w:r>
    </w:p>
    <w:p w14:paraId="11FA5429">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其次，</w:t>
      </w:r>
      <w:r>
        <w:rPr>
          <w:rFonts w:hint="default" w:ascii="宋体" w:hAnsi="宋体" w:eastAsia="宋体" w:cs="宋体"/>
          <w:sz w:val="21"/>
          <w:szCs w:val="21"/>
          <w:lang w:val="en-US" w:eastAsia="zh-CN"/>
        </w:rPr>
        <w:t>生态文明教育研究经历了从基础议题到实践拓展，再到多元融合的发展过程。早期聚焦社会福祉、水资源等基本问题，中期转向高校可持续发展、社区参与等教育实践，近年来则融合数字技术、绿色创新等新兴议题，呈现多样化趋势。内部演化体现出系统性与多维拓展，研究围绕社会福祉、学习行为、可持续发展形成稳定网络，并向学科教育和素养培养延伸。传统议题在新技术带动下焕发活力，形成核心稳定、边缘扩展的格局，其中高校可持续发展等主题起到承接作用。外部演化表现在理念落地实践、教育模式数字化、学科交叉融合等方面。研究逐渐关注废弃物管理、绿色创业等具体议题，推动生态教育与绿色经济联动，呈现出从教育走向社会治理的新趋势。</w:t>
      </w:r>
    </w:p>
    <w:p w14:paraId="3F483DA7">
      <w:pPr>
        <w:keepNext w:val="0"/>
        <w:keepLines w:val="0"/>
        <w:pageBreakBefore w:val="0"/>
        <w:widowControl/>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最后，</w:t>
      </w:r>
      <w:r>
        <w:rPr>
          <w:rFonts w:hint="default" w:ascii="宋体" w:hAnsi="宋体" w:eastAsia="宋体" w:cs="宋体"/>
          <w:sz w:val="21"/>
          <w:szCs w:val="21"/>
          <w:lang w:val="en-US" w:eastAsia="zh-CN"/>
        </w:rPr>
        <w:t>热点主题分析显示，气候变化、绿色发展、生物多样性保护、可持续消费、社区参与是生态文明教育领域的重要研究方向</w:t>
      </w:r>
      <w:r>
        <w:rPr>
          <w:rFonts w:hint="eastAsia" w:ascii="宋体" w:hAnsi="宋体" w:cs="宋体"/>
          <w:sz w:val="21"/>
          <w:szCs w:val="21"/>
          <w:lang w:val="en-US" w:eastAsia="zh-CN"/>
        </w:rPr>
        <w:t>，</w:t>
      </w:r>
      <w:r>
        <w:rPr>
          <w:rFonts w:hint="default" w:ascii="宋体" w:hAnsi="宋体" w:eastAsia="宋体" w:cs="宋体"/>
          <w:sz w:val="21"/>
          <w:szCs w:val="21"/>
          <w:lang w:val="en-US" w:eastAsia="zh-CN"/>
        </w:rPr>
        <w:t>其中，气候变化教育作为核心议题，强调提升公众气候意识与行动力，倡导跨学科、行动导向教学</w:t>
      </w:r>
      <w:r>
        <w:rPr>
          <w:rFonts w:hint="eastAsia" w:ascii="宋体" w:hAnsi="宋体" w:cs="宋体"/>
          <w:sz w:val="21"/>
          <w:szCs w:val="21"/>
          <w:lang w:val="en-US" w:eastAsia="zh-CN"/>
        </w:rPr>
        <w:t>；</w:t>
      </w:r>
      <w:r>
        <w:rPr>
          <w:rFonts w:hint="default" w:ascii="宋体" w:hAnsi="宋体" w:eastAsia="宋体" w:cs="宋体"/>
          <w:sz w:val="21"/>
          <w:szCs w:val="21"/>
          <w:lang w:val="en-US" w:eastAsia="zh-CN"/>
        </w:rPr>
        <w:t>食物浪费与可持续消费教育聚焦公众节约与绿色行为转化，生物多样性教育突出跨学科融合与体验式教学，倡导尊重自然与理解生态系统服务</w:t>
      </w:r>
      <w:r>
        <w:rPr>
          <w:rFonts w:hint="eastAsia" w:ascii="宋体" w:hAnsi="宋体" w:cs="宋体"/>
          <w:sz w:val="21"/>
          <w:szCs w:val="21"/>
          <w:lang w:val="en-US" w:eastAsia="zh-CN"/>
        </w:rPr>
        <w:t>；</w:t>
      </w:r>
      <w:r>
        <w:rPr>
          <w:rFonts w:hint="default" w:ascii="宋体" w:hAnsi="宋体" w:eastAsia="宋体" w:cs="宋体"/>
          <w:sz w:val="21"/>
          <w:szCs w:val="21"/>
          <w:lang w:val="en-US" w:eastAsia="zh-CN"/>
        </w:rPr>
        <w:t>社区参与型教育通过在地协作增强生态公民意识</w:t>
      </w:r>
      <w:r>
        <w:rPr>
          <w:rFonts w:hint="eastAsia" w:ascii="宋体" w:hAnsi="宋体" w:cs="宋体"/>
          <w:sz w:val="21"/>
          <w:szCs w:val="21"/>
          <w:lang w:val="en-US" w:eastAsia="zh-CN"/>
        </w:rPr>
        <w:t>；</w:t>
      </w:r>
      <w:r>
        <w:rPr>
          <w:rFonts w:hint="default" w:ascii="宋体" w:hAnsi="宋体" w:eastAsia="宋体" w:cs="宋体"/>
          <w:sz w:val="21"/>
          <w:szCs w:val="21"/>
          <w:lang w:val="en-US" w:eastAsia="zh-CN"/>
        </w:rPr>
        <w:t>绿色发展教育致力于引导公众树立生态与经济协同发展的理念。尽管在不同</w:t>
      </w:r>
      <w:r>
        <w:rPr>
          <w:rFonts w:hint="eastAsia" w:ascii="宋体" w:hAnsi="宋体" w:cs="宋体"/>
          <w:sz w:val="21"/>
          <w:szCs w:val="21"/>
          <w:lang w:val="en-US" w:eastAsia="zh-CN"/>
        </w:rPr>
        <w:t>主题都开展了丰富的</w:t>
      </w:r>
      <w:r>
        <w:rPr>
          <w:rFonts w:hint="default" w:ascii="宋体" w:hAnsi="宋体" w:eastAsia="宋体" w:cs="宋体"/>
          <w:sz w:val="21"/>
          <w:szCs w:val="21"/>
          <w:lang w:val="en-US" w:eastAsia="zh-CN"/>
        </w:rPr>
        <w:t>探索，但整体仍面临课程碎片化、学科割裂、知行脱节、机制不健全与文化视角单一等问题，</w:t>
      </w:r>
      <w:r>
        <w:rPr>
          <w:rFonts w:hint="eastAsia" w:ascii="宋体" w:hAnsi="宋体" w:cs="宋体"/>
          <w:sz w:val="21"/>
          <w:szCs w:val="21"/>
          <w:lang w:val="en-US" w:eastAsia="zh-CN"/>
        </w:rPr>
        <w:t>需</w:t>
      </w:r>
      <w:r>
        <w:rPr>
          <w:rFonts w:hint="default" w:ascii="宋体" w:hAnsi="宋体" w:eastAsia="宋体" w:cs="宋体"/>
          <w:sz w:val="21"/>
          <w:szCs w:val="21"/>
          <w:lang w:val="en-US" w:eastAsia="zh-CN"/>
        </w:rPr>
        <w:t>在政策、制度与教学实践</w:t>
      </w:r>
      <w:r>
        <w:rPr>
          <w:rFonts w:hint="eastAsia" w:ascii="宋体" w:hAnsi="宋体" w:cs="宋体"/>
          <w:sz w:val="21"/>
          <w:szCs w:val="21"/>
          <w:lang w:val="en-US" w:eastAsia="zh-CN"/>
        </w:rPr>
        <w:t>等</w:t>
      </w:r>
      <w:r>
        <w:rPr>
          <w:rFonts w:hint="default" w:ascii="宋体" w:hAnsi="宋体" w:eastAsia="宋体" w:cs="宋体"/>
          <w:sz w:val="21"/>
          <w:szCs w:val="21"/>
          <w:lang w:val="en-US" w:eastAsia="zh-CN"/>
        </w:rPr>
        <w:t>层面协同推进改革。</w:t>
      </w:r>
    </w:p>
    <w:p w14:paraId="3DD372DE">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宋体" w:hAnsi="宋体" w:eastAsia="宋体" w:cs="宋体"/>
          <w:sz w:val="21"/>
          <w:szCs w:val="21"/>
          <w:lang w:val="en-US" w:eastAsia="zh-CN"/>
        </w:rPr>
        <w:sectPr>
          <w:footnotePr>
            <w:numFmt w:val="decimalEnclosedCircleChinese"/>
            <w:numRestart w:val="eachPage"/>
          </w:footnotePr>
          <w:endnotePr>
            <w:numFmt w:val="decimal"/>
            <w:numStart w:val="13"/>
            <w:numRestart w:val="eachSect"/>
          </w:endnotePr>
          <w:type w:val="continuous"/>
          <w:pgSz w:w="11906" w:h="16838"/>
          <w:pgMar w:top="1440" w:right="1800" w:bottom="1440" w:left="1800" w:header="851" w:footer="992" w:gutter="0"/>
          <w:cols w:space="720" w:num="1"/>
          <w:docGrid w:type="lines" w:linePitch="312" w:charSpace="0"/>
        </w:sectPr>
      </w:pPr>
    </w:p>
    <w:p w14:paraId="358C655C">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宋体" w:hAnsi="宋体" w:eastAsia="宋体" w:cs="宋体"/>
          <w:sz w:val="21"/>
          <w:szCs w:val="21"/>
          <w:lang w:val="en-US" w:eastAsia="zh-CN"/>
        </w:rPr>
      </w:pPr>
    </w:p>
    <w:p w14:paraId="10BC6830">
      <w:pPr>
        <w:keepNext w:val="0"/>
        <w:keepLines w:val="0"/>
        <w:pageBreakBefore w:val="0"/>
        <w:widowControl/>
        <w:numPr>
          <w:ilvl w:val="0"/>
          <w:numId w:val="0"/>
        </w:numPr>
        <w:kinsoku/>
        <w:wordWrap/>
        <w:overflowPunct/>
        <w:topLinePunct w:val="0"/>
        <w:autoSpaceDE/>
        <w:autoSpaceDN/>
        <w:bidi w:val="0"/>
        <w:adjustRightInd/>
        <w:snapToGrid/>
        <w:textAlignment w:val="auto"/>
        <w:outlineLvl w:val="0"/>
        <w:rPr>
          <w:rFonts w:hint="default" w:ascii="宋体" w:hAnsi="宋体" w:eastAsia="宋体" w:cs="宋体"/>
          <w:sz w:val="21"/>
          <w:szCs w:val="21"/>
          <w:lang w:val="en-US" w:eastAsia="zh-CN"/>
        </w:rPr>
      </w:pPr>
      <w:r>
        <w:rPr>
          <w:rFonts w:hint="eastAsia" w:ascii="黑体" w:hAnsi="黑体" w:eastAsia="黑体" w:cs="黑体"/>
          <w:sz w:val="15"/>
          <w:szCs w:val="15"/>
          <w:lang w:val="en-US" w:eastAsia="zh-CN"/>
        </w:rPr>
        <w:t>参考文献</w:t>
      </w:r>
    </w:p>
    <w:sectPr>
      <w:footnotePr>
        <w:numFmt w:val="decimalEnclosedCircleChinese"/>
        <w:numRestart w:val="eachPage"/>
      </w:footnotePr>
      <w:endnotePr>
        <w:numFmt w:val="decimal"/>
      </w:endnotePr>
      <w:type w:val="continuous"/>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22">
    <w:p>
      <w:r>
        <w:separator/>
      </w:r>
    </w:p>
  </w:endnote>
  <w:endnote w:type="continuationSeparator" w:id="123">
    <w:p>
      <w:r>
        <w:continuationSeparator/>
      </w:r>
    </w:p>
  </w:endnote>
  <w:endnote w:id="0">
    <w:p w14:paraId="293F314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xml:space="preserve">] 胡锦涛.坚定不移沿着中国特色社会主义道路前进 为全面建成小康社会而奋斗——在中国共产党第十八次全国代表大会上的报告[M].北京：人民出版社，2012. </w:t>
      </w:r>
    </w:p>
  </w:endnote>
  <w:endnote w:id="1">
    <w:p w14:paraId="3010CC5A">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刘贵华,岳伟.论教育在生态文明建设中的基础作用[J].教育研究,2013,34(12):10-17.</w:t>
      </w:r>
    </w:p>
  </w:endnote>
  <w:endnote w:id="2">
    <w:p w14:paraId="2816932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陈时见,刘雅琪.全球生态文明教育研究的主要进展与发展趋势[J].西北师大学报(社会科学版),2024,61(05):81-90.</w:t>
      </w:r>
    </w:p>
  </w:endnote>
  <w:endnote w:id="3">
    <w:p w14:paraId="296881E6">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任帅,张志华.基于CiteSpace的绿色教育研究热点及趋势可视化分析[J].绿色科技,2021,23(13):274-276.</w:t>
      </w:r>
    </w:p>
  </w:endnote>
  <w:endnote w:id="4">
    <w:p w14:paraId="4AB369C2">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刘自强,王效岳,白如江.多维度视角下学科主题演化可视化分析方法研究——以我国图书情报领域大数据研究为例[J].中国图书馆学报,2016,42(06):67-84.</w:t>
      </w:r>
    </w:p>
  </w:endnote>
  <w:endnote w:id="5">
    <w:p w14:paraId="45F91BA3">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朱光,潘高枝,李凤景.时序关联与结构表征视角下的信息隐私研究主题演化研究[J].情报科学,2022,40(04):127-137.DOI:10.13833/j.issn.1007-7634.2022.04.016.</w:t>
      </w:r>
    </w:p>
  </w:endnote>
  <w:endnote w:id="6">
    <w:p w14:paraId="123BB8A9">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刘雅姝,张海涛,徐海玲,等.多维特征融合的网络舆情突发事件演化话题图谱研究[J].情报学报,2019,38(08):798-806.</w:t>
      </w:r>
    </w:p>
  </w:endnote>
  <w:endnote w:id="7">
    <w:p w14:paraId="6EF6ADD6">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关鹏,王曰芬.科技情报分析中LDA主题模型最优主题数确定方法研究[J].现代图书情报技术,2016,(09):42-50.</w:t>
      </w:r>
    </w:p>
  </w:endnote>
  <w:endnote w:id="8">
    <w:p w14:paraId="4E5B5853">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周健,张杰,屈冉,等.基于LDA的国内外区块链主题挖掘与演化分析[J].情报杂志,2021,40(09):161-169.</w:t>
      </w:r>
    </w:p>
  </w:endnote>
  <w:endnote w:id="9">
    <w:p w14:paraId="5290DBCD">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王鹏,高铖,陈晓美.基于LDA模型的文本聚类研究[J].情报科学,2015,33(01):63-68.</w:t>
      </w:r>
    </w:p>
  </w:endnote>
  <w:endnote w:id="10">
    <w:p w14:paraId="1A95CF4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周健,张杰,屈冉,等.基于LDA的国内外区块链主题挖掘与演化分析[J].情报杂志,2021,40(09):161-169.</w:t>
      </w:r>
    </w:p>
  </w:endnote>
  <w:endnote w:id="11">
    <w:p w14:paraId="61FD9396">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]关鹏,王曰芬.基于LDA主题模型和生命周期理论的科学文献主题挖掘[J].情报学报,2015,34(03):286-299.</w:t>
      </w:r>
    </w:p>
  </w:endnote>
  <w:endnote w:id="12">
    <w:p w14:paraId="077E11DD">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[1]胡锦涛. 坚定不移沿着中国特色社会主义道路前进 为全面建成小康社会而奋斗——在中国共产党第十八次全国代表大会上的报告[M]. 北京：人民出版社，2012.</w:t>
      </w:r>
    </w:p>
    <w:p w14:paraId="56A9DDE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[2]刘贵华, 岳伟. 论教育在生态文明建设中的基础作用[J]. 教育研究, 2013, 34(12):10-17.</w:t>
      </w:r>
    </w:p>
    <w:p w14:paraId="7052895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[3]陈时见, 刘雅琪. 全球生态文明教育研究的主要进展与发展趋势[J]. 西北师大学报(社会科学版), 2024, 61(05):81-90.</w:t>
      </w:r>
    </w:p>
    <w:p w14:paraId="2A25EE10">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[4]任帅, 张志华. 基于CiteSpace的绿色教育研究热点及趋势可视化分析[J]. 绿色科技, 2021, 23(13):274-276.</w:t>
      </w:r>
    </w:p>
    <w:p w14:paraId="654C80A6">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[5]刘自强, 王效岳, 白如江. 多维度视角下学科主题演化可视化分析方法研究——以我国图书情报领域大数据研究为例[J]. 中国图书馆学报, 2016, 42(06):67-84.</w:t>
      </w:r>
    </w:p>
    <w:p w14:paraId="38587A5D">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[6]朱光, 潘高枝, 李凤景. 时序关联与结构表征视角下的信息隐私研究主题演化研究[J]. 情报科学, 2022, 40(04):127-137.</w:t>
      </w:r>
    </w:p>
    <w:p w14:paraId="705A149D">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[7]刘雅姝, 张海涛, 徐海玲, 等. 多维特征融合的网络舆情突发事件演化话题图谱研究[J]. 情报学报, 2019, 38(08):798-806.</w:t>
      </w:r>
    </w:p>
    <w:p w14:paraId="5ED041A8">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[8]关鹏, 王曰芬. 科技情报分析中LDA主题模型最优主题数确定方法研究[J]. 现代图书情报技术, 2016(09):42-50.</w:t>
      </w:r>
    </w:p>
    <w:p w14:paraId="5B213327">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[9][11]周健, 张杰, 屈冉, 等. 基于LDA的国内外区块链主题挖掘与演化分析[J]. 情报杂志, 2021, 40(09):161-169.</w:t>
      </w:r>
    </w:p>
    <w:p w14:paraId="74B19009">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[10]王鹏, 高铖, 陈晓美. 基于LDA模型的文本聚类研究[J]. 情报科学, 2015, 33(01):63-68.</w:t>
      </w:r>
    </w:p>
    <w:p w14:paraId="2A795C17">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[12]关鹏, 王曰芬. 基于LDA主题模型和生命周期理论的科学文献主题挖掘[J]. 情报学报, 2015, 34(03):286-299.</w:t>
      </w:r>
    </w:p>
    <w:p w14:paraId="182353DF">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[13]Climate change education [EB/OL]. (2024) [2025-01-22] https://www.unesco.org/en/climate-change/education</w:t>
      </w:r>
    </w:p>
    <w:p w14:paraId="1E7CBE3B">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[14][17] [19][60]  Muccione, Veruska, Tracy Ewen, and Saeid Ashraf Vaghefi. A scoping review on climate change education. PLOS Climate, 2025, 4(1): e0000356.</w:t>
      </w:r>
    </w:p>
    <w:p w14:paraId="43A859D4">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[15][20] Cordero, Eugene C., Anne Marie Todd, and Diana Abellera. Climate change education and the ecological footprint. Bulletin of the American Meteorological Society, 2008, 89(6): 865–872.</w:t>
      </w:r>
    </w:p>
    <w:p w14:paraId="3362CCEF">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 xml:space="preserve">[16][36][51] Servant-Miklos, Virginie. Environmental education and socio-ecological resilience. Environmental Education Research, 2022, 28(1):18–39. </w:t>
      </w:r>
    </w:p>
    <w:p w14:paraId="2CEC07A8">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[18]Is the Education System Overlooking Climate Change? [EB/OL]. (2024-01-25) [2025-01-22] https://earth.org</w:t>
      </w:r>
    </w:p>
    <w:p w14:paraId="3105FE9B">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[21][35][40][44] Klemow, Kenneth, et al. Improving ecological education through a four-dimensional framework. Frontiers in Ecology &amp; the Environment, 2019, 17(2).</w:t>
      </w:r>
    </w:p>
    <w:p w14:paraId="7AE190A9">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[22] [58]Jorgenson, Simon N., Jennie C. Stephens, and Beth White. Environmental education in transition. The Journal of Environmental Education, 2019, 50(3): 160–171.</w:t>
      </w:r>
    </w:p>
    <w:p w14:paraId="3892228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[23] [43][46] Tidball, Keith G., and Marianne E. Krasny. Urban environmental education. Cities and the Environment, 2011, 3(1):11.</w:t>
      </w:r>
    </w:p>
    <w:p w14:paraId="1CB6449A">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[24] UN: 17% of all food available at consumer levels is wasted [EB/OL]. (2021-03-04) [2025-01-22] https://www.unep.org/...</w:t>
      </w:r>
    </w:p>
    <w:p w14:paraId="5F261440">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[25] Sundin, Niina, et al. Sustainability assessment of educational approaches. Journal of Cleaner Production, 2024, 481:144196.</w:t>
      </w:r>
    </w:p>
    <w:p w14:paraId="5662A32C">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[26] Anholon R, Sigahi T F A C, Cazeri G T, et al. Training future managers. World, 2024, 5(2):155–172.</w:t>
      </w:r>
    </w:p>
    <w:p w14:paraId="5D23ECDC">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[27] Goswami, Deepa. Developing Student Food Waste Literacy. set: Research Information for Teachers, 2023, 3:11–18.</w:t>
      </w:r>
    </w:p>
    <w:p w14:paraId="7E8F77FC">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[28][30] Kara, Ali, and Maung K. Min. Gen Z consumers’ sustainable consumption behaviors. International Journal of Sustainability in Higher Education, 2024, 25(1):124–142.</w:t>
      </w:r>
    </w:p>
    <w:p w14:paraId="4F36E8B0">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[29]Aydin, Gozde, et al. Food and nutrition education in Australian primary schools. Health Education, 2021, 121(4):451–464.</w:t>
      </w:r>
    </w:p>
    <w:p w14:paraId="7976391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[31]Borsatto, Jaluza Maria Lima Silva, et al. "Aligning community outreach initiatives with SDGs in a higher education institution with artificial intelligence." Cleaner and Responsible Consumption 12(2024):100160</w:t>
      </w:r>
    </w:p>
    <w:p w14:paraId="41DACC7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[32] Biodiversity – Protected, Utilized, and Globally Promoted [EB/OL]. (2023-09-06) [2025-01-22] https://sdg.iisd.org/...</w:t>
      </w:r>
    </w:p>
    <w:p w14:paraId="64194298">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[33] [57] [52] What you need to know about education for sustainable development [EB/OL]. (2021-03-04) [2025-01-22] https://www.unesco.org</w:t>
      </w:r>
    </w:p>
    <w:p w14:paraId="79A9ABC0">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[34][39] Saiful, Jepri Ali. Eco-ELT for environmental research and praxis in ELT. Journal on English as a Foreign Language, 2023, 13(2):373–398.</w:t>
      </w:r>
    </w:p>
    <w:p w14:paraId="5EC004C3">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[37] [47] Muafiah, Evi, et al. The concept of eco-friendly schools. Journal of Physics: Conference Series, 2021, Vol. 1796(1).</w:t>
      </w:r>
    </w:p>
    <w:p w14:paraId="17C1E776">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[38] Koyama, Dennis, and Takehiro Watanabe. Why a dispositional view of ecological literacy is needed. Teaching in Higher Education, 2023, 28(5):1108–1117.</w:t>
      </w:r>
    </w:p>
    <w:p w14:paraId="0B52399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[41] Svarstad, Hanne. Critical climate education. International Studies in Sociology of Education, 2021, 30(1–2):214–232.</w:t>
      </w:r>
    </w:p>
    <w:p w14:paraId="61218B0C">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[42] Robertson, Jennifer L., and Julian Barling. Greening organizations. Journal of Organizational Behavior, 2013, 34(2):176–194.</w:t>
      </w:r>
    </w:p>
    <w:p w14:paraId="0806EB4F">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[45] Brahma R. Innovations in teaching and learning for environmental education. Journal of the American Institute, 2025, 2(2):210–224.</w:t>
      </w:r>
    </w:p>
    <w:p w14:paraId="7A8015D2">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[48][50] Uralovich, Kiyosov Sherzod, et al. A primary factor in sustainable development. Caspian Journal of Environmental Sciences, 2023, 21(4):965–975.</w:t>
      </w:r>
    </w:p>
    <w:p w14:paraId="49DAF23D">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[49] Chan, Cecilia Ka Yuk. A comprehensive AI policy education framework. International Journal of Educational Technology in Higher Education, 2023, 20(1):38.</w:t>
      </w:r>
    </w:p>
    <w:p w14:paraId="44010CD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[54] Kosta, Aikaterini D., Kiriaki M. Keramitsoglou, and Konstantinos P. Tsagarakis. Circular economy and sustainable development in primary education. Frontiers in Sustainability, 2025, 6:1414055.</w:t>
      </w:r>
    </w:p>
    <w:p w14:paraId="2AAA3E87">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[55] [59] Akinsemolu A A, Onyeaka H. The role of green education in achieving the sustainable development goals. Renewable and Sustainable Energy Reviews, 2025, 210:115239.</w:t>
      </w:r>
    </w:p>
    <w:p w14:paraId="2472968F">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[56] Khetagurova, Valeriya SHOTAEVNA, et al. Ecological education as a basis. Journal of Environmental Management and Tourism, 2015, 6(1):79.</w:t>
      </w:r>
    </w:p>
    <w:p w14:paraId="4FBF4F57">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val="0"/>
        </w:rPr>
      </w:pPr>
      <w:r>
        <w:rPr>
          <w:rFonts w:hint="eastAsia" w:ascii="Times New Roman" w:hAnsi="Times New Roman" w:eastAsia="宋体" w:cs="楷体"/>
          <w:vanish w:val="0"/>
        </w:rPr>
        <w:t>[57] Stein, Sharon, et al. Beyond colonial futurities in climate education. Teaching in Higher Education, 2023, 28(5):987–1004.</w:t>
      </w:r>
    </w:p>
  </w:endnote>
  <w:endnote w:id="13">
    <w:p w14:paraId="596DC9FB">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Climate change education</w:t>
      </w:r>
      <w:r>
        <w:rPr>
          <w:rFonts w:hint="eastAsia" w:ascii="Times New Roman" w:hAnsi="Times New Roman" w:cs="楷体"/>
          <w:vanish/>
          <w:lang w:val="en-US" w:eastAsia="zh-CN"/>
        </w:rPr>
        <w:t xml:space="preserve"> [EB/OL]. (2024) [2025-01-22]</w:t>
      </w:r>
      <w:r>
        <w:rPr>
          <w:rFonts w:hint="eastAsia" w:ascii="Times New Roman" w:hAnsi="Times New Roman" w:eastAsia="宋体" w:cs="楷体"/>
          <w:vanish/>
        </w:rPr>
        <w:t>https://www.unesco.org/en/climate-change/education#:~:text=The%20international%20community%20recognizes%20the,actions%20relating%20to%20climate%20change</w:t>
      </w:r>
    </w:p>
  </w:endnote>
  <w:endnote w:id="14">
    <w:p w14:paraId="331D4973">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Muccione, Veruska, Tracy Ewen, and Saeid Ashraf Vaghefi. "A scoping review on climate change education." PLOS Climate 4.1 (2025): e0000356</w:t>
      </w:r>
    </w:p>
  </w:endnote>
  <w:endnote w:id="15">
    <w:p w14:paraId="6227AC4F">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Cordero, Eugene C., Anne Marie Todd, and Diana Abellera. "Climate change education and the ecological footprint." Bulletin of the American Meteorological Society 89.6 (2008): 865-872.</w:t>
      </w:r>
    </w:p>
  </w:endnote>
  <w:endnote w:id="16">
    <w:p w14:paraId="4E17D8D1">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Servant-Miklos, Virginie. "Environmental education and socio-ecological resilience in the COVID-19 pandemic: lessons from educational action research." Environmental Education Research 28.1 (2022): 18-39.</w:t>
      </w:r>
    </w:p>
  </w:endnote>
  <w:endnote w:id="17">
    <w:p w14:paraId="645B94B8">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Muccione, Veruska, Tracy Ewen, and Saeid Ashraf Vaghefi. "A scoping review on climate change education." PLOS Climate 4.1 (2025): e0000356</w:t>
      </w:r>
    </w:p>
  </w:endnote>
  <w:endnote w:id="18">
    <w:p w14:paraId="159FB1AC">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Is the Education System Overlooking Climate Change?[EB/OL]. (202</w:t>
      </w:r>
      <w:r>
        <w:rPr>
          <w:rFonts w:hint="eastAsia" w:ascii="Times New Roman" w:hAnsi="Times New Roman" w:cs="楷体"/>
          <w:vanish/>
          <w:lang w:val="en-US" w:eastAsia="zh-CN"/>
        </w:rPr>
        <w:t>4</w:t>
      </w:r>
      <w:r>
        <w:rPr>
          <w:rFonts w:hint="eastAsia" w:ascii="Times New Roman" w:hAnsi="Times New Roman" w:eastAsia="宋体" w:cs="楷体"/>
          <w:vanish/>
        </w:rPr>
        <w:t>-0</w:t>
      </w:r>
      <w:r>
        <w:rPr>
          <w:rFonts w:hint="eastAsia" w:ascii="Times New Roman" w:hAnsi="Times New Roman" w:cs="楷体"/>
          <w:vanish/>
          <w:lang w:val="en-US" w:eastAsia="zh-CN"/>
        </w:rPr>
        <w:t>1</w:t>
      </w:r>
      <w:r>
        <w:rPr>
          <w:rFonts w:hint="eastAsia" w:ascii="Times New Roman" w:hAnsi="Times New Roman" w:eastAsia="宋体" w:cs="楷体"/>
          <w:vanish/>
        </w:rPr>
        <w:t>-</w:t>
      </w:r>
      <w:r>
        <w:rPr>
          <w:rFonts w:hint="eastAsia" w:ascii="Times New Roman" w:hAnsi="Times New Roman" w:cs="楷体"/>
          <w:vanish/>
          <w:lang w:val="en-US" w:eastAsia="zh-CN"/>
        </w:rPr>
        <w:t>25</w:t>
      </w:r>
      <w:r>
        <w:rPr>
          <w:rFonts w:hint="eastAsia" w:ascii="Times New Roman" w:hAnsi="Times New Roman" w:eastAsia="宋体" w:cs="楷体"/>
          <w:vanish/>
        </w:rPr>
        <w:t>) [202</w:t>
      </w:r>
      <w:r>
        <w:rPr>
          <w:rFonts w:hint="eastAsia" w:ascii="Times New Roman" w:hAnsi="Times New Roman" w:cs="楷体"/>
          <w:vanish/>
          <w:lang w:val="en-US" w:eastAsia="zh-CN"/>
        </w:rPr>
        <w:t>5</w:t>
      </w:r>
      <w:r>
        <w:rPr>
          <w:rFonts w:hint="eastAsia" w:ascii="Times New Roman" w:hAnsi="Times New Roman" w:eastAsia="宋体" w:cs="楷体"/>
          <w:vanish/>
        </w:rPr>
        <w:t>-0</w:t>
      </w:r>
      <w:r>
        <w:rPr>
          <w:rFonts w:hint="eastAsia" w:ascii="Times New Roman" w:hAnsi="Times New Roman" w:cs="楷体"/>
          <w:vanish/>
          <w:lang w:val="en-US" w:eastAsia="zh-CN"/>
        </w:rPr>
        <w:t>1</w:t>
      </w:r>
      <w:r>
        <w:rPr>
          <w:rFonts w:hint="eastAsia" w:ascii="Times New Roman" w:hAnsi="Times New Roman" w:eastAsia="宋体" w:cs="楷体"/>
          <w:vanish/>
        </w:rPr>
        <w:t>-22]https://earth.org/international-day-of-education-2024-is-the-education-system-overlooking-climate-change/#:~:text=%2A%2047,climate%20education%20to%20their%20curriculum</w:t>
      </w:r>
    </w:p>
  </w:endnote>
  <w:endnote w:id="19">
    <w:p w14:paraId="7B0E34B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Muccione, Veruska, Tracy Ewen, and Saeid Ashraf Vaghefi. "A scoping review on climate change education." PLOS Climate 4.1 (2025): e0000356</w:t>
      </w:r>
    </w:p>
  </w:endnote>
  <w:endnote w:id="20">
    <w:p w14:paraId="53E63ED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Cordero, Eugene C., Anne Marie Todd, and Diana Abellera. "Climate change education and the ecological footprint." Bulletin of the American Meteorological Society 89.6 (2008): 865-872.</w:t>
      </w:r>
    </w:p>
  </w:endnote>
  <w:endnote w:id="21">
    <w:p w14:paraId="36B27FA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color w:val="0000FF"/>
        </w:rPr>
        <w:t>[</w:t>
      </w:r>
      <w:r>
        <w:rPr>
          <w:rFonts w:hint="eastAsia" w:ascii="Times New Roman" w:hAnsi="Times New Roman" w:eastAsia="宋体" w:cs="楷体"/>
          <w:vanish/>
          <w:color w:val="0000FF"/>
        </w:rPr>
        <w:endnoteRef/>
      </w:r>
      <w:r>
        <w:rPr>
          <w:rFonts w:hint="eastAsia" w:ascii="Times New Roman" w:hAnsi="Times New Roman" w:eastAsia="宋体" w:cs="楷体"/>
          <w:vanish/>
          <w:color w:val="0000FF"/>
        </w:rPr>
        <w:t>] Klem</w:t>
      </w:r>
      <w:r>
        <w:rPr>
          <w:rFonts w:hint="eastAsia" w:ascii="Times New Roman" w:hAnsi="Times New Roman" w:eastAsia="宋体" w:cs="楷体"/>
          <w:vanish/>
        </w:rPr>
        <w:t>ow, Kenneth, et al. "Improving ecological education through a four‐dimensional framework." Frontiers in Ecology &amp; the Environment 17.2 (2019).</w:t>
      </w:r>
    </w:p>
  </w:endnote>
  <w:endnote w:id="22">
    <w:p w14:paraId="1856D5C6">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Jorgenson, Simon N., Jennie C. Stephens, and Beth White. "Environmental education in transition: A critical review of recent research on climate change and energy education."</w:t>
      </w:r>
      <w:r>
        <w:rPr>
          <w:rFonts w:hint="default" w:ascii="Times New Roman" w:hAnsi="Times New Roman" w:eastAsia="宋体" w:cs="楷体"/>
          <w:vanish/>
        </w:rPr>
        <w:t> The Journal of Environmental Education 50.3 (2019): 160-171.</w:t>
      </w:r>
    </w:p>
  </w:endnote>
  <w:endnote w:id="23">
    <w:p w14:paraId="60BDEE31">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Tidball, Keith G., and Marianne E. Krasny. "Urban environmental education from a social-ecological perspective: Conceptual framework for civic ecology education." Cities and the Environment (CATE) 3.1 (2011): 11.</w:t>
      </w:r>
    </w:p>
  </w:endnote>
  <w:endnote w:id="24">
    <w:p w14:paraId="511D0D8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UN: 17% of all food available at consumer levels is wasted[EB/OL]. (202</w:t>
      </w:r>
      <w:r>
        <w:rPr>
          <w:rFonts w:hint="eastAsia" w:ascii="Times New Roman" w:hAnsi="Times New Roman" w:cs="楷体"/>
          <w:vanish/>
          <w:lang w:val="en-US" w:eastAsia="zh-CN"/>
        </w:rPr>
        <w:t>1</w:t>
      </w:r>
      <w:r>
        <w:rPr>
          <w:rFonts w:hint="eastAsia" w:ascii="Times New Roman" w:hAnsi="Times New Roman" w:eastAsia="宋体" w:cs="楷体"/>
          <w:vanish/>
        </w:rPr>
        <w:t>-0</w:t>
      </w:r>
      <w:r>
        <w:rPr>
          <w:rFonts w:hint="eastAsia" w:ascii="Times New Roman" w:hAnsi="Times New Roman" w:cs="楷体"/>
          <w:vanish/>
          <w:lang w:val="en-US" w:eastAsia="zh-CN"/>
        </w:rPr>
        <w:t>3</w:t>
      </w:r>
      <w:r>
        <w:rPr>
          <w:rFonts w:hint="eastAsia" w:ascii="Times New Roman" w:hAnsi="Times New Roman" w:eastAsia="宋体" w:cs="楷体"/>
          <w:vanish/>
        </w:rPr>
        <w:t>-0</w:t>
      </w:r>
      <w:r>
        <w:rPr>
          <w:rFonts w:hint="eastAsia" w:ascii="Times New Roman" w:hAnsi="Times New Roman" w:cs="楷体"/>
          <w:vanish/>
          <w:lang w:val="en-US" w:eastAsia="zh-CN"/>
        </w:rPr>
        <w:t>4</w:t>
      </w:r>
      <w:r>
        <w:rPr>
          <w:rFonts w:hint="eastAsia" w:ascii="Times New Roman" w:hAnsi="Times New Roman" w:eastAsia="宋体" w:cs="楷体"/>
          <w:vanish/>
        </w:rPr>
        <w:t>) [2025-01-22]https://www.unep.org/news-and-stories/press-release/un-17-all-food-available-consumer-levels-wasted#:~:text=Development%20Goal%2012,food%20waste%20by%202030</w:t>
      </w:r>
    </w:p>
  </w:endnote>
  <w:endnote w:id="25">
    <w:p w14:paraId="0AF473A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Sundin, Niina, et al. "Sustainability assessment of educational approaches as food waste prevention measures in school catering." Journal of Cleaner Production 481 (2024): 144196.</w:t>
      </w:r>
    </w:p>
  </w:endnote>
  <w:endnote w:id="26">
    <w:p w14:paraId="72D4B2C4">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w:t>
      </w:r>
      <w:r>
        <w:rPr>
          <w:rFonts w:hint="eastAsia" w:ascii="Times New Roman" w:hAnsi="Times New Roman" w:cs="楷体"/>
          <w:vanish/>
          <w:lang w:val="en-US" w:eastAsia="zh-CN"/>
        </w:rPr>
        <w:t xml:space="preserve"> </w:t>
      </w:r>
      <w:r>
        <w:rPr>
          <w:rFonts w:hint="eastAsia" w:ascii="Times New Roman" w:hAnsi="Times New Roman" w:eastAsia="宋体" w:cs="楷体"/>
          <w:vanish/>
        </w:rPr>
        <w:t>Anholon R, Sigahi T F A C, Cazeri G T, et al. Training future managers to address the challenges of sustainable development: an innovative, interdisciplinary, and multiregional experience on corporate sustainability education[J]. World, 2024, 5(2): 155-172.]]</w:t>
      </w:r>
    </w:p>
  </w:endnote>
  <w:endnote w:id="27">
    <w:p w14:paraId="7A490FE4">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Goswami, Deepa. "Developing Student Food Waste Literacy." set: Research Information for Teachers 3 (2023): 11-18.</w:t>
      </w:r>
    </w:p>
  </w:endnote>
  <w:endnote w:id="28">
    <w:p w14:paraId="24310B21">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Kara, Ali, and Maung K. Min. "Gen Z consumers’ sustainable consumption behaviors: influencers and moderators." International Journal of Sustainability in Higher Education 25.1 (2024): 124-142.</w:t>
      </w:r>
    </w:p>
  </w:endnote>
  <w:endnote w:id="29">
    <w:p w14:paraId="455B386C">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Aydin, Gozde, et al. "Food and nutrition education in Australian primary schools: parents' views." Health Education 121.4 (2021): 451-464</w:t>
      </w:r>
    </w:p>
  </w:endnote>
  <w:endnote w:id="30">
    <w:p w14:paraId="2D5964F7">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Kara, Ali, and Maung K. Min. "Gen Z consumers’ sustainable consumption behaviors: influencers and moderators." International Journal of Sustainability in Higher Education 25.1 (2024): 124-142.</w:t>
      </w:r>
    </w:p>
  </w:endnote>
  <w:endnote w:id="31">
    <w:p w14:paraId="22DA3C8B">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Borsatto, Jaluza Maria Lima Silva, et al. "Aligning community outreach initiatives with SDGs in a higher education institution with artificial intelligence." Cleaner and Responsible Consumption 12 (2024): 100160.</w:t>
      </w:r>
    </w:p>
  </w:endnote>
  <w:endnote w:id="32">
    <w:p w14:paraId="3373F763">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]Biodiversity – Protected, Utilized, and Globally Promoted [EB/OL]. (202</w:t>
      </w:r>
      <w:r>
        <w:rPr>
          <w:rFonts w:hint="eastAsia" w:ascii="Times New Roman" w:hAnsi="Times New Roman" w:cs="楷体"/>
          <w:vanish/>
          <w:lang w:val="en-US" w:eastAsia="zh-CN"/>
        </w:rPr>
        <w:t>3</w:t>
      </w:r>
      <w:r>
        <w:rPr>
          <w:rFonts w:hint="eastAsia" w:ascii="Times New Roman" w:hAnsi="Times New Roman" w:eastAsia="宋体" w:cs="楷体"/>
          <w:vanish/>
        </w:rPr>
        <w:t>-0</w:t>
      </w:r>
      <w:r>
        <w:rPr>
          <w:rFonts w:hint="eastAsia" w:ascii="Times New Roman" w:hAnsi="Times New Roman" w:cs="楷体"/>
          <w:vanish/>
          <w:lang w:val="en-US" w:eastAsia="zh-CN"/>
        </w:rPr>
        <w:t>9</w:t>
      </w:r>
      <w:r>
        <w:rPr>
          <w:rFonts w:hint="eastAsia" w:ascii="Times New Roman" w:hAnsi="Times New Roman" w:eastAsia="宋体" w:cs="楷体"/>
          <w:vanish/>
        </w:rPr>
        <w:t>-</w:t>
      </w:r>
      <w:r>
        <w:rPr>
          <w:rFonts w:hint="eastAsia" w:ascii="Times New Roman" w:hAnsi="Times New Roman" w:cs="楷体"/>
          <w:vanish/>
          <w:lang w:val="en-US" w:eastAsia="zh-CN"/>
        </w:rPr>
        <w:t>06</w:t>
      </w:r>
      <w:r>
        <w:rPr>
          <w:rFonts w:hint="eastAsia" w:ascii="Times New Roman" w:hAnsi="Times New Roman" w:eastAsia="宋体" w:cs="楷体"/>
          <w:vanish/>
        </w:rPr>
        <w:t>) [2025-01-22]https://sdg.iisd.org/commentary/guest-articles/biodiversity-protected-utilized-and-globally-promoted/#:~:text=Biodiversity%20%E2%80%93%20Protected%2C%20Utilized%2C%20and,are%20at%20risk%20of%20extinction</w:t>
      </w:r>
    </w:p>
  </w:endnote>
  <w:endnote w:id="33">
    <w:p w14:paraId="04402627">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]What you need to know about education for sustainable development [EB/OL]. (202</w:t>
      </w:r>
      <w:r>
        <w:rPr>
          <w:rFonts w:hint="eastAsia" w:ascii="Times New Roman" w:hAnsi="Times New Roman" w:cs="楷体"/>
          <w:vanish/>
          <w:lang w:val="en-US" w:eastAsia="zh-CN"/>
        </w:rPr>
        <w:t>4</w:t>
      </w:r>
      <w:r>
        <w:rPr>
          <w:rFonts w:hint="eastAsia" w:ascii="Times New Roman" w:hAnsi="Times New Roman" w:eastAsia="宋体" w:cs="楷体"/>
          <w:vanish/>
        </w:rPr>
        <w:t>-</w:t>
      </w:r>
      <w:r>
        <w:rPr>
          <w:rFonts w:hint="eastAsia" w:ascii="Times New Roman" w:hAnsi="Times New Roman" w:cs="楷体"/>
          <w:vanish/>
          <w:lang w:val="en-US" w:eastAsia="zh-CN"/>
        </w:rPr>
        <w:t>10</w:t>
      </w:r>
      <w:r>
        <w:rPr>
          <w:rFonts w:hint="eastAsia" w:ascii="Times New Roman" w:hAnsi="Times New Roman" w:eastAsia="宋体" w:cs="楷体"/>
          <w:vanish/>
        </w:rPr>
        <w:t>-</w:t>
      </w:r>
      <w:r>
        <w:rPr>
          <w:rFonts w:hint="eastAsia" w:ascii="Times New Roman" w:hAnsi="Times New Roman" w:cs="楷体"/>
          <w:vanish/>
          <w:lang w:val="en-US" w:eastAsia="zh-CN"/>
        </w:rPr>
        <w:t>23</w:t>
      </w:r>
      <w:r>
        <w:rPr>
          <w:rFonts w:hint="eastAsia" w:ascii="Times New Roman" w:hAnsi="Times New Roman" w:eastAsia="宋体" w:cs="楷体"/>
          <w:vanish/>
        </w:rPr>
        <w:t>) [2025-01-22]https://www.unesco.org/en/sustainable-development/education/need-know#:~:text=Education%20for%20Sustainable%20Development%20,of%20people%20and%20the%20planet</w:t>
      </w:r>
    </w:p>
  </w:endnote>
  <w:endnote w:id="34">
    <w:p w14:paraId="67DDCD4C">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Saiful, Jepri Ali. "Eco-ELT for environmental research and praxis in ELT." Journal on English as a Foreign Language 13.2 (2023): 373-398.</w:t>
      </w:r>
    </w:p>
  </w:endnote>
  <w:endnote w:id="35">
    <w:p w14:paraId="4A6C307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Klemow, Kenneth, et al. "Improving ecological education through a four‐dimensional framework." Frontiers in Ecology &amp; the Environment 17.2 (2019).</w:t>
      </w:r>
    </w:p>
  </w:endnote>
  <w:endnote w:id="36">
    <w:p w14:paraId="13A0670B">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Servant-Miklos, Virginie. "Environmental education and socio-ecological resilience in the COVID-19 pandemic: lessons from educational action research." Environmental Education Research 28.1 (2022): 18-39.</w:t>
      </w:r>
    </w:p>
  </w:endnote>
  <w:endnote w:id="37">
    <w:p w14:paraId="11DB67A8">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Muafiah, Evi, et al. "The concept of eco-friendly schools: The application of science education in shaping children’s characters to the environment." Journal of Physics: Conference Series. Vol. 1796. No. 1. IOP Publishing, 2021.</w:t>
      </w:r>
    </w:p>
  </w:endnote>
  <w:endnote w:id="38">
    <w:p w14:paraId="0342E1D8">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Koyama, Dennis, and Takehiro Watanabe. "Why a dispositional view of ecological literacy is needed." Teaching in Higher Education 28.5 (2023): 1108-1117.</w:t>
      </w:r>
    </w:p>
  </w:endnote>
  <w:endnote w:id="39">
    <w:p w14:paraId="4D73CB38">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Saiful, Jepri Ali. "Eco-ELT for environmental research and praxis in ELT." Journal on English as a Foreign Language 13.2 (2023): 373-398.</w:t>
      </w:r>
    </w:p>
  </w:endnote>
  <w:endnote w:id="40">
    <w:p w14:paraId="19180762">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Klemow, Kenneth, et al. "Improving ecological education through a four‐dimensional framework." Frontiers in Ecology &amp; the Environment 17.2 (2019).</w:t>
      </w:r>
    </w:p>
  </w:endnote>
  <w:endnote w:id="41">
    <w:p w14:paraId="34ED2B8C">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Svarstad, Hanne. "Critical climate education: Studying climate justice in time and space." International Studies in Sociology of Education 30.1-2 (2021): 214-232.</w:t>
      </w:r>
    </w:p>
  </w:endnote>
  <w:endnote w:id="42">
    <w:p w14:paraId="6DB7EBD5">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Robertson, Jennifer L., and Julian Barling. "Greening organizations through leaders' influence on employees' pro‐environmental behaviors." Journal of organizational behavior 34.2 (2013): 176-194.</w:t>
      </w:r>
    </w:p>
  </w:endnote>
  <w:endnote w:id="43">
    <w:p w14:paraId="02A5BE98">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Tidball, Keith G., and Marianne E. Krasny. "Urban environmental education from a social-ecological perspective: Conceptual framework for civic ecology education." Cities and the Environment (CATE) 3.1 (2011): 11.</w:t>
      </w:r>
    </w:p>
  </w:endnote>
  <w:endnote w:id="44">
    <w:p w14:paraId="5949778E">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Klemow, Kenneth, et al. "Improving ecological education through a four‐dimensional framework." Frontiers in Ecology &amp; the Environment 17.2 (2019).</w:t>
      </w:r>
    </w:p>
  </w:endnote>
  <w:endnote w:id="45">
    <w:p w14:paraId="0202F370">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Brahma R. Innovations in teaching and learning for environmental education[J]. Journal of the American Institute, 2025, 2(2): 210-224.</w:t>
      </w:r>
    </w:p>
  </w:endnote>
  <w:endnote w:id="46">
    <w:p w14:paraId="3D379661">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Tidball, Keith G., and Marianne E. Krasny. "Urban environmental education from a social-ecological perspective: Conceptual framework for civic ecology education." Cities and the Environment (CATE) 3.1 (2011): 11.</w:t>
      </w:r>
    </w:p>
  </w:endnote>
  <w:endnote w:id="47">
    <w:p w14:paraId="2F6E152B">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Muafiah, Evi, et al. "The concept of eco-friendly schools: The application of science education in shaping children’s characters to the environment." Journal of Physics: Conference Series. Vol. 1796. No. 1. IOP Publishing, 2021.</w:t>
      </w:r>
    </w:p>
  </w:endnote>
  <w:endnote w:id="48">
    <w:p w14:paraId="18061752">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Uralovich, Kiyosov Sherzod, et al. "A primary factor in sustainable development and environmental sustainability is environmental education." Caspian Journal of Environmental Sciences 21.4 (2023): 965-975.</w:t>
      </w:r>
    </w:p>
  </w:endnote>
  <w:endnote w:id="49">
    <w:p w14:paraId="61B4FE49">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Chan, Cecilia Ka Yuk. "A comprehensive AI policy education framework for university teaching and learning." International journal of educational technology in higher education 20.1 (2023): 38.</w:t>
      </w:r>
    </w:p>
  </w:endnote>
  <w:endnote w:id="50">
    <w:p w14:paraId="313BB94A">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Uralovich, Kiyosov Sherzod, et al. "A primary factor in sustainable development and environmental sustainability is environmental education." Caspian Journal of Environmental Sciences 21.4 (2023): 965-975.</w:t>
      </w:r>
    </w:p>
  </w:endnote>
  <w:endnote w:id="51">
    <w:p w14:paraId="7192F751">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Servant-Miklos, Virginie. "Environmental education and socio-ecological resilience in the COVID-19 pandemic: lessons from educational action research." Environmental Education Research 28.1 (2022): 18-39.</w:t>
      </w:r>
    </w:p>
  </w:endnote>
  <w:endnote w:id="52">
    <w:p w14:paraId="416CB34D">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What you need to know about education for sustainable development[EB/OL]. (2021-03-04) [2025-01-22]https://www.ipbes.net/media_release/Values_Assessment_Published#:~:text=Media%20Release%3A%20IPBES%20Values%20Assessment,of%20nature%20loss%2C%20with</w:t>
      </w:r>
    </w:p>
  </w:endnote>
  <w:endnote w:id="53">
    <w:p w14:paraId="3CF0AD26">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What you need to know about education for sustainable development[EB/OL]. (2021-03-04) [2025-01-22]https://www.unesco.org/en/sustainable-development/education/need-know#:~:text=UNESCO%20supports%20countries%20to%20develop,viable%20and%20socially%20inclusive%20futures</w:t>
      </w:r>
    </w:p>
  </w:endnote>
  <w:endnote w:id="54">
    <w:p w14:paraId="647ECE8A">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Kosta, Aikaterini D., Kiriaki M. Keramitsoglou, and Konstantinos P. Tsagarakis. "Circular economy and sustainable development in primary education." Frontiers in Sustainability 6 (2025): 1414055.</w:t>
      </w:r>
    </w:p>
  </w:endnote>
  <w:endnote w:id="55">
    <w:p w14:paraId="2168A0C2">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Akinsemolu A A, Onyeaka H. The role of green education in achieving the sustainable development goals: A review[J]. Renewable and Sustainable Energy Reviews, 2025, 210: 115239.</w:t>
      </w:r>
    </w:p>
  </w:endnote>
  <w:endnote w:id="56">
    <w:p w14:paraId="665CD3F9">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Khetagurova, Valeriya SHOTAEVNA, et al. "Ecological education as a basis for an ecological culture of the Russian society." Journal of Environmental Management and Tourism 6.1 (2015): 79.</w:t>
      </w:r>
    </w:p>
  </w:endnote>
  <w:endnote w:id="57">
    <w:p w14:paraId="5BACE72F">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Stein, Sharon, et al. "Beyond colonial futurities in climate education." Teaching in Higher Education 28.5 (2023): 987-1004.</w:t>
      </w:r>
    </w:p>
  </w:endnote>
  <w:endnote w:id="58">
    <w:p w14:paraId="073ACC9A">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Jorgenson, Simon N., Jennie C. Stephens, and Beth White. "Environmental education in transition: A critical review of recent research on climate change and energy education." The Journal of Environmental Education 50.3 (2019): 160-171.</w:t>
      </w:r>
    </w:p>
  </w:endnote>
  <w:endnote w:id="59">
    <w:p w14:paraId="315116B1">
      <w:pPr>
        <w:pStyle w:val="7"/>
        <w:keepNext w:val="0"/>
        <w:keepLines w:val="0"/>
        <w:pageBreakBefore w:val="0"/>
        <w:widowControl/>
        <w:kinsoku/>
        <w:wordWrap/>
        <w:overflowPunct/>
        <w:topLinePunct w:val="0"/>
        <w:bidi w:val="0"/>
        <w:adjustRightInd/>
        <w:snapToGrid w:val="0"/>
        <w:ind w:firstLine="400" w:firstLineChars="200"/>
        <w:textAlignment w:val="auto"/>
        <w:rPr>
          <w:rFonts w:hint="eastAsia" w:ascii="Times New Roman" w:hAnsi="Times New Roman" w:eastAsia="宋体" w:cs="楷体"/>
          <w:vanish/>
        </w:rPr>
      </w:pPr>
      <w:r>
        <w:rPr>
          <w:rFonts w:hint="eastAsia" w:ascii="Times New Roman" w:hAnsi="Times New Roman" w:eastAsia="宋体" w:cs="楷体"/>
          <w:vanish/>
        </w:rPr>
        <w:t>[</w:t>
      </w:r>
      <w:r>
        <w:rPr>
          <w:rFonts w:hint="eastAsia" w:ascii="Times New Roman" w:hAnsi="Times New Roman" w:eastAsia="宋体" w:cs="楷体"/>
          <w:vanish/>
        </w:rPr>
        <w:endnoteRef/>
      </w:r>
      <w:r>
        <w:rPr>
          <w:rFonts w:hint="eastAsia" w:ascii="Times New Roman" w:hAnsi="Times New Roman" w:eastAsia="宋体" w:cs="楷体"/>
          <w:vanish/>
        </w:rPr>
        <w:t>] Akinsemolu A A, Onyeaka H. The role of green education in achieving the sustainable development goals: A review[J]. Renewable and Sustainable Energy Reviews, 2025, 210: 115239.</w:t>
      </w:r>
    </w:p>
  </w:endnote>
  <w:endnote w:id="60">
    <w:p w14:paraId="50DEC14E">
      <w:pPr>
        <w:pStyle w:val="7"/>
        <w:keepNext w:val="0"/>
        <w:keepLines w:val="0"/>
        <w:pageBreakBefore w:val="0"/>
        <w:widowControl/>
        <w:kinsoku/>
        <w:wordWrap w:val="0"/>
        <w:overflowPunct/>
        <w:topLinePunct w:val="0"/>
        <w:bidi w:val="0"/>
        <w:adjustRightInd/>
        <w:snapToGrid w:val="0"/>
        <w:ind w:firstLine="400" w:firstLineChars="200"/>
        <w:textAlignment w:val="auto"/>
        <w:rPr>
          <w:rFonts w:hint="eastAsia" w:ascii="Times New Roman" w:hAnsi="Times New Roman" w:eastAsia="宋体" w:cs="楷体"/>
          <w:vanish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3715D56F">
      <w:pPr>
        <w:pStyle w:val="8"/>
        <w:snapToGrid w:val="0"/>
        <w:rPr>
          <w:rFonts w:hint="eastAsia"/>
        </w:rPr>
      </w:pPr>
      <w:r>
        <w:rPr>
          <w:rFonts w:hint="eastAsia" w:ascii="黑体" w:hAnsi="黑体" w:eastAsia="黑体" w:cs="黑体"/>
          <w:color w:val="231F20"/>
          <w:spacing w:val="9"/>
          <w:kern w:val="2"/>
          <w:szCs w:val="18"/>
        </w:rPr>
        <w:t>作者简介：</w:t>
      </w:r>
      <w:r>
        <w:rPr>
          <w:rFonts w:hint="eastAsia"/>
        </w:rPr>
        <w:t>吕雯倩，重庆师范大学教育科学学院（重庆，400900）；刘云华，重庆师范大学教育科学学院讲师（重庆，400900）</w:t>
      </w:r>
    </w:p>
    <w:p w14:paraId="4283A110">
      <w:pPr>
        <w:pStyle w:val="8"/>
        <w:snapToGrid w:val="0"/>
      </w:pPr>
      <w:r>
        <w:rPr>
          <w:rFonts w:hint="eastAsia" w:ascii="黑体" w:hAnsi="黑体" w:eastAsia="黑体" w:cs="黑体"/>
          <w:color w:val="231F20"/>
          <w:spacing w:val="9"/>
          <w:kern w:val="2"/>
          <w:szCs w:val="18"/>
        </w:rPr>
        <w:t>基金项目：</w:t>
      </w:r>
      <w:r>
        <w:rPr>
          <w:rFonts w:hint="eastAsia"/>
        </w:rPr>
        <w:t>国家社会科学基金哲学社会科学领军人才项目“生态文明教育政策的国际比较研究”（项目编号：23VRC057）；重庆市社会科学规划博士项目“德国生态文明教育体系研究”（项目编号2024BS102）；重庆师范大学校级基金项目“赫尔曼·基泽克政治教育教学法思想与启示研究”（项目编号：23XWB054）</w:t>
      </w:r>
    </w:p>
  </w:footnote>
  <w:footnote w:id="1">
    <w:p w14:paraId="0BCA6D69">
      <w:pPr>
        <w:pStyle w:val="8"/>
        <w:snapToGrid w:val="0"/>
      </w:pPr>
      <w:r>
        <w:rPr>
          <w:rStyle w:val="16"/>
        </w:rPr>
        <w:footnoteRef/>
      </w:r>
      <w:r>
        <w:t xml:space="preserve"> </w:t>
      </w:r>
      <w:r>
        <w:rPr>
          <w:rFonts w:hint="eastAsia"/>
        </w:rPr>
        <w:t>图中方块代表不同时间窗口中的研究主题，其面积大小反映了该主题在对应时间段内的研究热度，即相关研究文献的数量。连接方块的线条表示主题之间的流动关系，线条越宽，代表该主题在相邻时间窗口中的延续性越强，研究关注度的传承程度越高。</w:t>
      </w:r>
    </w:p>
  </w:footnote>
  <w:footnote w:id="2">
    <w:p w14:paraId="62F7C4D0">
      <w:pPr>
        <w:pStyle w:val="8"/>
        <w:snapToGrid w:val="0"/>
        <w:rPr>
          <w:rFonts w:hint="eastAsia" w:eastAsia="宋体"/>
          <w:lang w:val="en-US" w:eastAsia="zh-CN"/>
        </w:rPr>
      </w:pPr>
      <w:r>
        <w:rPr>
          <w:rStyle w:val="16"/>
        </w:rPr>
        <w:footnoteRef/>
      </w:r>
      <w:r>
        <w:t xml:space="preserve"> </w:t>
      </w:r>
      <w:r>
        <w:rPr>
          <w:rFonts w:hint="eastAsia"/>
        </w:rPr>
        <w:t>热度用于衡量某一主题在研究中的关注程度，其计算方式为该主题所对应文献数量占该时间段总文献数量的比例；新颖度用于反映主题出现的时间特征，定义为该主题首次出现年份与当前分析时点之间的相对关系。</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yh">
    <w15:presenceInfo w15:providerId="None" w15:userId="ly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6"/>
    <w:footnote w:id="7"/>
  </w:footnotePr>
  <w:endnotePr>
    <w:numFmt w:val="decimal"/>
    <w:endnote w:id="122"/>
    <w:endnote w:id="123"/>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805A6"/>
    <w:rsid w:val="006B31C3"/>
    <w:rsid w:val="00A20B60"/>
    <w:rsid w:val="00D505DA"/>
    <w:rsid w:val="020617E0"/>
    <w:rsid w:val="025C7268"/>
    <w:rsid w:val="04732647"/>
    <w:rsid w:val="04910D1F"/>
    <w:rsid w:val="054F62AC"/>
    <w:rsid w:val="056265C8"/>
    <w:rsid w:val="056B1570"/>
    <w:rsid w:val="05785C07"/>
    <w:rsid w:val="05F94DCD"/>
    <w:rsid w:val="077010BF"/>
    <w:rsid w:val="07830DF3"/>
    <w:rsid w:val="08372F86"/>
    <w:rsid w:val="085B1D6F"/>
    <w:rsid w:val="091A5787"/>
    <w:rsid w:val="09420839"/>
    <w:rsid w:val="09773905"/>
    <w:rsid w:val="0AE40E41"/>
    <w:rsid w:val="0AF674A1"/>
    <w:rsid w:val="0B422E32"/>
    <w:rsid w:val="0C6A07D3"/>
    <w:rsid w:val="0D113FC4"/>
    <w:rsid w:val="0D1F511A"/>
    <w:rsid w:val="0D565051"/>
    <w:rsid w:val="0E2449B2"/>
    <w:rsid w:val="0F072309"/>
    <w:rsid w:val="0F6336D4"/>
    <w:rsid w:val="10805480"/>
    <w:rsid w:val="10C85AC8"/>
    <w:rsid w:val="113D0264"/>
    <w:rsid w:val="11E84674"/>
    <w:rsid w:val="12511AE6"/>
    <w:rsid w:val="126B7053"/>
    <w:rsid w:val="132C17EA"/>
    <w:rsid w:val="13481A5D"/>
    <w:rsid w:val="13912AE9"/>
    <w:rsid w:val="1430702E"/>
    <w:rsid w:val="144D39D3"/>
    <w:rsid w:val="183F48C2"/>
    <w:rsid w:val="184243B2"/>
    <w:rsid w:val="18BC4164"/>
    <w:rsid w:val="1A2A270E"/>
    <w:rsid w:val="1A445815"/>
    <w:rsid w:val="1A6B4094"/>
    <w:rsid w:val="1ABD4218"/>
    <w:rsid w:val="1B966EEF"/>
    <w:rsid w:val="1CA13D9D"/>
    <w:rsid w:val="1D68562C"/>
    <w:rsid w:val="1D6F4C70"/>
    <w:rsid w:val="2020147D"/>
    <w:rsid w:val="20FF7FEC"/>
    <w:rsid w:val="223E3E3C"/>
    <w:rsid w:val="22574EFE"/>
    <w:rsid w:val="22E76282"/>
    <w:rsid w:val="22E91FFA"/>
    <w:rsid w:val="23052BAC"/>
    <w:rsid w:val="23152DEF"/>
    <w:rsid w:val="233D5EA2"/>
    <w:rsid w:val="23E3685F"/>
    <w:rsid w:val="244C593A"/>
    <w:rsid w:val="245B49AE"/>
    <w:rsid w:val="24A7216D"/>
    <w:rsid w:val="24FA7BA5"/>
    <w:rsid w:val="252C631E"/>
    <w:rsid w:val="25A17026"/>
    <w:rsid w:val="25F9231B"/>
    <w:rsid w:val="26EE087F"/>
    <w:rsid w:val="27435A51"/>
    <w:rsid w:val="27565784"/>
    <w:rsid w:val="278E13C2"/>
    <w:rsid w:val="27FC27CF"/>
    <w:rsid w:val="28414686"/>
    <w:rsid w:val="28C8445F"/>
    <w:rsid w:val="291E6775"/>
    <w:rsid w:val="2A077209"/>
    <w:rsid w:val="2A0A4121"/>
    <w:rsid w:val="2A24600D"/>
    <w:rsid w:val="2A7FAEA2"/>
    <w:rsid w:val="2BB331A5"/>
    <w:rsid w:val="2BD15D21"/>
    <w:rsid w:val="2C8D0211"/>
    <w:rsid w:val="2E110657"/>
    <w:rsid w:val="2E980D78"/>
    <w:rsid w:val="2F3445FD"/>
    <w:rsid w:val="2F462582"/>
    <w:rsid w:val="2FAE78E5"/>
    <w:rsid w:val="30DA64A1"/>
    <w:rsid w:val="311917A0"/>
    <w:rsid w:val="31C0661C"/>
    <w:rsid w:val="32AE46C6"/>
    <w:rsid w:val="32C65EB4"/>
    <w:rsid w:val="33A76A48"/>
    <w:rsid w:val="33C71300"/>
    <w:rsid w:val="340C5B48"/>
    <w:rsid w:val="34D523DE"/>
    <w:rsid w:val="35CE6E2D"/>
    <w:rsid w:val="363F1F3D"/>
    <w:rsid w:val="36AA1648"/>
    <w:rsid w:val="37495343"/>
    <w:rsid w:val="39913594"/>
    <w:rsid w:val="3C277297"/>
    <w:rsid w:val="3CE27D8E"/>
    <w:rsid w:val="3D6C3AFB"/>
    <w:rsid w:val="3D956BAE"/>
    <w:rsid w:val="3DC92CFC"/>
    <w:rsid w:val="401364B0"/>
    <w:rsid w:val="41562AF9"/>
    <w:rsid w:val="418C02C8"/>
    <w:rsid w:val="425F3C2F"/>
    <w:rsid w:val="42E61C5A"/>
    <w:rsid w:val="42EF31B0"/>
    <w:rsid w:val="43193ECB"/>
    <w:rsid w:val="44315157"/>
    <w:rsid w:val="447D039C"/>
    <w:rsid w:val="45027F1F"/>
    <w:rsid w:val="454322E7"/>
    <w:rsid w:val="46590E0B"/>
    <w:rsid w:val="467D0B74"/>
    <w:rsid w:val="46A75BA4"/>
    <w:rsid w:val="471C1625"/>
    <w:rsid w:val="47C562E2"/>
    <w:rsid w:val="492434DC"/>
    <w:rsid w:val="494476DB"/>
    <w:rsid w:val="4A6A141D"/>
    <w:rsid w:val="4ADF76BB"/>
    <w:rsid w:val="4B775B45"/>
    <w:rsid w:val="4B7F0E9E"/>
    <w:rsid w:val="4C7E1155"/>
    <w:rsid w:val="4C952B97"/>
    <w:rsid w:val="4CEF5BAF"/>
    <w:rsid w:val="4FDF015D"/>
    <w:rsid w:val="50EF2622"/>
    <w:rsid w:val="51D33CF1"/>
    <w:rsid w:val="520774F7"/>
    <w:rsid w:val="520D53A9"/>
    <w:rsid w:val="522B768A"/>
    <w:rsid w:val="54444A33"/>
    <w:rsid w:val="54FC530D"/>
    <w:rsid w:val="567E247E"/>
    <w:rsid w:val="567F0A5E"/>
    <w:rsid w:val="56903F5F"/>
    <w:rsid w:val="575A6F2B"/>
    <w:rsid w:val="58550FBC"/>
    <w:rsid w:val="589522A0"/>
    <w:rsid w:val="58A84EB0"/>
    <w:rsid w:val="58AB6E2E"/>
    <w:rsid w:val="5934151A"/>
    <w:rsid w:val="597C4128"/>
    <w:rsid w:val="59E7658C"/>
    <w:rsid w:val="5AB521E6"/>
    <w:rsid w:val="5BD94F6A"/>
    <w:rsid w:val="5BE82147"/>
    <w:rsid w:val="5CD526CC"/>
    <w:rsid w:val="5D88785F"/>
    <w:rsid w:val="5D9D2712"/>
    <w:rsid w:val="5E2211F5"/>
    <w:rsid w:val="5EE70DDC"/>
    <w:rsid w:val="5EFD415C"/>
    <w:rsid w:val="5F85123F"/>
    <w:rsid w:val="604E460D"/>
    <w:rsid w:val="604F397F"/>
    <w:rsid w:val="605E50CE"/>
    <w:rsid w:val="606853C1"/>
    <w:rsid w:val="60C26790"/>
    <w:rsid w:val="60E47E90"/>
    <w:rsid w:val="61B91B0E"/>
    <w:rsid w:val="63085ACB"/>
    <w:rsid w:val="636B7DC4"/>
    <w:rsid w:val="63DA2CBD"/>
    <w:rsid w:val="643C74D4"/>
    <w:rsid w:val="65CE23AE"/>
    <w:rsid w:val="66433DCE"/>
    <w:rsid w:val="66C33EDD"/>
    <w:rsid w:val="67AE693B"/>
    <w:rsid w:val="67F85E08"/>
    <w:rsid w:val="686F7E78"/>
    <w:rsid w:val="6884144A"/>
    <w:rsid w:val="68AF45A1"/>
    <w:rsid w:val="69362744"/>
    <w:rsid w:val="693B787A"/>
    <w:rsid w:val="69815A50"/>
    <w:rsid w:val="69D361E5"/>
    <w:rsid w:val="6A681023"/>
    <w:rsid w:val="6B2111D2"/>
    <w:rsid w:val="6BB169FA"/>
    <w:rsid w:val="6C5555D7"/>
    <w:rsid w:val="6CAF23A1"/>
    <w:rsid w:val="6E6C4E5A"/>
    <w:rsid w:val="71663DE2"/>
    <w:rsid w:val="71704C61"/>
    <w:rsid w:val="717358D6"/>
    <w:rsid w:val="72516841"/>
    <w:rsid w:val="7295497F"/>
    <w:rsid w:val="7306587D"/>
    <w:rsid w:val="73CB43D1"/>
    <w:rsid w:val="73D22AE9"/>
    <w:rsid w:val="74DA0D6F"/>
    <w:rsid w:val="760927AD"/>
    <w:rsid w:val="76CA6BC2"/>
    <w:rsid w:val="76E45ED5"/>
    <w:rsid w:val="7718792D"/>
    <w:rsid w:val="793842B6"/>
    <w:rsid w:val="79982FA7"/>
    <w:rsid w:val="7A3E58FC"/>
    <w:rsid w:val="7AFE6E3A"/>
    <w:rsid w:val="7B3311D9"/>
    <w:rsid w:val="7C0E57A2"/>
    <w:rsid w:val="7C120DEF"/>
    <w:rsid w:val="7C437219"/>
    <w:rsid w:val="7CBC6FAC"/>
    <w:rsid w:val="7CE56503"/>
    <w:rsid w:val="7F315A30"/>
    <w:rsid w:val="7FF805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uiPriority w:val="0"/>
    <w:pPr>
      <w:jc w:val="left"/>
    </w:pPr>
  </w:style>
  <w:style w:type="paragraph" w:styleId="7">
    <w:name w:val="endnote text"/>
    <w:basedOn w:val="1"/>
    <w:qFormat/>
    <w:uiPriority w:val="0"/>
    <w:pPr>
      <w:snapToGrid w:val="0"/>
      <w:jc w:val="left"/>
    </w:pPr>
  </w:style>
  <w:style w:type="paragraph" w:styleId="8">
    <w:name w:val="footnote text"/>
    <w:basedOn w:val="1"/>
    <w:qFormat/>
    <w:uiPriority w:val="0"/>
    <w:pPr>
      <w:snapToGrid w:val="0"/>
      <w:jc w:val="left"/>
    </w:pPr>
    <w:rPr>
      <w:sz w:val="18"/>
    </w:rPr>
  </w:style>
  <w:style w:type="paragraph" w:styleId="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1">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ndnote reference"/>
    <w:basedOn w:val="12"/>
    <w:qFormat/>
    <w:uiPriority w:val="0"/>
    <w:rPr>
      <w:vertAlign w:val="superscript"/>
    </w:rPr>
  </w:style>
  <w:style w:type="character" w:styleId="15">
    <w:name w:val="Hyperlink"/>
    <w:basedOn w:val="12"/>
    <w:qFormat/>
    <w:uiPriority w:val="0"/>
    <w:rPr>
      <w:color w:val="0000FF"/>
      <w:u w:val="single"/>
    </w:rPr>
  </w:style>
  <w:style w:type="character" w:styleId="16">
    <w:name w:val="footnote reference"/>
    <w:basedOn w:val="12"/>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chart" Target="charts/chart1.xml"/><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09585049580473"/>
          <c:y val="0.265106038647343"/>
          <c:w val="0.833473684210526"/>
          <c:h val="0.635972222222222"/>
        </c:manualLayout>
      </c:layout>
      <c:lineChart>
        <c:grouping val="standard"/>
        <c:varyColors val="0"/>
        <c:ser>
          <c:idx val="1"/>
          <c:order val="0"/>
          <c:tx>
            <c:strRef>
              <c:f>[工作簿1]Sheet1!$B$2</c:f>
              <c:strCache>
                <c:ptCount val="1"/>
                <c:pt idx="0">
                  <c:v>发文量</c:v>
                </c:pt>
              </c:strCache>
            </c:strRef>
          </c:tx>
          <c:spPr>
            <a:ln w="28575" cap="rnd">
              <a:solidFill>
                <a:srgbClr val="91A3D9">
                  <a:tint val="76667"/>
                </a:srgbClr>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600" b="0" i="0" u="none" strike="noStrike" kern="1200" baseline="0">
                    <a:solidFill>
                      <a:srgbClr val="404040">
                        <a:lumMod val="75000"/>
                        <a:lumOff val="25000"/>
                      </a:srgbClr>
                    </a:solidFill>
                    <a:latin typeface="仿宋" panose="02010609060101010101" charset="-122"/>
                    <a:ea typeface="仿宋" panose="02010609060101010101" charset="-122"/>
                    <a:cs typeface="仿宋" panose="02010609060101010101" charset="-122"/>
                    <a:sym typeface="仿宋" panose="0201060906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numRef>
              <c:f>[工作簿1]Sheet1!$A$3:$A$16</c:f>
              <c:numCache>
                <c:formatCode>General</c:formatCode>
                <c:ptCount val="14"/>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numCache>
            </c:numRef>
          </c:cat>
          <c:val>
            <c:numRef>
              <c:f>[工作簿1]Sheet1!$B$3:$B$16</c:f>
              <c:numCache>
                <c:formatCode>General</c:formatCode>
                <c:ptCount val="14"/>
                <c:pt idx="0">
                  <c:v>976</c:v>
                </c:pt>
                <c:pt idx="1">
                  <c:v>1038</c:v>
                </c:pt>
                <c:pt idx="2">
                  <c:v>1183</c:v>
                </c:pt>
                <c:pt idx="3">
                  <c:v>1119</c:v>
                </c:pt>
                <c:pt idx="4">
                  <c:v>1245</c:v>
                </c:pt>
                <c:pt idx="5">
                  <c:v>1414</c:v>
                </c:pt>
                <c:pt idx="6">
                  <c:v>1701</c:v>
                </c:pt>
                <c:pt idx="7">
                  <c:v>1973</c:v>
                </c:pt>
                <c:pt idx="8">
                  <c:v>3665</c:v>
                </c:pt>
                <c:pt idx="9">
                  <c:v>4552</c:v>
                </c:pt>
                <c:pt idx="10">
                  <c:v>5276</c:v>
                </c:pt>
                <c:pt idx="11">
                  <c:v>5721</c:v>
                </c:pt>
                <c:pt idx="12">
                  <c:v>5612</c:v>
                </c:pt>
                <c:pt idx="13">
                  <c:v>5268</c:v>
                </c:pt>
              </c:numCache>
            </c:numRef>
          </c:val>
          <c:smooth val="0"/>
        </c:ser>
        <c:dLbls>
          <c:showLegendKey val="0"/>
          <c:showVal val="1"/>
          <c:showCatName val="0"/>
          <c:showSerName val="0"/>
          <c:showPercent val="0"/>
          <c:showBubbleSize val="0"/>
        </c:dLbls>
        <c:marker val="0"/>
        <c:smooth val="0"/>
        <c:axId val="156388163"/>
        <c:axId val="340972414"/>
      </c:lineChart>
      <c:dateAx>
        <c:axId val="156388163"/>
        <c:scaling>
          <c:orientation val="minMax"/>
        </c:scaling>
        <c:delete val="0"/>
        <c:axPos val="b"/>
        <c:title>
          <c:tx>
            <c:rich>
              <a:bodyPr rot="0" spcFirstLastPara="0" vertOverflow="ellipsis" vert="horz" wrap="square" anchor="ctr" anchorCtr="1"/>
              <a:lstStyle/>
              <a:p>
                <a:pPr>
                  <a:defRPr lang="zh-CN" sz="600" b="0" i="0" u="none" strike="noStrike" kern="1200" baseline="0">
                    <a:solidFill>
                      <a:srgbClr val="595959">
                        <a:lumMod val="65000"/>
                        <a:lumOff val="35000"/>
                      </a:srgbClr>
                    </a:solidFill>
                    <a:latin typeface="仿宋" panose="02010609060101010101" charset="-122"/>
                    <a:ea typeface="仿宋" panose="02010609060101010101" charset="-122"/>
                    <a:cs typeface="仿宋" panose="02010609060101010101" charset="-122"/>
                    <a:sym typeface="仿宋" panose="02010609060101010101" charset="-122"/>
                  </a:defRPr>
                </a:pPr>
                <a:r>
                  <a:rPr sz="600">
                    <a:latin typeface="仿宋" panose="02010609060101010101" charset="-122"/>
                    <a:ea typeface="仿宋" panose="02010609060101010101" charset="-122"/>
                    <a:cs typeface="仿宋" panose="02010609060101010101" charset="-122"/>
                    <a:sym typeface="仿宋" panose="02010609060101010101" charset="-122"/>
                  </a:rPr>
                  <a:t>年份</a:t>
                </a:r>
                <a:endParaRPr sz="600">
                  <a:latin typeface="仿宋" panose="02010609060101010101" charset="-122"/>
                  <a:ea typeface="仿宋" panose="02010609060101010101" charset="-122"/>
                  <a:cs typeface="仿宋" panose="02010609060101010101" charset="-122"/>
                  <a:sym typeface="仿宋" panose="02010609060101010101" charset="-122"/>
                </a:endParaRPr>
              </a:p>
            </c:rich>
          </c:tx>
          <c:layout/>
          <c:overlay val="0"/>
          <c:spPr>
            <a:noFill/>
            <a:ln>
              <a:noFill/>
            </a:ln>
            <a:effectLst/>
          </c:spPr>
        </c:title>
        <c:numFmt formatCode="General" sourceLinked="0"/>
        <c:majorTickMark val="none"/>
        <c:minorTickMark val="none"/>
        <c:tickLblPos val="nextTo"/>
        <c:spPr>
          <a:noFill/>
          <a:ln w="9525" cap="flat" cmpd="sng" algn="ctr">
            <a:solidFill>
              <a:srgbClr val="D9D9D9">
                <a:lumMod val="15000"/>
                <a:lumOff val="85000"/>
              </a:srgbClr>
            </a:solidFill>
            <a:round/>
          </a:ln>
          <a:effectLst/>
        </c:spPr>
        <c:txPr>
          <a:bodyPr rot="-60000000" spcFirstLastPara="0" vertOverflow="ellipsis" vert="horz" wrap="square" anchor="ctr" anchorCtr="1"/>
          <a:lstStyle/>
          <a:p>
            <a:pPr>
              <a:defRPr lang="zh-CN" sz="600" b="0" i="0" u="none" strike="noStrike" kern="1200" baseline="0">
                <a:solidFill>
                  <a:srgbClr val="595959">
                    <a:lumMod val="65000"/>
                    <a:lumOff val="35000"/>
                  </a:srgbClr>
                </a:solidFill>
                <a:latin typeface="仿宋" panose="02010609060101010101" charset="-122"/>
                <a:ea typeface="仿宋" panose="02010609060101010101" charset="-122"/>
                <a:cs typeface="仿宋" panose="02010609060101010101" charset="-122"/>
                <a:sym typeface="仿宋" panose="02010609060101010101" charset="-122"/>
              </a:defRPr>
            </a:pPr>
          </a:p>
        </c:txPr>
        <c:crossAx val="340972414"/>
        <c:crosses val="autoZero"/>
        <c:auto val="0"/>
        <c:lblOffset val="100"/>
        <c:baseTimeUnit val="days"/>
      </c:dateAx>
      <c:valAx>
        <c:axId val="340972414"/>
        <c:scaling>
          <c:orientation val="minMax"/>
        </c:scaling>
        <c:delete val="0"/>
        <c:axPos val="l"/>
        <c:majorGridlines>
          <c:spPr>
            <a:ln w="9525" cap="flat" cmpd="sng" algn="ctr">
              <a:solidFill>
                <a:srgbClr val="E6E6E6">
                  <a:lumMod val="90200"/>
                </a:srgb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600" b="0" i="0" u="none" strike="noStrike" kern="1200" baseline="0">
                <a:solidFill>
                  <a:srgbClr val="595959">
                    <a:lumMod val="65000"/>
                    <a:lumOff val="35000"/>
                  </a:srgbClr>
                </a:solidFill>
                <a:latin typeface="仿宋" panose="02010609060101010101" charset="-122"/>
                <a:ea typeface="仿宋" panose="02010609060101010101" charset="-122"/>
                <a:cs typeface="仿宋" panose="02010609060101010101" charset="-122"/>
                <a:sym typeface="仿宋" panose="02010609060101010101" charset="-122"/>
              </a:defRPr>
            </a:pPr>
          </a:p>
        </c:txPr>
        <c:crossAx val="156388163"/>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600" b="0" i="0" u="none" strike="noStrike" kern="1200" baseline="0">
              <a:solidFill>
                <a:srgbClr val="595959">
                  <a:lumMod val="65000"/>
                  <a:lumOff val="35000"/>
                </a:srgbClr>
              </a:solidFill>
              <a:latin typeface="仿宋" panose="02010609060101010101" charset="-122"/>
              <a:ea typeface="仿宋" panose="02010609060101010101" charset="-122"/>
              <a:cs typeface="仿宋" panose="02010609060101010101" charset="-122"/>
              <a:sym typeface="仿宋" panose="02010609060101010101" charset="-122"/>
            </a:defRPr>
          </a:pPr>
        </a:p>
      </c:txPr>
    </c:legend>
    <c:plotVisOnly val="1"/>
    <c:dispBlanksAs val="gap"/>
    <c:showDLblsOverMax val="0"/>
    <c:extLst>
      <c:ext uri="{0b15fc19-7d7d-44ad-8c2d-2c3a37ce22c3}">
        <chartProps xmlns="https://web.wps.cn/et/2018/main" chartId="{145732ca-1378-48fe-b24b-eb4c184bf062}"/>
      </c:ext>
    </c:extLst>
  </c:chart>
  <c:spPr>
    <a:solidFill>
      <a:srgbClr val="FFFFFF"/>
    </a:solidFill>
    <a:ln w="9525" cap="flat" cmpd="sng" algn="ctr">
      <a:solidFill>
        <a:srgbClr val="D9D9D9">
          <a:lumMod val="15000"/>
          <a:lumOff val="85000"/>
        </a:srgbClr>
      </a:solidFill>
      <a:round/>
    </a:ln>
    <a:effectLst/>
  </c:spPr>
  <c:txPr>
    <a:bodyPr/>
    <a:lstStyle/>
    <a:p>
      <a:pPr>
        <a:defRPr lang="zh-CN" sz="600">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4">
  <a:srgbClr val="4874CB"/>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rgbClr val="000000"/>
    </cs:fontRef>
  </cs:dataPoint>
  <cs:dataPoint3D>
    <cs:lnRef idx="0"/>
    <cs:fillRef idx="1">
      <cs:styleClr val="auto"/>
    </cs:fillRef>
    <cs:effectRef idx="0"/>
    <cs:fontRef idx="minor">
      <a:srgbClr val="000000"/>
    </cs:fontRef>
  </cs:dataPoint3D>
  <cs:dataPointLine>
    <cs:lnRef idx="0">
      <cs:styleClr val="auto"/>
    </cs:lnRef>
    <cs:fillRef idx="0">
      <cs:styleClr val="auto"/>
    </cs:fillRef>
    <cs:effectRef idx="0"/>
    <cs:fontRef idx="minor">
      <a:srgbClr val="000000"/>
    </cs:fontRef>
    <cs:spPr>
      <a:ln w="28575" cap="rnd">
        <a:solidFill>
          <a:srgbClr val="FFFFFF"/>
        </a:solidFill>
        <a:round/>
      </a:ln>
      <a:effectLst/>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1"/>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595959">
          <a:lumMod val="65000"/>
          <a:lumOff val="35000"/>
        </a:srgbClr>
      </a:solidFill>
      <a:ln w="9525">
        <a:solidFill>
          <a:srgbClr val="595959">
            <a:lumMod val="65000"/>
            <a:lumOff val="35000"/>
          </a:srgbClr>
        </a:solidFill>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404040">
            <a:lumMod val="75000"/>
            <a:lumOff val="25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D9D9D9">
            <a:lumMod val="15000"/>
            <a:lumOff val="85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11158</Words>
  <Characters>12887</Characters>
  <Lines>0</Lines>
  <Paragraphs>0</Paragraphs>
  <TotalTime>18</TotalTime>
  <ScaleCrop>false</ScaleCrop>
  <LinksUpToDate>false</LinksUpToDate>
  <CharactersWithSpaces>13126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2024-12-29T21:17:00Z</dcterms:created>
  <dc:creator>君嶋加奈</dc:creator>
  <cp:lastModifiedBy>君嶋加奈</cp:lastModifiedBy>
  <dcterms:modified xsi:type="dcterms:W3CDTF">2025-06-18T14:12:00Z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0CA21A3C518C42559BA8995CB6EA9D9C_13</vt:lpwstr>
  </property>
  <property fmtid="{D5CDD505-2E9C-101B-9397-08002B2CF9AE}" pid="4" name="KSOTemplateDocerSaveRecord">
    <vt:lpwstr>eyJoZGlkIjoiYjNiZTEwNTJlYWRlZTUwOTExYmUzYzNlYWM4ZmE4YTQiLCJ1c2VySWQiOiIyNDU1ODYzNjMifQ==</vt:lpwstr>
  </property>
</Properties>
</file>