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外交部例行记者会文本内容分析可视化图表</w:t>
      </w:r>
    </w:p>
    <w:p>
      <w:r>
        <w:t>本文件根据已编码的外交部例行记者会问答单元生成，主要展示议题类型分布、话语策略分布以及议题类型与话语策略之间的交叉关系。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0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ssu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议题类型分布。国际热点、主权安全和经贸科技是样本期内较突出的议题类型。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3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rategy_lollip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话语策略出现频率。合作框架和责任归因是出现频率最高的两类话语策略。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44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ssue_strategy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议题类型与话语策略交叉热力图。颜色越深表示对应话语策略在该议题类型中出现越多。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05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ssue_strategy_bub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议题类型与话语策略气泡矩阵。气泡越大表示对应组合出现次数越高。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