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外交部例行记者会文本内容分析编码手册</w:t>
      </w:r>
    </w:p>
    <w:p>
      <w:pPr>
        <w:jc w:val="center"/>
      </w:pPr>
      <w:r>
        <w:rPr>
          <w:rFonts w:ascii="宋体" w:hAnsi="宋体" w:eastAsia="宋体"/>
          <w:sz w:val="22"/>
        </w:rPr>
        <w:t>适用于“当代中国外交话语的议题结构与话语策略研究”课程论文</w:t>
      </w:r>
    </w:p>
    <w:p>
      <w:pPr>
        <w:ind w:firstLine="420"/>
      </w:pPr>
      <w:r>
        <w:t>本编码手册用于规范外交部例行记者会文本的内容分析。研究以2026年3月1日至2026年4月30日期间外交部官网公开发布的例行记者会文字实录为样本，以“记者提问—发言人回答”为基本分析单位，考察当代中国外交话语的议题结构与话语策略。</w:t>
      </w:r>
    </w:p>
    <w:p>
      <w:pPr>
        <w:pStyle w:val="Heading1"/>
      </w:pPr>
      <w:r>
        <w:t>一、分析单位与样本范围</w:t>
      </w:r>
    </w:p>
    <w:p>
      <w:pPr>
        <w:spacing w:line="300" w:lineRule="auto"/>
        <w:ind w:firstLine="420"/>
      </w:pPr>
      <w:r>
        <w:t>1. 分析单位：每一个完整的“记者提问—发言人回答”为一个分析单位。若同一场记者会包含多个问答，则分别编码。</w:t>
      </w:r>
    </w:p>
    <w:p>
      <w:pPr>
        <w:spacing w:line="300" w:lineRule="auto"/>
        <w:ind w:firstLine="420"/>
      </w:pPr>
      <w:r>
        <w:t>2. 样本范围：2026年3月1日至2026年4月30日期间，外交部官网公开发布的例行记者会文字实录。</w:t>
      </w:r>
    </w:p>
    <w:p>
      <w:pPr>
        <w:spacing w:line="300" w:lineRule="auto"/>
        <w:ind w:firstLine="420"/>
      </w:pPr>
      <w:r>
        <w:t>3. 文本来源：中华人民共和国外交部官网“例行记者会”栏目。编码表中应保留日期、标题、发言人、原文链接、问题文本和回答文本。</w:t>
      </w:r>
    </w:p>
    <w:p>
      <w:pPr>
        <w:spacing w:line="300" w:lineRule="auto"/>
        <w:ind w:firstLine="420"/>
      </w:pPr>
      <w:r>
        <w:t>4. 编码原则：所有判断均以公开文本中可见内容为依据，不根据编码者主观推测或外部背景信息补充判断。</w:t>
      </w:r>
    </w:p>
    <w:p>
      <w:pPr>
        <w:pStyle w:val="Heading1"/>
      </w:pPr>
      <w:r>
        <w:t>二、变量设置</w:t>
      </w:r>
    </w:p>
    <w:p>
      <w:pPr>
        <w:ind w:firstLine="420"/>
      </w:pPr>
      <w:r>
        <w:t>本研究的编码变量分为两类：第一类为议题类型变量，用于描述问答单元涉及的主要外交议题；第二类为话语策略变量，用于识别发言人回答中呈现的主要话语框架和表达策略。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0"/>
              </w:rPr>
              <w:t>变量类别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0"/>
              </w:rPr>
              <w:t>变量名</w:t>
            </w:r>
          </w:p>
        </w:tc>
        <w:tc>
          <w:tcPr>
            <w:tcW w:type="dxa" w:w="1247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0"/>
              </w:rPr>
              <w:t>编码方式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议题类型</w:t>
            </w:r>
          </w:p>
        </w:tc>
        <w:tc>
          <w:tcPr>
            <w:tcW w:type="dxa" w:w="2268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issue_type</w:t>
            </w:r>
          </w:p>
        </w:tc>
        <w:tc>
          <w:tcPr>
            <w:tcW w:type="dxa" w:w="1247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单选</w:t>
            </w:r>
          </w:p>
        </w:tc>
        <w:tc>
          <w:tcPr>
            <w:tcW w:type="dxa" w:w="3969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每条问答只选择一个主要议题类型。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合作框架</w:t>
            </w:r>
          </w:p>
        </w:tc>
        <w:tc>
          <w:tcPr>
            <w:tcW w:type="dxa" w:w="2268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cooperation_frame</w:t>
            </w:r>
          </w:p>
        </w:tc>
        <w:tc>
          <w:tcPr>
            <w:tcW w:type="dxa" w:w="1247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0/1</w:t>
            </w:r>
          </w:p>
        </w:tc>
        <w:tc>
          <w:tcPr>
            <w:tcW w:type="dxa" w:w="3969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回答中是否强调合作、对话、交流、共赢等。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发展框架</w:t>
            </w:r>
          </w:p>
        </w:tc>
        <w:tc>
          <w:tcPr>
            <w:tcW w:type="dxa" w:w="2268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development_frame</w:t>
            </w:r>
          </w:p>
        </w:tc>
        <w:tc>
          <w:tcPr>
            <w:tcW w:type="dxa" w:w="1247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0/1</w:t>
            </w:r>
          </w:p>
        </w:tc>
        <w:tc>
          <w:tcPr>
            <w:tcW w:type="dxa" w:w="3969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回答中是否强调发展、共同发展、全球发展等。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主权安全框架</w:t>
            </w:r>
          </w:p>
        </w:tc>
        <w:tc>
          <w:tcPr>
            <w:tcW w:type="dxa" w:w="2268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sovereignty_frame</w:t>
            </w:r>
          </w:p>
        </w:tc>
        <w:tc>
          <w:tcPr>
            <w:tcW w:type="dxa" w:w="1247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0/1</w:t>
            </w:r>
          </w:p>
        </w:tc>
        <w:tc>
          <w:tcPr>
            <w:tcW w:type="dxa" w:w="3969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回答中是否涉及主权、安全、内政、领土完整等。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多边主义框架</w:t>
            </w:r>
          </w:p>
        </w:tc>
        <w:tc>
          <w:tcPr>
            <w:tcW w:type="dxa" w:w="2268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multilateral_frame</w:t>
            </w:r>
          </w:p>
        </w:tc>
        <w:tc>
          <w:tcPr>
            <w:tcW w:type="dxa" w:w="1247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0/1</w:t>
            </w:r>
          </w:p>
        </w:tc>
        <w:tc>
          <w:tcPr>
            <w:tcW w:type="dxa" w:w="3969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回答中是否涉及联合国、国际法、多边主义、国际社会等。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责任归因</w:t>
            </w:r>
          </w:p>
        </w:tc>
        <w:tc>
          <w:tcPr>
            <w:tcW w:type="dxa" w:w="2268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responsibility_attribution</w:t>
            </w:r>
          </w:p>
        </w:tc>
        <w:tc>
          <w:tcPr>
            <w:tcW w:type="dxa" w:w="1247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0/1</w:t>
            </w:r>
          </w:p>
        </w:tc>
        <w:tc>
          <w:tcPr>
            <w:tcW w:type="dxa" w:w="3969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回答中是否指出问题责任方、根源、错误行为或应承担责任者。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批评性话语</w:t>
            </w:r>
          </w:p>
        </w:tc>
        <w:tc>
          <w:tcPr>
            <w:tcW w:type="dxa" w:w="2268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criticism_frame</w:t>
            </w:r>
          </w:p>
        </w:tc>
        <w:tc>
          <w:tcPr>
            <w:tcW w:type="dxa" w:w="1247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0/1</w:t>
            </w:r>
          </w:p>
        </w:tc>
        <w:tc>
          <w:tcPr>
            <w:tcW w:type="dxa" w:w="3969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回答中是否出现反对、敦促、谴责、霸权、双重标准等批评性表达。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中国正面形象建构</w:t>
            </w:r>
          </w:p>
        </w:tc>
        <w:tc>
          <w:tcPr>
            <w:tcW w:type="dxa" w:w="2268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positive_self_image</w:t>
            </w:r>
          </w:p>
        </w:tc>
        <w:tc>
          <w:tcPr>
            <w:tcW w:type="dxa" w:w="1247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0/1</w:t>
            </w:r>
          </w:p>
        </w:tc>
        <w:tc>
          <w:tcPr>
            <w:tcW w:type="dxa" w:w="3969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回答中是否将中国表述为负责任、建设性、维护和平、推动合作的一方。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备注</w:t>
            </w:r>
          </w:p>
        </w:tc>
        <w:tc>
          <w:tcPr>
            <w:tcW w:type="dxa" w:w="2268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notes</w:t>
            </w:r>
          </w:p>
        </w:tc>
        <w:tc>
          <w:tcPr>
            <w:tcW w:type="dxa" w:w="1247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文本</w:t>
            </w:r>
          </w:p>
        </w:tc>
        <w:tc>
          <w:tcPr>
            <w:tcW w:type="dxa" w:w="3969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记录疑难样本、判断依据或需要复核的问题。</w:t>
            </w:r>
          </w:p>
        </w:tc>
      </w:tr>
    </w:tbl>
    <w:p/>
    <w:p>
      <w:pPr>
        <w:pStyle w:val="Heading1"/>
      </w:pPr>
      <w:r>
        <w:t>三、议题类型编码规则</w:t>
      </w:r>
    </w:p>
    <w:p>
      <w:pPr>
        <w:ind w:firstLine="420"/>
      </w:pPr>
      <w:r>
        <w:t>issue_type 为单选变量。若同一问答涉及多个议题，应根据发言人回答的核心回应对象、主要立场和篇幅重点确定一个主要议题。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3211"/>
        <w:gridCol w:w="3211"/>
        <w:gridCol w:w="3211"/>
      </w:tblGrid>
      <w:tr>
        <w:tc>
          <w:tcPr>
            <w:tcW w:type="dxa" w:w="1587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0"/>
              </w:rPr>
              <w:t>编码类别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0"/>
              </w:rPr>
              <w:t>判断标准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0"/>
              </w:rPr>
              <w:t>常见关键词或示例</w:t>
            </w:r>
          </w:p>
        </w:tc>
      </w:tr>
      <w:tr>
        <w:tc>
          <w:tcPr>
            <w:tcW w:type="dxa" w:w="1587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大国关系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涉及中国与主要大国或大国集团之间的双边关系、战略互动或外交沟通。</w:t>
            </w:r>
          </w:p>
        </w:tc>
        <w:tc>
          <w:tcPr>
            <w:tcW w:type="dxa" w:w="3402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美国、俄罗斯、欧盟、日本、中美关系、中俄关系、中欧关系、中日关系</w:t>
            </w:r>
          </w:p>
        </w:tc>
      </w:tr>
      <w:tr>
        <w:tc>
          <w:tcPr>
            <w:tcW w:type="dxa" w:w="1587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周边外交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涉及中国周边国家、区域合作、边境事务、区域安全或周边多边机制。</w:t>
            </w:r>
          </w:p>
        </w:tc>
        <w:tc>
          <w:tcPr>
            <w:tcW w:type="dxa" w:w="3402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东盟、韩国、朝鲜、南海、湄公河、上海合作组织、周边国家</w:t>
            </w:r>
          </w:p>
        </w:tc>
      </w:tr>
      <w:tr>
        <w:tc>
          <w:tcPr>
            <w:tcW w:type="dxa" w:w="1587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主权安全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涉及国家主权、领土完整、内政、国家安全、台湾、涉港、涉疆、涉藏等核心利益问题。</w:t>
            </w:r>
          </w:p>
        </w:tc>
        <w:tc>
          <w:tcPr>
            <w:tcW w:type="dxa" w:w="3402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主权、内政、台湾、香港、新疆、西藏、领土完整、国家安全、一个中国原则</w:t>
            </w:r>
          </w:p>
        </w:tc>
      </w:tr>
      <w:tr>
        <w:tc>
          <w:tcPr>
            <w:tcW w:type="dxa" w:w="1587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全球治理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涉及联合国、多边机制、全球发展、全球安全、气候变化、国际规则或国际制度建设。</w:t>
            </w:r>
          </w:p>
        </w:tc>
        <w:tc>
          <w:tcPr>
            <w:tcW w:type="dxa" w:w="3402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联合国、多边主义、全球治理、气候变化、全球发展倡议、国际规则</w:t>
            </w:r>
          </w:p>
        </w:tc>
      </w:tr>
      <w:tr>
        <w:tc>
          <w:tcPr>
            <w:tcW w:type="dxa" w:w="1587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经贸科技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涉及贸易、关税、制裁、产业链、供应链、科技限制、企业或市场准入等问题。</w:t>
            </w:r>
          </w:p>
        </w:tc>
        <w:tc>
          <w:tcPr>
            <w:tcW w:type="dxa" w:w="3402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贸易、关税、制裁、芯片、出口管制、供应链、企业、市场准入</w:t>
            </w:r>
          </w:p>
        </w:tc>
      </w:tr>
      <w:tr>
        <w:tc>
          <w:tcPr>
            <w:tcW w:type="dxa" w:w="1587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国际热点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涉及地区冲突、战争、危机、突发国际事件或重大国际安全议题。</w:t>
            </w:r>
          </w:p>
        </w:tc>
        <w:tc>
          <w:tcPr>
            <w:tcW w:type="dxa" w:w="3402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乌克兰危机、巴以冲突、伊朗、红海、地区冲突、停火、和平谈判</w:t>
            </w:r>
          </w:p>
        </w:tc>
      </w:tr>
      <w:tr>
        <w:tc>
          <w:tcPr>
            <w:tcW w:type="dxa" w:w="1587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人文交流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涉及签证、留学、旅游、文化交流、媒体交流、人员往来等。</w:t>
            </w:r>
          </w:p>
        </w:tc>
        <w:tc>
          <w:tcPr>
            <w:tcW w:type="dxa" w:w="3402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签证、留学、旅游、文化、航班、人员往来、文明交流</w:t>
            </w:r>
          </w:p>
        </w:tc>
      </w:tr>
      <w:tr>
        <w:tc>
          <w:tcPr>
            <w:tcW w:type="dxa" w:w="1587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其他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与外交有关但难以归入以上类别，或信息量不足以明确归类。</w:t>
            </w:r>
          </w:p>
        </w:tc>
        <w:tc>
          <w:tcPr>
            <w:tcW w:type="dxa" w:w="3402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其他外交事务、一般性信息发布</w:t>
            </w:r>
          </w:p>
        </w:tc>
      </w:tr>
    </w:tbl>
    <w:p/>
    <w:p>
      <w:pPr>
        <w:pStyle w:val="Heading1"/>
      </w:pPr>
      <w:r>
        <w:t>四、话语策略编码规则</w:t>
      </w:r>
    </w:p>
    <w:p>
      <w:pPr>
        <w:ind w:firstLine="420"/>
      </w:pPr>
      <w:r>
        <w:t>话语策略变量均采用0/1编码。若回答中明确出现相应表达或形成相应框架，记为1；否则记为0。同一问答可以同时具有多个话语策略。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19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0"/>
              </w:rPr>
              <w:t>变量名</w:t>
            </w:r>
          </w:p>
        </w:tc>
        <w:tc>
          <w:tcPr>
            <w:tcW w:type="dxa" w:w="1587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0"/>
              </w:rPr>
              <w:t>名称</w:t>
            </w:r>
          </w:p>
        </w:tc>
        <w:tc>
          <w:tcPr>
            <w:tcW w:type="dxa" w:w="3685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0"/>
              </w:rPr>
              <w:t>记为1的判断标准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0"/>
              </w:rPr>
              <w:t>不记为1的情况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cooperation_frame</w:t>
            </w:r>
          </w:p>
        </w:tc>
        <w:tc>
          <w:tcPr>
            <w:tcW w:type="dxa" w:w="1587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合作框架</w:t>
            </w:r>
          </w:p>
        </w:tc>
        <w:tc>
          <w:tcPr>
            <w:tcW w:type="dxa" w:w="368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回答中强调合作、对话、交流、协商、共赢、伙伴关系、共同努力等。</w:t>
            </w:r>
          </w:p>
        </w:tc>
        <w:tc>
          <w:tcPr>
            <w:tcW w:type="dxa" w:w="283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仅客观提到合作机制名称，但没有表达合作立场或合作倡议。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development_frame</w:t>
            </w:r>
          </w:p>
        </w:tc>
        <w:tc>
          <w:tcPr>
            <w:tcW w:type="dxa" w:w="1587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发展框架</w:t>
            </w:r>
          </w:p>
        </w:tc>
        <w:tc>
          <w:tcPr>
            <w:tcW w:type="dxa" w:w="368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回答中强调发展、共同发展、全球发展、经济发展、发展中国家、发展权益等。</w:t>
            </w:r>
          </w:p>
        </w:tc>
        <w:tc>
          <w:tcPr>
            <w:tcW w:type="dxa" w:w="283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仅提到某国经济数据或一般贸易事实，但未形成发展叙事。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sovereignty_frame</w:t>
            </w:r>
          </w:p>
        </w:tc>
        <w:tc>
          <w:tcPr>
            <w:tcW w:type="dxa" w:w="1587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主权安全框架</w:t>
            </w:r>
          </w:p>
        </w:tc>
        <w:tc>
          <w:tcPr>
            <w:tcW w:type="dxa" w:w="368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回答中涉及主权、安全、内政、领土完整、核心利益、一个中国原则等。</w:t>
            </w:r>
          </w:p>
        </w:tc>
        <w:tc>
          <w:tcPr>
            <w:tcW w:type="dxa" w:w="283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仅提到国家名称或地区名称，但没有主权、安全或内政含义。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multilateral_frame</w:t>
            </w:r>
          </w:p>
        </w:tc>
        <w:tc>
          <w:tcPr>
            <w:tcW w:type="dxa" w:w="1587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多边主义框架</w:t>
            </w:r>
          </w:p>
        </w:tc>
        <w:tc>
          <w:tcPr>
            <w:tcW w:type="dxa" w:w="368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回答中涉及联合国、国际法、国际规则、多边主义、国际社会、国际秩序等。</w:t>
            </w:r>
          </w:p>
        </w:tc>
        <w:tc>
          <w:tcPr>
            <w:tcW w:type="dxa" w:w="283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仅提到某个国际组织名称，但没有规则、秩序或多边合作含义。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responsibility_attribution</w:t>
            </w:r>
          </w:p>
        </w:tc>
        <w:tc>
          <w:tcPr>
            <w:tcW w:type="dxa" w:w="1587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责任归因</w:t>
            </w:r>
          </w:p>
        </w:tc>
        <w:tc>
          <w:tcPr>
            <w:tcW w:type="dxa" w:w="368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回答中明确指出某一国家、组织、行为主体或政策是问题原因、责任方或应采取行动者。</w:t>
            </w:r>
          </w:p>
        </w:tc>
        <w:tc>
          <w:tcPr>
            <w:tcW w:type="dxa" w:w="283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只是描述事件背景，没有说明责任、原因、根源或应承担义务。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criticism_frame</w:t>
            </w:r>
          </w:p>
        </w:tc>
        <w:tc>
          <w:tcPr>
            <w:tcW w:type="dxa" w:w="1587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批评性话语</w:t>
            </w:r>
          </w:p>
        </w:tc>
        <w:tc>
          <w:tcPr>
            <w:tcW w:type="dxa" w:w="368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回答中出现反对、敦促、谴责、霸权、干涉、双重标准、错误做法、冷战思维等批评性表达。</w:t>
            </w:r>
          </w:p>
        </w:tc>
        <w:tc>
          <w:tcPr>
            <w:tcW w:type="dxa" w:w="283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语气中性、仅作事实说明或一般性立场表述。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positive_self_image</w:t>
            </w:r>
          </w:p>
        </w:tc>
        <w:tc>
          <w:tcPr>
            <w:tcW w:type="dxa" w:w="1587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中国正面形象建构</w:t>
            </w:r>
          </w:p>
        </w:tc>
        <w:tc>
          <w:tcPr>
            <w:tcW w:type="dxa" w:w="368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回答中将中国表述为负责任、建设性、维护和平、促进发展、推动合作、遵守国际法、支持多边主义的一方。</w:t>
            </w:r>
          </w:p>
        </w:tc>
        <w:tc>
          <w:tcPr>
            <w:tcW w:type="dxa" w:w="283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只出现“中方”二字或普通立场说明，但没有正面角色建构。</w:t>
            </w:r>
          </w:p>
        </w:tc>
      </w:tr>
    </w:tbl>
    <w:p/>
    <w:p>
      <w:pPr>
        <w:pStyle w:val="Heading1"/>
      </w:pPr>
      <w:r>
        <w:t>五、编码流程</w:t>
      </w:r>
    </w:p>
    <w:p>
      <w:pPr>
        <w:spacing w:line="300" w:lineRule="auto"/>
        <w:ind w:firstLine="420"/>
      </w:pPr>
      <w:r>
        <w:t>第一步，核对问答切分。检查每条样本是否为一个完整的“记者提问—发言人回答”单元，若拆分错误，先进行人工修正。</w:t>
      </w:r>
    </w:p>
    <w:p>
      <w:pPr>
        <w:spacing w:line="300" w:lineRule="auto"/>
        <w:ind w:firstLine="420"/>
      </w:pPr>
      <w:r>
        <w:t>第二步，进行议题类型编码。通读问题和回答，根据回答的主要回应对象和核心内容填写 issue_type。</w:t>
      </w:r>
    </w:p>
    <w:p>
      <w:pPr>
        <w:spacing w:line="300" w:lineRule="auto"/>
        <w:ind w:firstLine="420"/>
      </w:pPr>
      <w:r>
        <w:t>第三步，进行话语策略编码。逐项判断回答中是否出现合作、发展、主权安全、多边主义、责任归因、批评性话语和中国正面形象建构。符合标准记1，不符合记0。</w:t>
      </w:r>
    </w:p>
    <w:p>
      <w:pPr>
        <w:spacing w:line="300" w:lineRule="auto"/>
        <w:ind w:firstLine="420"/>
      </w:pPr>
      <w:r>
        <w:t>第四步，填写 notes。对边界模糊、涉及多个议题或需要复核的样本，简要写明判断依据。</w:t>
      </w:r>
    </w:p>
    <w:p>
      <w:pPr>
        <w:spacing w:line="300" w:lineRule="auto"/>
        <w:ind w:firstLine="420"/>
      </w:pPr>
      <w:r>
        <w:t>第五步，复核编码。完成初次编码后，筛选 notes 不为空或判断困难的样本，统一复核并保持编码标准一致。</w:t>
      </w:r>
    </w:p>
    <w:p>
      <w:pPr>
        <w:pStyle w:val="Heading1"/>
      </w:pPr>
      <w:r>
        <w:t>六、特殊情况处理规则</w:t>
      </w:r>
    </w:p>
    <w:p>
      <w:pPr>
        <w:spacing w:line="300" w:lineRule="auto"/>
        <w:ind w:firstLine="420"/>
      </w:pPr>
      <w:r>
        <w:t>1. 一问多议题：若问题涉及多个议题，优先根据发言人回答篇幅最大、立场最明确的部分确定主议题。</w:t>
      </w:r>
    </w:p>
    <w:p>
      <w:pPr>
        <w:spacing w:line="300" w:lineRule="auto"/>
        <w:ind w:firstLine="420"/>
      </w:pPr>
      <w:r>
        <w:t>2. 国家对象与议题类别冲突：如果问题涉及某一国家，但回答重点是国际法、联合国或多边机制，可编码为“全球治理”；如果回答重点是双边关系，则编码为“大国关系”或“周边外交”。</w:t>
      </w:r>
    </w:p>
    <w:p>
      <w:pPr>
        <w:spacing w:line="300" w:lineRule="auto"/>
        <w:ind w:firstLine="420"/>
      </w:pPr>
      <w:r>
        <w:t>3. 南海等议题的处理：若重点是领土、主权或安全，编码为“主权安全”；若重点是地区合作或周边国家关系，编码为“周边外交”。</w:t>
      </w:r>
    </w:p>
    <w:p>
      <w:pPr>
        <w:spacing w:line="300" w:lineRule="auto"/>
        <w:ind w:firstLine="420"/>
      </w:pPr>
      <w:r>
        <w:t>4. 国际冲突议题：乌克兰、巴以、红海、伊朗等冲突或危机一般编码为“国际热点”；若回答重点转向联合国、国际法或全球安全治理，可视情况编码为“全球治理”。</w:t>
      </w:r>
    </w:p>
    <w:p>
      <w:pPr>
        <w:spacing w:line="300" w:lineRule="auto"/>
        <w:ind w:firstLine="420"/>
      </w:pPr>
      <w:r>
        <w:t>5. 多个话语策略并存：同一回答可以同时出现合作框架、批评性话语和责任归因等，相关变量均可记为1。</w:t>
      </w:r>
    </w:p>
    <w:p>
      <w:pPr>
        <w:spacing w:line="300" w:lineRule="auto"/>
        <w:ind w:firstLine="420"/>
      </w:pPr>
      <w:r>
        <w:t>6. 不确定样本：若难以判断，不随意推断，应在 notes 中标明“需复核”，并在编码完成后统一处理。</w:t>
      </w:r>
    </w:p>
    <w:p>
      <w:pPr>
        <w:pStyle w:val="Heading1"/>
      </w:pPr>
      <w:r>
        <w:t>七、编码示例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0"/>
              </w:rPr>
              <w:t>示例情形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0"/>
              </w:rPr>
              <w:t>issue_type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0"/>
              </w:rPr>
              <w:t>可能的话语策略编码</w:t>
            </w:r>
          </w:p>
        </w:tc>
        <w:tc>
          <w:tcPr>
            <w:tcW w:type="dxa" w:w="2551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回答强调中方愿同有关国家加强对话合作，维护地区和平稳定。</w:t>
            </w:r>
          </w:p>
        </w:tc>
        <w:tc>
          <w:tcPr>
            <w:tcW w:type="dxa" w:w="1701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周边外交或国际热点</w:t>
            </w:r>
          </w:p>
        </w:tc>
        <w:tc>
          <w:tcPr>
            <w:tcW w:type="dxa" w:w="283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cooperation_frame=1；positive_self_image=1</w:t>
            </w:r>
          </w:p>
        </w:tc>
        <w:tc>
          <w:tcPr>
            <w:tcW w:type="dxa" w:w="2551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若重点是地区局势，可视为国际热点；若重点是邻国关系，可视为周边外交。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回答指出台湾问题纯属中国内政，外部势力不得干涉。</w:t>
            </w:r>
          </w:p>
        </w:tc>
        <w:tc>
          <w:tcPr>
            <w:tcW w:type="dxa" w:w="1701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主权安全</w:t>
            </w:r>
          </w:p>
        </w:tc>
        <w:tc>
          <w:tcPr>
            <w:tcW w:type="dxa" w:w="283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sovereignty_frame=1；criticism_frame=1；responsibility_attribution=1</w:t>
            </w:r>
          </w:p>
        </w:tc>
        <w:tc>
          <w:tcPr>
            <w:tcW w:type="dxa" w:w="2551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涉及主权、内政和对外部干涉的批评。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回答强调应遵守联合国宪章和国际法，通过对话解决争端。</w:t>
            </w:r>
          </w:p>
        </w:tc>
        <w:tc>
          <w:tcPr>
            <w:tcW w:type="dxa" w:w="1701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全球治理或国际热点</w:t>
            </w:r>
          </w:p>
        </w:tc>
        <w:tc>
          <w:tcPr>
            <w:tcW w:type="dxa" w:w="283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multilateral_frame=1；cooperation_frame=1；positive_self_image=1</w:t>
            </w:r>
          </w:p>
        </w:tc>
        <w:tc>
          <w:tcPr>
            <w:tcW w:type="dxa" w:w="2551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若围绕具体冲突，可编码为国际热点；若重点是规则和机制，可编码为全球治理。</w:t>
            </w:r>
          </w:p>
        </w:tc>
      </w:tr>
      <w:tr>
        <w:tc>
          <w:tcPr>
            <w:tcW w:type="dxa" w:w="3118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回答批评个别国家搞单边制裁和长臂管辖。</w:t>
            </w:r>
          </w:p>
        </w:tc>
        <w:tc>
          <w:tcPr>
            <w:tcW w:type="dxa" w:w="1701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经贸科技或大国关系</w:t>
            </w:r>
          </w:p>
        </w:tc>
        <w:tc>
          <w:tcPr>
            <w:tcW w:type="dxa" w:w="2835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criticism_frame=1；responsibility_attribution=1</w:t>
            </w:r>
          </w:p>
        </w:tc>
        <w:tc>
          <w:tcPr>
            <w:tcW w:type="dxa" w:w="2551"/>
            <w:vAlign w:val="top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0"/>
              </w:rPr>
              <w:t>若重点是制裁、贸易、科技限制，编码为经贸科技。</w:t>
            </w:r>
          </w:p>
        </w:tc>
      </w:tr>
    </w:tbl>
    <w:p/>
    <w:p>
      <w:pPr>
        <w:pStyle w:val="Heading1"/>
      </w:pPr>
      <w:r>
        <w:t>八、编码结果使用说明</w:t>
      </w:r>
    </w:p>
    <w:p>
      <w:pPr>
        <w:spacing w:line="300" w:lineRule="auto"/>
        <w:ind w:firstLine="420"/>
      </w:pPr>
      <w:r>
        <w:t>编码完成后，可首先统计 issue_type 的频数和占比，用于呈现样本期外交部例行记者会的议题结构。</w:t>
      </w:r>
    </w:p>
    <w:p>
      <w:pPr>
        <w:spacing w:line="300" w:lineRule="auto"/>
        <w:ind w:firstLine="420"/>
      </w:pPr>
      <w:r>
        <w:t>其次，可统计各话语策略变量的出现次数和占比，用于分析外交话语的总体策略特征。</w:t>
      </w:r>
    </w:p>
    <w:p>
      <w:pPr>
        <w:spacing w:line="300" w:lineRule="auto"/>
        <w:ind w:firstLine="420"/>
      </w:pPr>
      <w:r>
        <w:t>最后，可制作“议题类型 × 话语策略”的交叉表，观察不同议题中话语策略的差异。例如，主权安全议题是否更常出现主权框架和批评性话语，全球治理议题是否更常出现多边主义框架。</w:t>
      </w:r>
    </w:p>
    <w:p>
      <w:pPr>
        <w:pStyle w:val="Heading1"/>
      </w:pPr>
      <w:r>
        <w:t>九、研究局限说明建议</w:t>
      </w:r>
    </w:p>
    <w:p>
      <w:pPr>
        <w:spacing w:line="300" w:lineRule="auto"/>
        <w:ind w:firstLine="420"/>
      </w:pPr>
      <w:r>
        <w:t>由于本研究为课程论文，样本时间范围限定在2026年3月至4月，且主要采用人工编码和描述性统计。因此，研究结果更适合用于呈现该时段外交部例行记者会话语的基本特征，不宜直接推广为全年或长期趋势。后续研究可扩大样本范围，并引入多名编码者进行一致性检验。</w:t>
      </w:r>
    </w:p>
    <w:sectPr w:rsidR="00FC693F" w:rsidRPr="0006063C" w:rsidSect="00034616"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宋体" w:hAnsi="宋体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