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2332"/>
          <w:sz w:val="36"/>
          <w:szCs w:val="36"/>
        </w:rPr>
        <w:t xml:space="preserve">TRINH LE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c6faa"/>
          <w:sz w:val="24"/>
          <w:szCs w:val="24"/>
        </w:rPr>
        <w:t xml:space="preserve">Senior Solution Architect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Cloud | Enterprise Integration | Digital Transformation</w:t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Wellington, New Zealand  |  +64 22 4146855  |  lvdatri@gmail.com  |  linkedin.com/in/trinhle-b34b6334</w:t>
      </w:r>
    </w:p>
    <w:p>
      <w:pPr>
        <w:pBdr>
          <w:bottom w:val="single" w:color="1a2332" w:sz="6"/>
        </w:pBdr>
        <w:spacing w:after="200"/>
      </w:pPr>
    </w:p>
    <w:p>
      <w:pPr>
        <w:pBdr>
          <w:bottom w:val="single" w:color="CCCCCC" w:sz="4"/>
        </w:pBdr>
        <w:spacing w:after="100" w:before="2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EXECUTIVE PROFILE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Senior Solution Architect specialising in enterprise integration, API ecosystems, and hybrid cloud platforms, with a strong track record delivering large-scale transformation programs.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Expert in AWS, Azure, and Oracle Cloud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Specialised in API-first, event-driven, and hybrid cloud architectures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Strong track record modernising legacy systems into scalable integration platforms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Experienced in AI-enabled automation and intelligent workflows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Experienced delivering enterprise-scale integration platforms for complex multi-system ecosystems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Proven in coaching and mentoring engineers to build high-performing, self-sufficient teams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Strong ability to align architecture with business strategy, operational outcomes, and customer experience</w:t>
      </w:r>
    </w:p>
    <w:p>
      <w:pPr>
        <w:pBdr>
          <w:bottom w:val="single" w:color="CCCCCC" w:sz="4"/>
        </w:pBdr>
        <w:spacing w:after="100" w:before="2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CORE EXPERTISE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Enterprise Architecture: </w:t>
      </w:r>
      <w:r>
        <w:rPr>
          <w:rFonts w:ascii="Calibri" w:cs="Calibri" w:eastAsia="Calibri" w:hAnsi="Calibri"/>
          <w:sz w:val="20"/>
          <w:szCs w:val="20"/>
        </w:rPr>
        <w:t xml:space="preserve">TOGAF, Zachman, Domain-Driven Design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 Architecture: </w:t>
      </w:r>
      <w:r>
        <w:rPr>
          <w:rFonts w:ascii="Calibri" w:cs="Calibri" w:eastAsia="Calibri" w:hAnsi="Calibri"/>
          <w:sz w:val="20"/>
          <w:szCs w:val="20"/>
        </w:rPr>
        <w:t xml:space="preserve">API-led connectivity, event-driven architecture, messaging, microservices, hybrid and multi-cloud integration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 Platforms: </w:t>
      </w:r>
      <w:r>
        <w:rPr>
          <w:rFonts w:ascii="Calibri" w:cs="Calibri" w:eastAsia="Calibri" w:hAnsi="Calibri"/>
          <w:sz w:val="20"/>
          <w:szCs w:val="20"/>
        </w:rPr>
        <w:t xml:space="preserve">Azure Integration Services (APIM, Logic Apps, Functions Apps, Service Bus), Oracle Integration Cloud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sz w:val="20"/>
          <w:szCs w:val="20"/>
        </w:rPr>
        <w:t xml:space="preserve">AWS, Azure, GCP, Oracle Cloud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 Enablement: </w:t>
      </w:r>
      <w:r>
        <w:rPr>
          <w:rFonts w:ascii="Calibri" w:cs="Calibri" w:eastAsia="Calibri" w:hAnsi="Calibri"/>
          <w:sz w:val="20"/>
          <w:szCs w:val="20"/>
        </w:rPr>
        <w:t xml:space="preserve">CI/CD strategy (Azure DevOps, GitHub Actions, AWS pipeline), Infrastructure as Code (Terraform, Bicep), container orchestration (AWS Beanstalk, ECS, Azure AKS)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&amp; Resilience: </w:t>
      </w:r>
      <w:r>
        <w:rPr>
          <w:rFonts w:ascii="Calibri" w:cs="Calibri" w:eastAsia="Calibri" w:hAnsi="Calibri"/>
          <w:sz w:val="20"/>
          <w:szCs w:val="20"/>
        </w:rPr>
        <w:t xml:space="preserve">OWASP, secure architecture design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sz w:val="20"/>
          <w:szCs w:val="20"/>
        </w:rPr>
        <w:t xml:space="preserve">LLM integration, AI agents, ML pipelines</w:t>
      </w:r>
    </w:p>
    <w:p>
      <w:pPr>
        <w:pBdr>
          <w:bottom w:val="single" w:color="CCCCCC" w:sz="4"/>
        </w:pBdr>
        <w:spacing w:after="100" w:before="2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PROFESSIONAL EXPERIENCE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Solution Architect – Integration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c6faa"/>
          <w:sz w:val="20"/>
          <w:szCs w:val="20"/>
        </w:rPr>
        <w:t xml:space="preserve">Kainga Ora  |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2024 – Present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Architected enterprise integration platform (Azure Integration Services + Oracle Integration Cloud) improving system interoperability across multiple core systems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Defined API orchestration and hybrid cloud architecture patterns aligned to business capabilities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Introduced AI-driven automation and workflow orchestration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Established integration governance, standards, and security frameworks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Contributed to integration architecture for $100M+ transformation programs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Partnered with business stakeholders to translate service delivery needs into scalable solutions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Uplifted team capability to enable full in-house ownership of the integration platform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Solution Architect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c6faa"/>
          <w:sz w:val="20"/>
          <w:szCs w:val="20"/>
        </w:rPr>
        <w:t xml:space="preserve">Kainga Ora  |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2021 – 2024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Delivered critical platform upgrades (Actifio, NEC Public housing management software)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Led end-to-end solution architecture and migration from Genesys Engage to Genesys Cloud (500+ agents)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Designed cross-cloud integrations (Azure, Oracle, Salesforce, ServiceNow, Genesys, NEC)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Delivered end-to-end integration architecture for Project Greys Avenue (Te Matawai), enabling a 24/7 housing service model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Provided technical leadership and mentoring across delivery teams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Digital Solution Architect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c6faa"/>
          <w:sz w:val="20"/>
          <w:szCs w:val="20"/>
        </w:rPr>
        <w:t xml:space="preserve">Health Promotion Agency  |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2018 – 2021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Delivered AWS cloud migration and AI chatbot platforms (NLP/ML)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Enabled nationwide digital services improving mental health access and user engagement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Awarded Data Hackathon Aotearoa 2020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Senior Technical Project Manager → Technical Director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c6faa"/>
          <w:sz w:val="20"/>
          <w:szCs w:val="20"/>
        </w:rPr>
        <w:t xml:space="preserve">Ogilvy Vietnam  |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2014 – 2018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Owned end-to-end solution architecture for enterprise e-commerce platforms and SAP integrations supporting Nestle Australia's flagship brands (Milo, Nescafe, KitKat)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Partnership Manager / Java Developer / System Administrator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c6faa"/>
          <w:sz w:val="20"/>
          <w:szCs w:val="20"/>
        </w:rPr>
        <w:t xml:space="preserve">Pyramid Consulting &amp; Prior  |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Earlier Career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Delivered scalable eCommerce platforms for global brands (Berluti, Fred), building client engagement and solution-delivery discipline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Built and maintained enterprise Java applications, establishing strong software engineering fundamentals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Administered systems, networks, and infrastructure, grounding architectural decisions in operational reality</w:t>
      </w:r>
    </w:p>
    <w:p>
      <w:pPr>
        <w:pBdr>
          <w:bottom w:val="single" w:color="CCCCCC" w:sz="4"/>
        </w:pBdr>
        <w:spacing w:after="100" w:before="2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Master's Degree in Information Technology – Monash University (2010)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Bachelor's Degree in Computer Science – Hue University (2006)</w:t>
      </w:r>
    </w:p>
    <w:p>
      <w:pPr>
        <w:pBdr>
          <w:bottom w:val="single" w:color="CCCCCC" w:sz="4"/>
        </w:pBdr>
        <w:spacing w:after="100" w:before="2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CERTIFICATIONS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AWS Solutions Architect – 2020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Google Cloud ML &amp; Big Data – 2019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Scrum Certified Product Owner – 2016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Cisco Certified Network Associate – 2008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Microsoft Certified System Engineer – 2008</w:t>
      </w:r>
    </w:p>
    <w:p>
      <w:pPr>
        <w:spacing w:after="40"/>
        <w:ind w:left="400"/>
      </w:pPr>
      <w:r>
        <w:rPr>
          <w:rFonts w:ascii="Calibri" w:cs="Calibri" w:eastAsia="Calibri" w:hAnsi="Calibri"/>
          <w:sz w:val="20"/>
          <w:szCs w:val="20"/>
        </w:rPr>
        <w:t xml:space="preserve">•  EMC System Engineer – 2010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2026-06-16T22:58:47.291Z</dcterms:created>
  <dcterms:modified xsi:type="dcterms:W3CDTF">2026-06-16T22:58:47.293Z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