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F10D" w14:textId="77777777" w:rsidR="00085DFC" w:rsidRDefault="00000000">
      <w:pPr>
        <w:pStyle w:val="2"/>
        <w:shd w:val="clear" w:color="auto" w:fill="FFFFFF"/>
        <w:spacing w:beforeAutospacing="0" w:after="192" w:afterAutospacing="0" w:line="384" w:lineRule="atLeast"/>
        <w:ind w:firstLineChars="0" w:firstLine="0"/>
        <w:rPr>
          <w:rFonts w:ascii="Segoe UI" w:eastAsia="Segoe UI" w:hAnsi="Segoe UI" w:cs="Segoe UI" w:hint="default"/>
          <w:color w:val="0F1115"/>
          <w:sz w:val="26"/>
          <w:szCs w:val="26"/>
        </w:rPr>
      </w:pPr>
      <w:bookmarkStart w:id="0" w:name="OLE_LINK66"/>
      <w:bookmarkStart w:id="1" w:name="OLE_LINK76"/>
      <w:r>
        <w:rPr>
          <w:rFonts w:ascii="Segoe UI" w:eastAsia="Segoe UI" w:hAnsi="Segoe UI" w:cs="Segoe UI" w:hint="default"/>
          <w:color w:val="0F1115"/>
          <w:sz w:val="26"/>
          <w:szCs w:val="26"/>
          <w:shd w:val="clear" w:color="auto" w:fill="FFFFFF"/>
        </w:rPr>
        <w:t>谁在吃老本，谁在创利润？12家银行人均创利大洗牌</w:t>
      </w:r>
    </w:p>
    <w:p w14:paraId="4FD96CAB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bookmarkStart w:id="2" w:name="OLE_LINK47"/>
      <w:bookmarkEnd w:id="1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2025年上市银行年报披露后，整个市场的目光再度聚焦于净息差、不良率、营收增速这些老生常谈的指标。但在这些宏观数据背后，一场关于人的隐秘战争正在无声打响。</w:t>
      </w:r>
    </w:p>
    <w:p w14:paraId="632ABA01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当银行业整体步入低息差、低增长、低利率的三低时代，一家银行真正的内生竞争力，不再仅仅体现在资产规模有多大、网点有多少，而是回到一个最朴素、最冷酷的问题上：</w:t>
      </w:r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你的每一个员工，一年能为股东创造多少利润？</w:t>
      </w:r>
    </w:p>
    <w:p w14:paraId="792EA90D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拆解12家主要上市银行的人均创利数据，一个让许多大行坐立不安的真相浮出水面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  <w:lang w:eastAsia="zh-CN"/>
        </w:rPr>
        <w:t>，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同一个行业，同一片天空下，不同银行之间的人的效率，已经拉开了一道深不见底的鸿沟。</w:t>
      </w:r>
    </w:p>
    <w:p w14:paraId="0E185F1F" w14:textId="77777777" w:rsidR="00085DFC" w:rsidRDefault="00000000">
      <w:pPr>
        <w:pStyle w:val="3"/>
        <w:shd w:val="clear" w:color="auto" w:fill="FFFFFF"/>
        <w:spacing w:before="384" w:beforeAutospacing="0" w:after="192" w:afterAutospacing="0" w:line="360" w:lineRule="atLeast"/>
        <w:ind w:firstLineChars="0" w:firstLine="0"/>
        <w:rPr>
          <w:rFonts w:ascii="Segoe UI" w:eastAsia="Segoe UI" w:hAnsi="Segoe UI" w:cs="Segoe UI" w:hint="default"/>
          <w:color w:val="0F1115"/>
          <w:sz w:val="24"/>
          <w:szCs w:val="24"/>
        </w:rPr>
      </w:pPr>
      <w:bookmarkStart w:id="3" w:name="OLE_LINK48"/>
      <w:bookmarkEnd w:id="2"/>
      <w:r>
        <w:rPr>
          <w:rFonts w:ascii="Segoe UI" w:eastAsia="Segoe UI" w:hAnsi="Segoe UI" w:cs="Segoe UI" w:hint="default"/>
          <w:color w:val="0F1115"/>
          <w:sz w:val="24"/>
          <w:szCs w:val="24"/>
          <w:shd w:val="clear" w:color="auto" w:fill="FFFFFF"/>
        </w:rPr>
        <w:t>拆解人均创利：一场毫无遮掩的肉搏</w:t>
      </w:r>
    </w:p>
    <w:p w14:paraId="5805E46E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bookmarkStart w:id="4" w:name="OLE_LINK49"/>
      <w:bookmarkEnd w:id="3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先看2025年年报中的一组硬核对比（为统一口径，均以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归母净利润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除以年末在职员工总数计算人均创利，部分为年末/年初均值，不含劳务派遣等辅助人员）：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215"/>
        <w:gridCol w:w="2024"/>
        <w:gridCol w:w="2024"/>
        <w:gridCol w:w="1223"/>
      </w:tblGrid>
      <w:tr w:rsidR="00085DFC" w14:paraId="14D36FD3" w14:textId="77777777">
        <w:trPr>
          <w:tblHeader/>
        </w:trPr>
        <w:tc>
          <w:tcPr>
            <w:tcW w:w="593" w:type="pct"/>
            <w:tcBorders>
              <w:top w:val="single" w:sz="4" w:space="0" w:color="4874CB"/>
              <w:bottom w:val="single" w:sz="4" w:space="0" w:color="4874CB"/>
              <w:right w:val="single" w:sz="4" w:space="0" w:color="4874CB"/>
              <w:tl2br w:val="nil"/>
            </w:tcBorders>
            <w:shd w:val="clear" w:color="auto" w:fill="91ACE0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192454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bookmarkStart w:id="5" w:name="_Hlk229083388"/>
            <w:bookmarkEnd w:id="4"/>
            <w:r>
              <w:rPr>
                <w:rFonts w:ascii="Segoe UI" w:eastAsia="Segoe UI" w:hAnsi="Segoe UI" w:cs="Segoe UI"/>
                <w:b/>
                <w:sz w:val="18"/>
                <w:szCs w:val="18"/>
                <w:lang w:eastAsia="zh-CN" w:bidi="ar"/>
              </w:rPr>
              <w:t>银行</w:t>
            </w:r>
          </w:p>
        </w:tc>
        <w:tc>
          <w:tcPr>
            <w:tcW w:w="1304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939895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proofErr w:type="gramStart"/>
            <w:r>
              <w:rPr>
                <w:rFonts w:ascii="Segoe UI" w:eastAsia="Segoe UI" w:hAnsi="Segoe UI" w:cs="Segoe UI"/>
                <w:b/>
                <w:sz w:val="18"/>
                <w:szCs w:val="18"/>
                <w:lang w:eastAsia="zh-CN" w:bidi="ar"/>
              </w:rPr>
              <w:t>归母净利润</w:t>
            </w:r>
            <w:proofErr w:type="gramEnd"/>
            <w:r>
              <w:rPr>
                <w:rFonts w:ascii="Segoe UI" w:eastAsia="Segoe UI" w:hAnsi="Segoe UI" w:cs="Segoe UI"/>
                <w:b/>
                <w:sz w:val="18"/>
                <w:szCs w:val="18"/>
                <w:lang w:eastAsia="zh-CN" w:bidi="ar"/>
              </w:rPr>
              <w:t>（亿元）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5185E4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sz w:val="18"/>
                <w:szCs w:val="18"/>
                <w:lang w:eastAsia="zh-CN" w:bidi="ar"/>
              </w:rPr>
              <w:t>员工总数（万人）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8A35AC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sz w:val="18"/>
                <w:szCs w:val="18"/>
                <w:lang w:eastAsia="zh-CN" w:bidi="ar"/>
              </w:rPr>
              <w:t>人均创利（万元）</w:t>
            </w:r>
          </w:p>
        </w:tc>
        <w:tc>
          <w:tcPr>
            <w:tcW w:w="720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39EA04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sz w:val="18"/>
                <w:szCs w:val="18"/>
                <w:lang w:eastAsia="zh-CN" w:bidi="ar"/>
              </w:rPr>
              <w:t>效率排名</w:t>
            </w:r>
          </w:p>
        </w:tc>
      </w:tr>
      <w:tr w:rsidR="00085DFC" w14:paraId="1ED2A14C" w14:textId="77777777">
        <w:tc>
          <w:tcPr>
            <w:tcW w:w="593" w:type="pct"/>
            <w:tcBorders>
              <w:top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75B95D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招商银行</w:t>
            </w:r>
          </w:p>
        </w:tc>
        <w:tc>
          <w:tcPr>
            <w:tcW w:w="1304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54D1BE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1501.81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FF3F44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1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2.16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2AD3FE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Style w:val="af1"/>
                <w:rFonts w:ascii="Segoe UI" w:eastAsia="Segoe UI" w:hAnsi="Segoe UI" w:cs="Segoe UI"/>
                <w:b w:val="0"/>
                <w:bCs/>
                <w:sz w:val="18"/>
                <w:szCs w:val="18"/>
                <w:highlight w:val="yellow"/>
                <w:lang w:eastAsia="zh-CN" w:bidi="ar"/>
              </w:rPr>
              <w:t>≈12</w:t>
            </w:r>
            <w:r>
              <w:rPr>
                <w:rStyle w:val="af1"/>
                <w:rFonts w:ascii="Segoe UI" w:eastAsia="Segoe UI" w:hAnsi="Segoe UI" w:cs="Segoe UI" w:hint="eastAsia"/>
                <w:b w:val="0"/>
                <w:bCs/>
                <w:sz w:val="18"/>
                <w:szCs w:val="18"/>
                <w:highlight w:val="yellow"/>
                <w:lang w:eastAsia="zh-CN" w:bidi="ar"/>
              </w:rPr>
              <w:t>3</w:t>
            </w:r>
            <w:r>
              <w:rPr>
                <w:rStyle w:val="af1"/>
                <w:rFonts w:ascii="Segoe UI" w:eastAsia="Segoe UI" w:hAnsi="Segoe UI" w:cs="Segoe UI"/>
                <w:b w:val="0"/>
                <w:bCs/>
                <w:sz w:val="18"/>
                <w:szCs w:val="18"/>
                <w:highlight w:val="yellow"/>
                <w:lang w:eastAsia="zh-CN" w:bidi="ar"/>
              </w:rPr>
              <w:t>.</w:t>
            </w:r>
            <w:r>
              <w:rPr>
                <w:rStyle w:val="af1"/>
                <w:rFonts w:ascii="Segoe UI" w:eastAsia="Segoe UI" w:hAnsi="Segoe UI" w:cs="Segoe UI" w:hint="eastAsia"/>
                <w:b w:val="0"/>
                <w:bCs/>
                <w:sz w:val="18"/>
                <w:szCs w:val="18"/>
                <w:highlight w:val="yellow"/>
                <w:lang w:eastAsia="zh-CN" w:bidi="ar"/>
              </w:rPr>
              <w:t>5</w:t>
            </w:r>
          </w:p>
        </w:tc>
        <w:tc>
          <w:tcPr>
            <w:tcW w:w="720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138B45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1</w:t>
            </w:r>
          </w:p>
        </w:tc>
      </w:tr>
      <w:tr w:rsidR="00085DFC" w14:paraId="600C57C8" w14:textId="77777777">
        <w:tc>
          <w:tcPr>
            <w:tcW w:w="593" w:type="pct"/>
            <w:tcBorders>
              <w:top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82A22D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兴业银行</w:t>
            </w:r>
          </w:p>
        </w:tc>
        <w:tc>
          <w:tcPr>
            <w:tcW w:w="1304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944959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774.69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CED397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6.89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983627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≈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112.4</w:t>
            </w:r>
          </w:p>
        </w:tc>
        <w:tc>
          <w:tcPr>
            <w:tcW w:w="720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623807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2</w:t>
            </w:r>
          </w:p>
        </w:tc>
      </w:tr>
      <w:tr w:rsidR="00085DFC" w14:paraId="0DE5BA11" w14:textId="77777777">
        <w:tc>
          <w:tcPr>
            <w:tcW w:w="593" w:type="pct"/>
            <w:tcBorders>
              <w:top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907B95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中信银行</w:t>
            </w:r>
          </w:p>
        </w:tc>
        <w:tc>
          <w:tcPr>
            <w:tcW w:w="1304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E1DA7F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706.18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880C0A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6.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7</w:t>
            </w: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7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427D33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≈10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4.3</w:t>
            </w:r>
          </w:p>
        </w:tc>
        <w:tc>
          <w:tcPr>
            <w:tcW w:w="720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C9F5C0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3</w:t>
            </w:r>
          </w:p>
        </w:tc>
      </w:tr>
      <w:tr w:rsidR="00085DFC" w14:paraId="0A69484F" w14:textId="77777777">
        <w:tc>
          <w:tcPr>
            <w:tcW w:w="593" w:type="pct"/>
            <w:tcBorders>
              <w:top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1FE6A2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平安银行</w:t>
            </w:r>
          </w:p>
        </w:tc>
        <w:tc>
          <w:tcPr>
            <w:tcW w:w="1304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DFA120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426.33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354562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4.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17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B384B6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≈10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2</w:t>
            </w: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.2</w:t>
            </w:r>
          </w:p>
        </w:tc>
        <w:tc>
          <w:tcPr>
            <w:tcW w:w="720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F7183B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4</w:t>
            </w:r>
          </w:p>
        </w:tc>
      </w:tr>
      <w:tr w:rsidR="00085DFC" w14:paraId="435AEC1F" w14:textId="77777777">
        <w:tc>
          <w:tcPr>
            <w:tcW w:w="593" w:type="pct"/>
            <w:tcBorders>
              <w:top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07AD02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交通银行</w:t>
            </w:r>
          </w:p>
        </w:tc>
        <w:tc>
          <w:tcPr>
            <w:tcW w:w="1304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84E2F2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956.22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0320C0" w14:textId="79BC53C3" w:rsidR="00085DFC" w:rsidRPr="00C00CB7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Theme="minorEastAsia" w:hAnsi="Segoe UI" w:cs="Segoe UI" w:hint="eastAsia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9.</w:t>
            </w:r>
            <w:r w:rsidR="00C00CB7">
              <w:rPr>
                <w:rFonts w:ascii="Segoe UI" w:eastAsiaTheme="minorEastAsia" w:hAnsi="Segoe UI" w:cs="Segoe UI" w:hint="eastAsia"/>
                <w:sz w:val="18"/>
                <w:szCs w:val="18"/>
                <w:lang w:eastAsia="zh-CN" w:bidi="ar"/>
              </w:rPr>
              <w:t>53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0C407E" w14:textId="5D4ABFB4" w:rsidR="00085DFC" w:rsidRPr="00C00CB7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Theme="minorEastAsia" w:hAnsi="Segoe UI" w:cs="Segoe UI" w:hint="eastAsia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≈</w:t>
            </w:r>
            <w:r w:rsidR="00C00CB7">
              <w:rPr>
                <w:rFonts w:ascii="Segoe UI" w:eastAsiaTheme="minorEastAsia" w:hAnsi="Segoe UI" w:cs="Segoe UI" w:hint="eastAsia"/>
                <w:sz w:val="18"/>
                <w:szCs w:val="18"/>
                <w:highlight w:val="yellow"/>
                <w:lang w:eastAsia="zh-CN" w:bidi="ar"/>
              </w:rPr>
              <w:t>100.4</w:t>
            </w:r>
          </w:p>
        </w:tc>
        <w:tc>
          <w:tcPr>
            <w:tcW w:w="720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12D3FA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5</w:t>
            </w:r>
          </w:p>
        </w:tc>
      </w:tr>
      <w:tr w:rsidR="00085DFC" w14:paraId="3A5DECA6" w14:textId="77777777">
        <w:tc>
          <w:tcPr>
            <w:tcW w:w="593" w:type="pct"/>
            <w:tcBorders>
              <w:top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213F73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工商银行</w:t>
            </w:r>
          </w:p>
        </w:tc>
        <w:tc>
          <w:tcPr>
            <w:tcW w:w="1304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8BDE9E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36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85</w:t>
            </w: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.6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2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E823F3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4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0</w:t>
            </w: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.9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7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B7DEDE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≈8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9.9</w:t>
            </w:r>
          </w:p>
        </w:tc>
        <w:tc>
          <w:tcPr>
            <w:tcW w:w="720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EDD054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</w:pP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6</w:t>
            </w:r>
          </w:p>
        </w:tc>
      </w:tr>
      <w:tr w:rsidR="00085DFC" w14:paraId="00409884" w14:textId="77777777">
        <w:tc>
          <w:tcPr>
            <w:tcW w:w="593" w:type="pct"/>
            <w:tcBorders>
              <w:top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4C76BE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建设银行</w:t>
            </w:r>
          </w:p>
        </w:tc>
        <w:tc>
          <w:tcPr>
            <w:tcW w:w="1304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743A14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3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389.06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E4F00E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37.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83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D9F3F3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≈8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9.6</w:t>
            </w:r>
          </w:p>
        </w:tc>
        <w:tc>
          <w:tcPr>
            <w:tcW w:w="720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7060DB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hAnsi="Segoe UI" w:cs="Segoe UI"/>
                <w:sz w:val="18"/>
                <w:szCs w:val="18"/>
                <w:highlight w:val="yellow"/>
                <w:lang w:eastAsia="zh-CN"/>
              </w:rPr>
            </w:pPr>
            <w:r>
              <w:rPr>
                <w:rFonts w:ascii="Segoe UI" w:hAnsi="Segoe UI" w:cs="Segoe UI" w:hint="eastAsia"/>
                <w:sz w:val="18"/>
                <w:szCs w:val="18"/>
                <w:highlight w:val="yellow"/>
                <w:lang w:eastAsia="zh-CN"/>
              </w:rPr>
              <w:t>7</w:t>
            </w:r>
          </w:p>
        </w:tc>
      </w:tr>
      <w:tr w:rsidR="00085DFC" w14:paraId="73CD072A" w14:textId="77777777">
        <w:tc>
          <w:tcPr>
            <w:tcW w:w="593" w:type="pct"/>
            <w:tcBorders>
              <w:top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27A318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中国银行</w:t>
            </w:r>
          </w:p>
        </w:tc>
        <w:tc>
          <w:tcPr>
            <w:tcW w:w="1304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A8B0D5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24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30.21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948677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31.37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F747B8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≈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77.4</w:t>
            </w:r>
          </w:p>
        </w:tc>
        <w:tc>
          <w:tcPr>
            <w:tcW w:w="720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871211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8</w:t>
            </w:r>
          </w:p>
        </w:tc>
      </w:tr>
      <w:tr w:rsidR="00085DFC" w14:paraId="769A7FBB" w14:textId="77777777">
        <w:tc>
          <w:tcPr>
            <w:tcW w:w="593" w:type="pct"/>
            <w:tcBorders>
              <w:top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98D32A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农业银行</w:t>
            </w:r>
          </w:p>
        </w:tc>
        <w:tc>
          <w:tcPr>
            <w:tcW w:w="1304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E9C44E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2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910.41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1CBA34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45.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78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203CDF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≈6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3.6</w:t>
            </w:r>
          </w:p>
        </w:tc>
        <w:tc>
          <w:tcPr>
            <w:tcW w:w="720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CC2B01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9</w:t>
            </w:r>
          </w:p>
        </w:tc>
      </w:tr>
      <w:tr w:rsidR="00085DFC" w14:paraId="040E15FA" w14:textId="77777777">
        <w:tc>
          <w:tcPr>
            <w:tcW w:w="593" w:type="pct"/>
            <w:tcBorders>
              <w:top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2315E2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邮储银行</w:t>
            </w:r>
          </w:p>
        </w:tc>
        <w:tc>
          <w:tcPr>
            <w:tcW w:w="1304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0B36C5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8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74.04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412232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19.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68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C9B11C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≈4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4</w:t>
            </w: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.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4</w:t>
            </w:r>
          </w:p>
        </w:tc>
        <w:tc>
          <w:tcPr>
            <w:tcW w:w="720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9C2396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10</w:t>
            </w:r>
          </w:p>
        </w:tc>
      </w:tr>
      <w:tr w:rsidR="00085DFC" w14:paraId="5F12C97A" w14:textId="77777777">
        <w:tc>
          <w:tcPr>
            <w:tcW w:w="593" w:type="pct"/>
            <w:tcBorders>
              <w:top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6DBB30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光大银行</w:t>
            </w:r>
          </w:p>
        </w:tc>
        <w:tc>
          <w:tcPr>
            <w:tcW w:w="1304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B2F016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388.26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B1590F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4.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85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B2387D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≈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80.0</w:t>
            </w:r>
          </w:p>
        </w:tc>
        <w:tc>
          <w:tcPr>
            <w:tcW w:w="720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2DFB69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—</w:t>
            </w:r>
          </w:p>
        </w:tc>
      </w:tr>
      <w:tr w:rsidR="00085DFC" w14:paraId="37CA5E53" w14:textId="77777777">
        <w:tc>
          <w:tcPr>
            <w:tcW w:w="593" w:type="pct"/>
            <w:tcBorders>
              <w:top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C84175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华夏银行</w:t>
            </w:r>
          </w:p>
        </w:tc>
        <w:tc>
          <w:tcPr>
            <w:tcW w:w="1304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84142D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272.00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06C0C3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hAnsi="Segoe UI" w:cs="Segoe UI"/>
                <w:sz w:val="18"/>
                <w:szCs w:val="18"/>
                <w:lang w:eastAsia="zh-CN"/>
              </w:rPr>
            </w:pPr>
            <w:r>
              <w:rPr>
                <w:rFonts w:ascii="Segoe UI" w:hAnsi="Segoe UI" w:cs="Segoe UI" w:hint="eastAsia"/>
                <w:sz w:val="18"/>
                <w:szCs w:val="18"/>
                <w:highlight w:val="yellow"/>
                <w:lang w:eastAsia="zh-CN"/>
              </w:rPr>
              <w:t>3.67</w:t>
            </w:r>
          </w:p>
        </w:tc>
        <w:tc>
          <w:tcPr>
            <w:tcW w:w="119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1DDE72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≈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74.1</w:t>
            </w:r>
          </w:p>
        </w:tc>
        <w:tc>
          <w:tcPr>
            <w:tcW w:w="720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EB7A93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—</w:t>
            </w:r>
          </w:p>
        </w:tc>
      </w:tr>
    </w:tbl>
    <w:p w14:paraId="699178FB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bookmarkStart w:id="6" w:name="OLE_LINK59"/>
      <w:bookmarkEnd w:id="5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数据来源：各行2025年年报。部分员工数为年初/年末均值或根据公开数据估算，排名仅供参考。</w:t>
      </w:r>
    </w:p>
    <w:p w14:paraId="0CDB256E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bookmarkStart w:id="7" w:name="OLE_LINK60"/>
      <w:bookmarkStart w:id="8" w:name="OLE_LINK61"/>
      <w:bookmarkEnd w:id="6"/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highlight w:val="yellow"/>
          <w:shd w:val="clear" w:color="auto" w:fill="FFFFFF"/>
          <w:lang w:eastAsia="zh-CN"/>
        </w:rPr>
        <w:t>12</w:t>
      </w:r>
      <w:r>
        <w:rPr>
          <w:rStyle w:val="af1"/>
          <w:rFonts w:ascii="Segoe UI" w:hAnsi="Segoe UI" w:cs="Segoe UI" w:hint="eastAsia"/>
          <w:bCs/>
          <w:color w:val="0F1115"/>
          <w:sz w:val="19"/>
          <w:szCs w:val="19"/>
          <w:highlight w:val="yellow"/>
          <w:shd w:val="clear" w:color="auto" w:fill="FFFFFF"/>
          <w:lang w:eastAsia="zh-CN"/>
        </w:rPr>
        <w:t>3.5</w:t>
      </w:r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highlight w:val="yellow"/>
          <w:shd w:val="clear" w:color="auto" w:fill="FFFFFF"/>
          <w:lang w:eastAsia="zh-CN"/>
        </w:rPr>
        <w:t xml:space="preserve">万元 vs </w:t>
      </w:r>
      <w:r>
        <w:rPr>
          <w:rStyle w:val="af1"/>
          <w:rFonts w:ascii="Segoe UI" w:hAnsi="Segoe UI" w:cs="Segoe UI" w:hint="eastAsia"/>
          <w:bCs/>
          <w:color w:val="0F1115"/>
          <w:sz w:val="19"/>
          <w:szCs w:val="19"/>
          <w:highlight w:val="yellow"/>
          <w:shd w:val="clear" w:color="auto" w:fill="FFFFFF"/>
          <w:lang w:eastAsia="zh-CN"/>
        </w:rPr>
        <w:t>44.4</w:t>
      </w:r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highlight w:val="yellow"/>
          <w:shd w:val="clear" w:color="auto" w:fill="FFFFFF"/>
          <w:lang w:eastAsia="zh-CN"/>
        </w:rPr>
        <w:t>万元</w:t>
      </w:r>
      <w:r>
        <w:rPr>
          <w:rStyle w:val="af1"/>
          <w:rFonts w:ascii="Segoe UI" w:hAnsi="Segoe UI" w:cs="Segoe UI" w:hint="eastAsia"/>
          <w:bCs/>
          <w:color w:val="0F1115"/>
          <w:sz w:val="19"/>
          <w:szCs w:val="19"/>
          <w:shd w:val="clear" w:color="auto" w:fill="FFFFFF"/>
          <w:lang w:eastAsia="zh-CN"/>
        </w:rPr>
        <w:t>，</w:t>
      </w:r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榜首与榜尾之间，差了整整2.7倍。</w:t>
      </w:r>
    </w:p>
    <w:bookmarkEnd w:id="7"/>
    <w:p w14:paraId="4E37A42F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lastRenderedPageBreak/>
        <w:t>这组数据的震撼之处在于：邮储银行的资产总额超过</w:t>
      </w:r>
      <w:r>
        <w:rPr>
          <w:rFonts w:ascii="Segoe UI" w:eastAsia="Segoe UI" w:hAnsi="Segoe UI" w:cs="Segoe UI"/>
          <w:color w:val="0F1115"/>
          <w:sz w:val="19"/>
          <w:szCs w:val="19"/>
          <w:highlight w:val="yellow"/>
          <w:shd w:val="clear" w:color="auto" w:fill="FFFFFF"/>
          <w:lang w:eastAsia="zh-CN"/>
        </w:rPr>
        <w:t>1</w:t>
      </w:r>
      <w:r>
        <w:rPr>
          <w:rFonts w:ascii="Segoe UI" w:hAnsi="Segoe UI" w:cs="Segoe UI" w:hint="eastAsia"/>
          <w:color w:val="0F1115"/>
          <w:sz w:val="19"/>
          <w:szCs w:val="19"/>
          <w:highlight w:val="yellow"/>
          <w:shd w:val="clear" w:color="auto" w:fill="FFFFFF"/>
          <w:lang w:eastAsia="zh-CN"/>
        </w:rPr>
        <w:t>8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highlight w:val="yellow"/>
          <w:shd w:val="clear" w:color="auto" w:fill="FFFFFF"/>
          <w:lang w:eastAsia="zh-CN"/>
        </w:rPr>
        <w:t>万亿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highlight w:val="yellow"/>
          <w:shd w:val="clear" w:color="auto" w:fill="FFFFFF"/>
          <w:lang w:eastAsia="zh-CN"/>
        </w:rPr>
        <w:t>元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，交通银行的资产总额约</w:t>
      </w:r>
      <w:r>
        <w:rPr>
          <w:rFonts w:ascii="Segoe UI" w:eastAsia="Segoe UI" w:hAnsi="Segoe UI" w:cs="Segoe UI"/>
          <w:color w:val="0F1115"/>
          <w:sz w:val="19"/>
          <w:szCs w:val="19"/>
          <w:highlight w:val="yellow"/>
          <w:shd w:val="clear" w:color="auto" w:fill="FFFFFF"/>
          <w:lang w:eastAsia="zh-CN"/>
        </w:rPr>
        <w:t>15.55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highlight w:val="yellow"/>
          <w:shd w:val="clear" w:color="auto" w:fill="FFFFFF"/>
          <w:lang w:eastAsia="zh-CN"/>
        </w:rPr>
        <w:t>万亿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highlight w:val="yellow"/>
          <w:shd w:val="clear" w:color="auto" w:fill="FFFFFF"/>
          <w:lang w:eastAsia="zh-CN"/>
        </w:rPr>
        <w:t>元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，招商银行的资产总额约13.07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万亿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元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  <w:lang w:eastAsia="zh-CN"/>
        </w:rPr>
        <w:t>，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资产规模最小的招商银行，人均创利反而是资产规模最大的邮储银行的接近3倍。</w:t>
      </w:r>
    </w:p>
    <w:p w14:paraId="47A273E5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资产大，不意味着人会赚。当行业靠规模扩张堆砌利润的逻辑彻底失效，人均创利就成了撕开遮羞布的那根针。</w:t>
      </w:r>
    </w:p>
    <w:p w14:paraId="3E44E358" w14:textId="77777777" w:rsidR="00085DFC" w:rsidRDefault="00000000">
      <w:pPr>
        <w:pStyle w:val="3"/>
        <w:shd w:val="clear" w:color="auto" w:fill="FFFFFF"/>
        <w:spacing w:before="384" w:beforeAutospacing="0" w:after="192" w:afterAutospacing="0" w:line="360" w:lineRule="atLeast"/>
        <w:ind w:firstLineChars="0" w:firstLine="0"/>
        <w:rPr>
          <w:rFonts w:ascii="Segoe UI" w:eastAsia="Segoe UI" w:hAnsi="Segoe UI" w:cs="Segoe UI" w:hint="default"/>
          <w:color w:val="0F1115"/>
          <w:sz w:val="24"/>
          <w:szCs w:val="24"/>
        </w:rPr>
      </w:pPr>
      <w:bookmarkStart w:id="9" w:name="OLE_LINK62"/>
      <w:bookmarkEnd w:id="8"/>
      <w:r>
        <w:rPr>
          <w:rFonts w:ascii="Segoe UI" w:eastAsia="Segoe UI" w:hAnsi="Segoe UI" w:cs="Segoe UI" w:hint="default"/>
          <w:color w:val="0F1115"/>
          <w:sz w:val="24"/>
          <w:szCs w:val="24"/>
          <w:shd w:val="clear" w:color="auto" w:fill="FFFFFF"/>
        </w:rPr>
        <w:t>邮储的效率陷进：为什么资产越多、</w:t>
      </w:r>
      <w:proofErr w:type="gramStart"/>
      <w:r>
        <w:rPr>
          <w:rFonts w:ascii="Segoe UI" w:eastAsia="Segoe UI" w:hAnsi="Segoe UI" w:cs="Segoe UI" w:hint="default"/>
          <w:color w:val="0F1115"/>
          <w:sz w:val="24"/>
          <w:szCs w:val="24"/>
          <w:shd w:val="clear" w:color="auto" w:fill="FFFFFF"/>
        </w:rPr>
        <w:t>人效越低</w:t>
      </w:r>
      <w:proofErr w:type="gramEnd"/>
      <w:r>
        <w:rPr>
          <w:rFonts w:ascii="Segoe UI" w:eastAsia="Segoe UI" w:hAnsi="Segoe UI" w:cs="Segoe UI" w:hint="default"/>
          <w:color w:val="0F1115"/>
          <w:sz w:val="24"/>
          <w:szCs w:val="24"/>
          <w:shd w:val="clear" w:color="auto" w:fill="FFFFFF"/>
        </w:rPr>
        <w:t>？</w:t>
      </w:r>
    </w:p>
    <w:p w14:paraId="73D287EC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bookmarkStart w:id="10" w:name="OLE_LINK63"/>
      <w:bookmarkEnd w:id="9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邮储银行以1.66%的净息差在六大行中一骑绝尘，为何人均创利却垫底？</w:t>
      </w:r>
    </w:p>
    <w:p w14:paraId="6EB56A95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答案藏在两组结构性数据里：</w:t>
      </w:r>
    </w:p>
    <w:p w14:paraId="40C6CE17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第一组：网点和人员密度。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2255"/>
        <w:gridCol w:w="2158"/>
        <w:gridCol w:w="1896"/>
      </w:tblGrid>
      <w:tr w:rsidR="00085DFC" w14:paraId="084CE55C" w14:textId="77777777">
        <w:trPr>
          <w:tblHeader/>
        </w:trPr>
        <w:tc>
          <w:tcPr>
            <w:tcW w:w="1286" w:type="pct"/>
            <w:tcBorders>
              <w:top w:val="single" w:sz="4" w:space="0" w:color="4874CB"/>
              <w:bottom w:val="single" w:sz="4" w:space="0" w:color="4874CB"/>
              <w:right w:val="single" w:sz="4" w:space="0" w:color="4874CB"/>
              <w:tl2br w:val="nil"/>
            </w:tcBorders>
            <w:shd w:val="clear" w:color="auto" w:fill="91ACE0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DD1ADA" w14:textId="77777777" w:rsidR="00085DFC" w:rsidRDefault="00000000">
            <w:pPr>
              <w:spacing w:line="300" w:lineRule="atLeast"/>
              <w:ind w:firstLineChars="0" w:firstLine="0"/>
              <w:jc w:val="left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bookmarkStart w:id="11" w:name="_Hlk229083767"/>
            <w:bookmarkEnd w:id="10"/>
            <w:r>
              <w:rPr>
                <w:rFonts w:ascii="Segoe UI" w:eastAsia="Segoe UI" w:hAnsi="Segoe UI" w:cs="Segoe UI"/>
                <w:b/>
                <w:sz w:val="18"/>
                <w:szCs w:val="18"/>
                <w:lang w:eastAsia="zh-CN" w:bidi="ar"/>
              </w:rPr>
              <w:t>指标</w:t>
            </w:r>
          </w:p>
        </w:tc>
        <w:tc>
          <w:tcPr>
            <w:tcW w:w="1327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5BF683" w14:textId="77777777" w:rsidR="00085DFC" w:rsidRDefault="00000000">
            <w:pPr>
              <w:spacing w:line="300" w:lineRule="atLeast"/>
              <w:ind w:firstLineChars="0" w:firstLine="0"/>
              <w:jc w:val="left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sz w:val="18"/>
                <w:szCs w:val="18"/>
                <w:lang w:eastAsia="zh-CN" w:bidi="ar"/>
              </w:rPr>
              <w:t>邮储银行</w:t>
            </w:r>
          </w:p>
        </w:tc>
        <w:tc>
          <w:tcPr>
            <w:tcW w:w="1269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0CC6D9" w14:textId="77777777" w:rsidR="00085DFC" w:rsidRDefault="00000000">
            <w:pPr>
              <w:spacing w:line="300" w:lineRule="atLeast"/>
              <w:ind w:firstLineChars="0" w:firstLine="0"/>
              <w:jc w:val="left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sz w:val="18"/>
                <w:szCs w:val="18"/>
                <w:lang w:eastAsia="zh-CN" w:bidi="ar"/>
              </w:rPr>
              <w:t>招商银行</w:t>
            </w:r>
          </w:p>
        </w:tc>
        <w:tc>
          <w:tcPr>
            <w:tcW w:w="1116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3542B5" w14:textId="77777777" w:rsidR="00085DFC" w:rsidRDefault="00000000">
            <w:pPr>
              <w:spacing w:line="300" w:lineRule="atLeast"/>
              <w:ind w:firstLineChars="0" w:firstLine="0"/>
              <w:jc w:val="left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sz w:val="18"/>
                <w:szCs w:val="18"/>
                <w:lang w:eastAsia="zh-CN" w:bidi="ar"/>
              </w:rPr>
              <w:t>工商银行</w:t>
            </w:r>
          </w:p>
        </w:tc>
      </w:tr>
      <w:tr w:rsidR="00085DFC" w14:paraId="7CE7707F" w14:textId="77777777">
        <w:tc>
          <w:tcPr>
            <w:tcW w:w="1286" w:type="pct"/>
            <w:tcBorders>
              <w:top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07B877" w14:textId="77777777" w:rsidR="00085DFC" w:rsidRDefault="00000000">
            <w:pPr>
              <w:spacing w:line="300" w:lineRule="atLeast"/>
              <w:ind w:firstLineChars="0" w:firstLine="0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境内网点</w:t>
            </w:r>
          </w:p>
        </w:tc>
        <w:tc>
          <w:tcPr>
            <w:tcW w:w="1327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3C6FFF" w14:textId="77777777" w:rsidR="00085DFC" w:rsidRDefault="00000000">
            <w:pPr>
              <w:spacing w:line="300" w:lineRule="atLeast"/>
              <w:ind w:firstLineChars="0" w:firstLine="0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近4万个</w:t>
            </w:r>
          </w:p>
        </w:tc>
        <w:tc>
          <w:tcPr>
            <w:tcW w:w="1269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A1370C" w14:textId="77777777" w:rsidR="00085DFC" w:rsidRDefault="00000000">
            <w:pPr>
              <w:spacing w:line="300" w:lineRule="atLeast"/>
              <w:ind w:firstLineChars="0" w:firstLine="0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约1800个</w:t>
            </w:r>
          </w:p>
        </w:tc>
        <w:tc>
          <w:tcPr>
            <w:tcW w:w="1116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C97DAE" w14:textId="77777777" w:rsidR="00085DFC" w:rsidRDefault="00000000">
            <w:pPr>
              <w:spacing w:line="300" w:lineRule="atLeast"/>
              <w:ind w:firstLineChars="0" w:firstLine="0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约1.6万个</w:t>
            </w:r>
          </w:p>
        </w:tc>
      </w:tr>
      <w:tr w:rsidR="00085DFC" w14:paraId="04DCBD38" w14:textId="77777777">
        <w:tc>
          <w:tcPr>
            <w:tcW w:w="1286" w:type="pct"/>
            <w:tcBorders>
              <w:top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D3B4BE" w14:textId="77777777" w:rsidR="00085DFC" w:rsidRDefault="00000000">
            <w:pPr>
              <w:spacing w:line="300" w:lineRule="atLeast"/>
              <w:ind w:firstLineChars="0" w:firstLine="0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员工总数</w:t>
            </w:r>
          </w:p>
        </w:tc>
        <w:tc>
          <w:tcPr>
            <w:tcW w:w="1327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C9B990" w14:textId="77777777" w:rsidR="00085DFC" w:rsidRDefault="00000000">
            <w:pPr>
              <w:spacing w:line="300" w:lineRule="atLeast"/>
              <w:ind w:firstLineChars="0" w:firstLine="0"/>
              <w:jc w:val="left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19.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68</w:t>
            </w: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万人</w:t>
            </w:r>
          </w:p>
        </w:tc>
        <w:tc>
          <w:tcPr>
            <w:tcW w:w="1269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E0894E" w14:textId="77777777" w:rsidR="00085DFC" w:rsidRDefault="00000000">
            <w:pPr>
              <w:spacing w:line="300" w:lineRule="atLeast"/>
              <w:ind w:firstLineChars="0" w:firstLine="0"/>
              <w:jc w:val="left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1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2.16</w:t>
            </w: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万人</w:t>
            </w:r>
          </w:p>
        </w:tc>
        <w:tc>
          <w:tcPr>
            <w:tcW w:w="1116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002D75" w14:textId="77777777" w:rsidR="00085DFC" w:rsidRDefault="00000000">
            <w:pPr>
              <w:spacing w:line="300" w:lineRule="atLeast"/>
              <w:ind w:firstLineChars="0" w:firstLine="0"/>
              <w:jc w:val="left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40.97</w:t>
            </w: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万人</w:t>
            </w:r>
          </w:p>
        </w:tc>
      </w:tr>
      <w:tr w:rsidR="00085DFC" w14:paraId="37168E23" w14:textId="77777777">
        <w:tc>
          <w:tcPr>
            <w:tcW w:w="1286" w:type="pct"/>
            <w:tcBorders>
              <w:top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53CD69" w14:textId="77777777" w:rsidR="00085DFC" w:rsidRDefault="00000000">
            <w:pPr>
              <w:spacing w:line="300" w:lineRule="atLeast"/>
              <w:ind w:firstLineChars="0" w:firstLine="0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人均资产规模</w:t>
            </w:r>
          </w:p>
        </w:tc>
        <w:tc>
          <w:tcPr>
            <w:tcW w:w="1327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FBF43C" w14:textId="77777777" w:rsidR="00085DFC" w:rsidRDefault="00000000">
            <w:pPr>
              <w:spacing w:line="300" w:lineRule="atLeast"/>
              <w:ind w:firstLineChars="0" w:firstLine="0"/>
              <w:jc w:val="left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约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9492</w:t>
            </w: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万元</w:t>
            </w:r>
          </w:p>
        </w:tc>
        <w:tc>
          <w:tcPr>
            <w:tcW w:w="1269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D57963" w14:textId="77777777" w:rsidR="00085DFC" w:rsidRDefault="00000000">
            <w:pPr>
              <w:spacing w:line="300" w:lineRule="atLeast"/>
              <w:ind w:firstLineChars="0" w:firstLine="0"/>
              <w:jc w:val="left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约1.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07</w:t>
            </w: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亿元</w:t>
            </w:r>
          </w:p>
        </w:tc>
        <w:tc>
          <w:tcPr>
            <w:tcW w:w="1116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9EB1C4" w14:textId="77777777" w:rsidR="00085DFC" w:rsidRDefault="00000000">
            <w:pPr>
              <w:spacing w:line="300" w:lineRule="atLeast"/>
              <w:ind w:firstLineChars="0" w:firstLine="0"/>
              <w:jc w:val="left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约1.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30</w:t>
            </w: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亿元</w:t>
            </w:r>
          </w:p>
        </w:tc>
      </w:tr>
      <w:tr w:rsidR="00085DFC" w14:paraId="478DA4D8" w14:textId="77777777">
        <w:tc>
          <w:tcPr>
            <w:tcW w:w="1286" w:type="pct"/>
            <w:tcBorders>
              <w:top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5797B3" w14:textId="77777777" w:rsidR="00085DFC" w:rsidRDefault="00000000">
            <w:pPr>
              <w:spacing w:line="300" w:lineRule="atLeast"/>
              <w:ind w:firstLineChars="0" w:firstLine="0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人均营收</w:t>
            </w:r>
          </w:p>
        </w:tc>
        <w:tc>
          <w:tcPr>
            <w:tcW w:w="1327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6396B3" w14:textId="77777777" w:rsidR="00085DFC" w:rsidRDefault="00000000">
            <w:pPr>
              <w:spacing w:line="300" w:lineRule="atLeast"/>
              <w:ind w:firstLineChars="0" w:firstLine="0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约180万元</w:t>
            </w:r>
          </w:p>
        </w:tc>
        <w:tc>
          <w:tcPr>
            <w:tcW w:w="1269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9947C9" w14:textId="77777777" w:rsidR="00085DFC" w:rsidRDefault="00000000">
            <w:pPr>
              <w:spacing w:line="300" w:lineRule="atLeast"/>
              <w:ind w:firstLineChars="0" w:firstLine="0"/>
              <w:jc w:val="left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约2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77</w:t>
            </w: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万元</w:t>
            </w:r>
          </w:p>
        </w:tc>
        <w:tc>
          <w:tcPr>
            <w:tcW w:w="1116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63E67A" w14:textId="0B6DC81D" w:rsidR="00085DFC" w:rsidRDefault="00000000">
            <w:pPr>
              <w:spacing w:line="300" w:lineRule="atLeast"/>
              <w:ind w:firstLineChars="0" w:firstLine="0"/>
              <w:jc w:val="left"/>
              <w:rPr>
                <w:rFonts w:ascii="Segoe UI" w:hAnsi="Segoe UI" w:cs="Segoe UI"/>
                <w:sz w:val="18"/>
                <w:szCs w:val="18"/>
                <w:highlight w:val="yellow"/>
                <w:lang w:eastAsia="zh-CN"/>
              </w:rPr>
            </w:pPr>
            <w:r>
              <w:rPr>
                <w:rFonts w:ascii="Segoe UI" w:hAnsi="Segoe UI" w:cs="Segoe UI" w:hint="eastAsia"/>
                <w:sz w:val="18"/>
                <w:szCs w:val="18"/>
                <w:highlight w:val="yellow"/>
                <w:lang w:eastAsia="zh-CN"/>
              </w:rPr>
              <w:t>约</w:t>
            </w:r>
            <w:r w:rsidR="002429C5">
              <w:rPr>
                <w:rFonts w:ascii="Segoe UI" w:hAnsi="Segoe UI" w:cs="Segoe UI" w:hint="eastAsia"/>
                <w:sz w:val="18"/>
                <w:szCs w:val="18"/>
                <w:highlight w:val="yellow"/>
                <w:lang w:eastAsia="zh-CN"/>
              </w:rPr>
              <w:t>196</w:t>
            </w:r>
            <w:r>
              <w:rPr>
                <w:rFonts w:ascii="Segoe UI" w:hAnsi="Segoe UI" w:cs="Segoe UI" w:hint="eastAsia"/>
                <w:sz w:val="18"/>
                <w:szCs w:val="18"/>
                <w:highlight w:val="yellow"/>
                <w:lang w:eastAsia="zh-CN"/>
              </w:rPr>
              <w:t>万元</w:t>
            </w:r>
          </w:p>
        </w:tc>
      </w:tr>
    </w:tbl>
    <w:bookmarkEnd w:id="11"/>
    <w:p w14:paraId="1FF9DA19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数据来源：各行年报，部分为估算。</w:t>
      </w:r>
    </w:p>
    <w:p w14:paraId="4F30AC93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bookmarkStart w:id="12" w:name="OLE_LINK64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邮储有近4万个网点，其中超过3万个是代理网点，大量员工分布在县域和农村地区，服务于低净值客户。这些网点承担着普惠金融、基础支付结算的社会职能，其商业价值无法用人均创利来衡量。但回到效率竞争的框架下，代理网点的运营费用、人力成本，与较为有限的业务需求之间，确实形成了一道效率鸿沟。</w:t>
      </w:r>
    </w:p>
    <w:p w14:paraId="195965C9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第二组：代理模式的成本黑洞。</w:t>
      </w:r>
    </w:p>
    <w:p w14:paraId="15A29674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邮储的自营+代理模式在业内绝无仅有。代理网点吸收的存款在计算成本时，除了支付给储户的正常利息，还有一笔额外的代理费用。邮储财报中对此有详尽披露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  <w:lang w:eastAsia="zh-CN"/>
        </w:rPr>
        <w:t>，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2025年，邮储支付给代理网点的储蓄代理费及其他相关费用，合计超过千亿元。</w:t>
      </w:r>
    </w:p>
    <w:p w14:paraId="1972B017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这笔费用的特殊性在于：</w:t>
      </w:r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它没有体现在利息支出科目里，而是藏在业务及管理费中。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 这意味着，邮储的真实存款获取成本，远比其账面数据更高。而高成本的负债端，必须在资产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端寻找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更高收益率的贷款来覆盖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  <w:lang w:eastAsia="zh-CN"/>
        </w:rPr>
        <w:t>，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这正是邮储为何将大量资产配置于高息差零售贷款的原因。但由于县域零售信贷单笔金额小、管理成本高，对人均创利的侵蚀十分明显。</w:t>
      </w:r>
    </w:p>
    <w:p w14:paraId="5FDA34ED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lastRenderedPageBreak/>
        <w:t>邮储不是不赚钱，而是赚钱的单位成本太高。当其他银行用高端财富管理、投行业务、金融市场交易等高附加值业务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拉动人均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创利时，邮储仍然在走普惠+下沉的路线。这条路的社会价值无可替代，但在人均创利的竞技台上，它天然处于劣势。</w:t>
      </w:r>
    </w:p>
    <w:p w14:paraId="512D4861" w14:textId="77777777" w:rsidR="00085DFC" w:rsidRDefault="00000000">
      <w:pPr>
        <w:pStyle w:val="3"/>
        <w:shd w:val="clear" w:color="auto" w:fill="FFFFFF"/>
        <w:spacing w:before="384" w:beforeAutospacing="0" w:after="192" w:afterAutospacing="0" w:line="360" w:lineRule="atLeast"/>
        <w:ind w:firstLineChars="0" w:firstLine="0"/>
        <w:rPr>
          <w:rFonts w:ascii="Segoe UI" w:eastAsia="Segoe UI" w:hAnsi="Segoe UI" w:cs="Segoe UI" w:hint="default"/>
          <w:color w:val="0F1115"/>
          <w:sz w:val="24"/>
          <w:szCs w:val="24"/>
        </w:rPr>
      </w:pPr>
      <w:bookmarkStart w:id="13" w:name="OLE_LINK65"/>
      <w:bookmarkEnd w:id="12"/>
      <w:r>
        <w:rPr>
          <w:rFonts w:ascii="Segoe UI" w:eastAsia="Segoe UI" w:hAnsi="Segoe UI" w:cs="Segoe UI" w:hint="default"/>
          <w:color w:val="0F1115"/>
          <w:sz w:val="24"/>
          <w:szCs w:val="24"/>
          <w:shd w:val="clear" w:color="auto" w:fill="FFFFFF"/>
        </w:rPr>
        <w:t>招行的人效密码：不是人少，是人均产值高</w:t>
      </w:r>
    </w:p>
    <w:p w14:paraId="513E9ABD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bookmarkStart w:id="14" w:name="OLE_LINK67"/>
      <w:bookmarkEnd w:id="13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招商银行</w:t>
      </w:r>
      <w:r>
        <w:rPr>
          <w:rFonts w:ascii="Segoe UI" w:eastAsia="Segoe UI" w:hAnsi="Segoe UI" w:cs="Segoe UI"/>
          <w:color w:val="0F1115"/>
          <w:sz w:val="19"/>
          <w:szCs w:val="19"/>
          <w:highlight w:val="yellow"/>
          <w:shd w:val="clear" w:color="auto" w:fill="FFFFFF"/>
          <w:lang w:eastAsia="zh-CN"/>
        </w:rPr>
        <w:t>12</w:t>
      </w:r>
      <w:r>
        <w:rPr>
          <w:rFonts w:ascii="Segoe UI" w:hAnsi="Segoe UI" w:cs="Segoe UI" w:hint="eastAsia"/>
          <w:color w:val="0F1115"/>
          <w:sz w:val="19"/>
          <w:szCs w:val="19"/>
          <w:highlight w:val="yellow"/>
          <w:shd w:val="clear" w:color="auto" w:fill="FFFFFF"/>
          <w:lang w:eastAsia="zh-CN"/>
        </w:rPr>
        <w:t>3.5</w:t>
      </w:r>
      <w:r>
        <w:rPr>
          <w:rFonts w:ascii="Segoe UI" w:eastAsia="Segoe UI" w:hAnsi="Segoe UI" w:cs="Segoe UI"/>
          <w:color w:val="0F1115"/>
          <w:sz w:val="19"/>
          <w:szCs w:val="19"/>
          <w:highlight w:val="yellow"/>
          <w:shd w:val="clear" w:color="auto" w:fill="FFFFFF"/>
          <w:lang w:eastAsia="zh-CN"/>
        </w:rPr>
        <w:t>万元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的人均创利，在股份行中一骑绝尘，甚至超过了全球银行效率标杆摩根大通的水平（摩根大通同期人均创利约为12-14万美元）。</w:t>
      </w:r>
    </w:p>
    <w:p w14:paraId="69C314E8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拆解招行的效率密码，四个字可以概括：</w:t>
      </w:r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轻、高、快、厚。</w:t>
      </w:r>
    </w:p>
    <w:p w14:paraId="7C05F6B9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proofErr w:type="gramStart"/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轻在成本</w:t>
      </w:r>
      <w:proofErr w:type="gramEnd"/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结构。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 招行活期存款占比长期超过52%，在股份行中绝无仅有。活期存款利率极低，极大地压降了招行的负债成本。2025年，招行存款成本率约为1.05%左右，远低于行业平均水平的1.5%-1.8%。仅此一项，每年就为招行节省数百亿元的利息支出，这直接转化为人均创利的增量。</w:t>
      </w:r>
    </w:p>
    <w:p w14:paraId="0BD70D5F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高在客群质量。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 招行2.24亿零售客户中，金葵花及以上客户贡献了超过80%的AUM。高净值客户带来的不仅是存款，还有财富管理中收、私人银行服务费、家族信托管理费等高端收入。这类收入的边际成本几乎为零，每一元新增收入，几乎都是纯利润。</w:t>
      </w:r>
    </w:p>
    <w:p w14:paraId="5428BA38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快在财富管理飞轮。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 2025年，招行大财富管理收入达到440.13亿元，同比增长16.91%，结束了此前连续三年的下滑。代理基金收入增长40.36%，代理信托收入增长65.55%。财富管理业务的本质是轻资本、高周转、强粘性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  <w:lang w:eastAsia="zh-CN"/>
        </w:rPr>
        <w:t>，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它不占用风险资产，却能持续产生中间业务收入，对人均创利的拉动效应是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指数级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的。</w:t>
      </w:r>
    </w:p>
    <w:p w14:paraId="397CE5D6" w14:textId="77777777" w:rsidR="00085DFC" w:rsidRPr="001B60D7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Theme="minorEastAsia" w:hAnsi="Segoe UI" w:cs="Segoe UI" w:hint="eastAsia"/>
          <w:color w:val="0F1115"/>
          <w:sz w:val="19"/>
          <w:szCs w:val="19"/>
          <w:lang w:eastAsia="zh-CN"/>
        </w:rPr>
      </w:pPr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厚在科技对人工的替代。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 招行AI累计替代人工超1556万小时，相当于8000多人的全职人工效率。当其他银行还需要大量柜员、客服、信贷审核人员时，招行已经将这些岗位大规模地数字化了。人员规模得到控制，而业务规模继续增长，人均产出自然被推高。</w:t>
      </w:r>
    </w:p>
    <w:p w14:paraId="078A2760" w14:textId="77777777" w:rsidR="00085DFC" w:rsidRDefault="00000000">
      <w:pPr>
        <w:pStyle w:val="3"/>
        <w:shd w:val="clear" w:color="auto" w:fill="FFFFFF"/>
        <w:spacing w:before="384" w:beforeAutospacing="0" w:after="192" w:afterAutospacing="0" w:line="360" w:lineRule="atLeast"/>
        <w:ind w:firstLineChars="0" w:firstLine="0"/>
        <w:rPr>
          <w:rFonts w:ascii="Segoe UI" w:eastAsia="Segoe UI" w:hAnsi="Segoe UI" w:cs="Segoe UI" w:hint="default"/>
          <w:color w:val="0F1115"/>
          <w:sz w:val="24"/>
          <w:szCs w:val="24"/>
        </w:rPr>
      </w:pPr>
      <w:bookmarkStart w:id="15" w:name="OLE_LINK68"/>
      <w:bookmarkEnd w:id="14"/>
      <w:r>
        <w:rPr>
          <w:rFonts w:ascii="Segoe UI" w:eastAsia="Segoe UI" w:hAnsi="Segoe UI" w:cs="Segoe UI" w:hint="default"/>
          <w:color w:val="0F1115"/>
          <w:sz w:val="24"/>
          <w:szCs w:val="24"/>
          <w:shd w:val="clear" w:color="auto" w:fill="FFFFFF"/>
        </w:rPr>
        <w:t>增员的迷思：用人堆出来的利润，还可持续吗？</w:t>
      </w:r>
    </w:p>
    <w:p w14:paraId="5A153F2D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bookmarkStart w:id="16" w:name="OLE_LINK69"/>
      <w:bookmarkEnd w:id="15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与招行的人效提效形成鲜明对比的，是一些银行仍在走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扩编扩员的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老路。</w:t>
      </w:r>
    </w:p>
    <w:p w14:paraId="7C258F1D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2025年，部分大行的员工总数仍在增长。农业银行2025年员工总数增加3119人至45.78万人，是六大行中唯一实现增员又加薪的银行。工商银行员工总数在40万以上，建设银行约37万人。</w:t>
      </w:r>
    </w:p>
    <w:p w14:paraId="47F04FB5" w14:textId="77777777" w:rsidR="00085DFC" w:rsidRPr="001B60D7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Theme="minorEastAsia" w:hAnsi="Segoe UI" w:cs="Segoe UI" w:hint="eastAsia"/>
          <w:color w:val="0F1115"/>
          <w:sz w:val="19"/>
          <w:szCs w:val="19"/>
          <w:lang w:eastAsia="zh-CN"/>
        </w:rPr>
      </w:pPr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但更大的员工基数并不必然带来更高的人均创利。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1444"/>
        <w:gridCol w:w="2185"/>
        <w:gridCol w:w="1322"/>
      </w:tblGrid>
      <w:tr w:rsidR="00085DFC" w14:paraId="6312B904" w14:textId="77777777">
        <w:trPr>
          <w:tblHeader/>
        </w:trPr>
        <w:tc>
          <w:tcPr>
            <w:tcW w:w="2085" w:type="pct"/>
            <w:tcBorders>
              <w:top w:val="single" w:sz="4" w:space="0" w:color="4874CB"/>
              <w:bottom w:val="single" w:sz="4" w:space="0" w:color="4874CB"/>
              <w:right w:val="single" w:sz="4" w:space="0" w:color="4874CB"/>
              <w:tl2br w:val="nil"/>
            </w:tcBorders>
            <w:shd w:val="clear" w:color="auto" w:fill="91ACE0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2EBC7A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bookmarkStart w:id="17" w:name="_Hlk229083821"/>
            <w:bookmarkEnd w:id="16"/>
            <w:r>
              <w:rPr>
                <w:rFonts w:ascii="Segoe UI" w:eastAsia="Segoe UI" w:hAnsi="Segoe UI" w:cs="Segoe UI"/>
                <w:b/>
                <w:sz w:val="18"/>
                <w:szCs w:val="18"/>
                <w:lang w:eastAsia="zh-CN" w:bidi="ar"/>
              </w:rPr>
              <w:t>指标</w:t>
            </w:r>
          </w:p>
        </w:tc>
        <w:tc>
          <w:tcPr>
            <w:tcW w:w="849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017979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sz w:val="18"/>
                <w:szCs w:val="18"/>
                <w:lang w:eastAsia="zh-CN" w:bidi="ar"/>
              </w:rPr>
              <w:t>农行</w:t>
            </w:r>
          </w:p>
        </w:tc>
        <w:tc>
          <w:tcPr>
            <w:tcW w:w="1285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9DF909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sz w:val="18"/>
                <w:szCs w:val="18"/>
                <w:lang w:eastAsia="zh-CN" w:bidi="ar"/>
              </w:rPr>
              <w:t>工行</w:t>
            </w:r>
          </w:p>
        </w:tc>
        <w:tc>
          <w:tcPr>
            <w:tcW w:w="778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67C58D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sz w:val="18"/>
                <w:szCs w:val="18"/>
                <w:lang w:eastAsia="zh-CN" w:bidi="ar"/>
              </w:rPr>
              <w:t>建行</w:t>
            </w:r>
          </w:p>
        </w:tc>
      </w:tr>
      <w:tr w:rsidR="00085DFC" w14:paraId="2D91070D" w14:textId="77777777">
        <w:tc>
          <w:tcPr>
            <w:tcW w:w="2085" w:type="pct"/>
            <w:tcBorders>
              <w:top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50C5F6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员工总数（万人）</w:t>
            </w:r>
          </w:p>
        </w:tc>
        <w:tc>
          <w:tcPr>
            <w:tcW w:w="849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C763B5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45.78</w:t>
            </w:r>
          </w:p>
        </w:tc>
        <w:tc>
          <w:tcPr>
            <w:tcW w:w="1285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48DB77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4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0.97</w:t>
            </w:r>
          </w:p>
        </w:tc>
        <w:tc>
          <w:tcPr>
            <w:tcW w:w="778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182D5D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37.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83</w:t>
            </w:r>
          </w:p>
        </w:tc>
      </w:tr>
      <w:tr w:rsidR="00085DFC" w14:paraId="37E6558F" w14:textId="77777777">
        <w:tc>
          <w:tcPr>
            <w:tcW w:w="2085" w:type="pct"/>
            <w:tcBorders>
              <w:top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C85564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人均创利（万元）</w:t>
            </w:r>
          </w:p>
        </w:tc>
        <w:tc>
          <w:tcPr>
            <w:tcW w:w="849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80A4BC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hAnsi="Segoe UI" w:cs="Segoe UI"/>
                <w:sz w:val="18"/>
                <w:szCs w:val="18"/>
                <w:highlight w:val="yellow"/>
                <w:lang w:eastAsia="zh-CN"/>
              </w:rPr>
            </w:pPr>
            <w:r>
              <w:rPr>
                <w:rFonts w:ascii="Segoe UI" w:hAnsi="Segoe UI" w:cs="Segoe UI" w:hint="eastAsia"/>
                <w:sz w:val="18"/>
                <w:szCs w:val="18"/>
                <w:highlight w:val="yellow"/>
                <w:lang w:eastAsia="zh-CN"/>
              </w:rPr>
              <w:t>63.6</w:t>
            </w:r>
          </w:p>
        </w:tc>
        <w:tc>
          <w:tcPr>
            <w:tcW w:w="1285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3C9E1B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8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9.9</w:t>
            </w:r>
          </w:p>
        </w:tc>
        <w:tc>
          <w:tcPr>
            <w:tcW w:w="778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8A5B88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8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9.6</w:t>
            </w:r>
          </w:p>
        </w:tc>
      </w:tr>
      <w:tr w:rsidR="00085DFC" w14:paraId="66386C59" w14:textId="77777777">
        <w:tc>
          <w:tcPr>
            <w:tcW w:w="2085" w:type="pct"/>
            <w:tcBorders>
              <w:top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6D3108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bookmarkStart w:id="18" w:name="_Hlk229083842"/>
            <w:bookmarkEnd w:id="17"/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lastRenderedPageBreak/>
              <w:t>科技替代人工（估算）</w:t>
            </w:r>
          </w:p>
        </w:tc>
        <w:tc>
          <w:tcPr>
            <w:tcW w:w="849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FED0D4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—</w:t>
            </w:r>
          </w:p>
        </w:tc>
        <w:tc>
          <w:tcPr>
            <w:tcW w:w="1285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9E3572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5.5万人/年</w:t>
            </w:r>
          </w:p>
        </w:tc>
        <w:tc>
          <w:tcPr>
            <w:tcW w:w="778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754DDA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—</w:t>
            </w:r>
          </w:p>
        </w:tc>
      </w:tr>
    </w:tbl>
    <w:p w14:paraId="1DA18F77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</w:rPr>
      </w:pPr>
      <w:bookmarkStart w:id="19" w:name="OLE_LINK70"/>
      <w:bookmarkEnd w:id="18"/>
      <w:proofErr w:type="spell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数据来源：各行年报</w:t>
      </w:r>
      <w:proofErr w:type="spell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。</w:t>
      </w:r>
    </w:p>
    <w:p w14:paraId="5A0988BE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bookmarkStart w:id="20" w:name="OLE_LINK71"/>
      <w:bookmarkEnd w:id="19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工行在年报中披露，AI数字员工承担工作量已达5.5万人/年。这是一个极具冲击力的数字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  <w:lang w:eastAsia="zh-CN"/>
        </w:rPr>
        <w:t>，</w:t>
      </w:r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相当于工行总员工人数的13%以上正在被AI替代。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 如果这些被替代的岗位能够逐步压缩人力配置，工行的人均创利有望大幅提升。但如果增员和AI替代同时发生，那就意味着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  <w:lang w:eastAsia="zh-CN"/>
        </w:rPr>
        <w:t>，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新增的人正在被AI淘汰的人对冲掉，整体人效的提升被稀释了。</w:t>
      </w:r>
    </w:p>
    <w:p w14:paraId="3ACFC9EC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这正是许多大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行面临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的深层矛盾：</w:t>
      </w:r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社会责任要求它们维持就业、稳定网点、下沉服务；市场竞争要求它们缩减人手、提升效率、削减成本。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 两条逻辑的撕扯之下，人均创利就成了那面最真实的镜子。</w:t>
      </w:r>
    </w:p>
    <w:p w14:paraId="508247F6" w14:textId="77777777" w:rsidR="00085DFC" w:rsidRDefault="00000000">
      <w:pPr>
        <w:pStyle w:val="3"/>
        <w:shd w:val="clear" w:color="auto" w:fill="FFFFFF"/>
        <w:spacing w:before="384" w:beforeAutospacing="0" w:after="192" w:afterAutospacing="0" w:line="360" w:lineRule="atLeast"/>
        <w:ind w:firstLineChars="0" w:firstLine="0"/>
        <w:rPr>
          <w:rFonts w:ascii="Segoe UI" w:eastAsia="Segoe UI" w:hAnsi="Segoe UI" w:cs="Segoe UI" w:hint="default"/>
          <w:color w:val="0F1115"/>
          <w:sz w:val="24"/>
          <w:szCs w:val="24"/>
        </w:rPr>
      </w:pPr>
      <w:bookmarkStart w:id="21" w:name="OLE_LINK72"/>
      <w:bookmarkEnd w:id="20"/>
      <w:r>
        <w:rPr>
          <w:rFonts w:ascii="Segoe UI" w:eastAsia="Segoe UI" w:hAnsi="Segoe UI" w:cs="Segoe UI" w:hint="default"/>
          <w:color w:val="0F1115"/>
          <w:sz w:val="24"/>
          <w:szCs w:val="24"/>
          <w:shd w:val="clear" w:color="auto" w:fill="FFFFFF"/>
        </w:rPr>
        <w:t>区域性银行的潜伏战：谁在被低估？</w:t>
      </w:r>
    </w:p>
    <w:p w14:paraId="310F916B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bookmarkStart w:id="22" w:name="OLE_LINK73"/>
      <w:bookmarkEnd w:id="21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如果只看大行和股份行，会漏掉另一场更隐蔽的战争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  <w:lang w:eastAsia="zh-CN"/>
        </w:rPr>
        <w:t>，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区域性银行中，一些效率怪兽正在悄然崛起。</w:t>
      </w:r>
    </w:p>
    <w:p w14:paraId="3D4A82AC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以宁波银行为例，其人均创利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  <w:lang w:eastAsia="zh-CN"/>
        </w:rPr>
        <w:t>约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120万元，与招行不相上下。2025年，宁波银行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归母净利润</w:t>
      </w:r>
      <w:proofErr w:type="gramEnd"/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  <w:lang w:eastAsia="zh-CN"/>
        </w:rPr>
        <w:t>295.3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亿元，员工总数约2.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  <w:lang w:eastAsia="zh-CN"/>
        </w:rPr>
        <w:t>48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万人，人均创利约1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  <w:lang w:eastAsia="zh-CN"/>
        </w:rPr>
        <w:t>18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万元。</w:t>
      </w:r>
    </w:p>
    <w:p w14:paraId="6E83E14A" w14:textId="77777777" w:rsidR="00085DFC" w:rsidRPr="001B60D7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Theme="minorEastAsia" w:hAnsi="Segoe UI" w:cs="Segoe UI" w:hint="eastAsia"/>
          <w:color w:val="0F1115"/>
          <w:sz w:val="19"/>
          <w:szCs w:val="19"/>
          <w:lang w:eastAsia="zh-CN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但宁波银行的过人之处不只在人均创利，更在于人均创收。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1552"/>
        <w:gridCol w:w="1551"/>
        <w:gridCol w:w="1551"/>
        <w:gridCol w:w="1551"/>
      </w:tblGrid>
      <w:tr w:rsidR="00085DFC" w14:paraId="66607015" w14:textId="77777777">
        <w:trPr>
          <w:tblHeader/>
        </w:trPr>
        <w:tc>
          <w:tcPr>
            <w:tcW w:w="1346" w:type="pct"/>
            <w:tcBorders>
              <w:top w:val="single" w:sz="4" w:space="0" w:color="4874CB"/>
              <w:bottom w:val="single" w:sz="4" w:space="0" w:color="4874CB"/>
              <w:right w:val="single" w:sz="4" w:space="0" w:color="4874CB"/>
              <w:tl2br w:val="nil"/>
            </w:tcBorders>
            <w:shd w:val="clear" w:color="auto" w:fill="91ACE0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bookmarkEnd w:id="22"/>
          <w:p w14:paraId="5466C7CC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sz w:val="18"/>
                <w:szCs w:val="18"/>
                <w:lang w:eastAsia="zh-CN" w:bidi="ar"/>
              </w:rPr>
              <w:t>指标</w:t>
            </w:r>
          </w:p>
        </w:tc>
        <w:tc>
          <w:tcPr>
            <w:tcW w:w="913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0BB6F4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sz w:val="18"/>
                <w:szCs w:val="18"/>
                <w:lang w:eastAsia="zh-CN" w:bidi="ar"/>
              </w:rPr>
              <w:t>招商银行</w:t>
            </w:r>
          </w:p>
        </w:tc>
        <w:tc>
          <w:tcPr>
            <w:tcW w:w="913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7659F4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sz w:val="18"/>
                <w:szCs w:val="18"/>
                <w:lang w:eastAsia="zh-CN" w:bidi="ar"/>
              </w:rPr>
              <w:t>宁波银行</w:t>
            </w:r>
          </w:p>
        </w:tc>
        <w:tc>
          <w:tcPr>
            <w:tcW w:w="913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6598AA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sz w:val="18"/>
                <w:szCs w:val="18"/>
                <w:lang w:eastAsia="zh-CN" w:bidi="ar"/>
              </w:rPr>
              <w:t>平安银行</w:t>
            </w:r>
          </w:p>
        </w:tc>
        <w:tc>
          <w:tcPr>
            <w:tcW w:w="913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9EA659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b/>
                <w:sz w:val="18"/>
                <w:szCs w:val="18"/>
                <w:lang w:eastAsia="zh-CN" w:bidi="ar"/>
              </w:rPr>
              <w:t>兴业银行</w:t>
            </w:r>
          </w:p>
        </w:tc>
      </w:tr>
      <w:tr w:rsidR="00085DFC" w14:paraId="4B61FD81" w14:textId="77777777">
        <w:tc>
          <w:tcPr>
            <w:tcW w:w="1346" w:type="pct"/>
            <w:tcBorders>
              <w:top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B8C7F9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人均营收（万元）</w:t>
            </w:r>
          </w:p>
        </w:tc>
        <w:tc>
          <w:tcPr>
            <w:tcW w:w="913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C55F9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≈2</w:t>
            </w:r>
            <w:r>
              <w:rPr>
                <w:rFonts w:ascii="Segoe UI" w:eastAsia="Segoe UI" w:hAnsi="Segoe UI" w:cs="Segoe UI" w:hint="eastAsia"/>
                <w:sz w:val="18"/>
                <w:szCs w:val="18"/>
                <w:lang w:eastAsia="zh-CN" w:bidi="ar"/>
              </w:rPr>
              <w:t>77</w:t>
            </w:r>
          </w:p>
        </w:tc>
        <w:tc>
          <w:tcPr>
            <w:tcW w:w="913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DB2C57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≈2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89</w:t>
            </w:r>
          </w:p>
        </w:tc>
        <w:tc>
          <w:tcPr>
            <w:tcW w:w="913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40DB40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≈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315</w:t>
            </w:r>
          </w:p>
        </w:tc>
        <w:tc>
          <w:tcPr>
            <w:tcW w:w="913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27F154" w14:textId="679CFF3B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hAnsi="Segoe UI" w:cs="Segoe UI" w:hint="eastAsia"/>
                <w:sz w:val="18"/>
                <w:szCs w:val="18"/>
                <w:highlight w:val="yellow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≈</w:t>
            </w:r>
            <w:r>
              <w:rPr>
                <w:rFonts w:ascii="Segoe UI" w:hAnsi="Segoe UI" w:cs="Segoe UI" w:hint="eastAsia"/>
                <w:sz w:val="18"/>
                <w:szCs w:val="18"/>
                <w:highlight w:val="yellow"/>
                <w:lang w:eastAsia="zh-CN"/>
              </w:rPr>
              <w:t>3</w:t>
            </w:r>
            <w:r w:rsidR="001754D6">
              <w:rPr>
                <w:rFonts w:ascii="Segoe UI" w:hAnsi="Segoe UI" w:cs="Segoe UI" w:hint="eastAsia"/>
                <w:sz w:val="18"/>
                <w:szCs w:val="18"/>
                <w:highlight w:val="yellow"/>
                <w:lang w:eastAsia="zh-CN"/>
              </w:rPr>
              <w:t>08</w:t>
            </w:r>
          </w:p>
        </w:tc>
      </w:tr>
      <w:tr w:rsidR="00085DFC" w14:paraId="40B21650" w14:textId="77777777">
        <w:tc>
          <w:tcPr>
            <w:tcW w:w="1346" w:type="pct"/>
            <w:tcBorders>
              <w:top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471D7A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 w:bidi="ar"/>
              </w:rPr>
              <w:t>人均创利（万元）</w:t>
            </w:r>
          </w:p>
        </w:tc>
        <w:tc>
          <w:tcPr>
            <w:tcW w:w="913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427C1C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12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3.5</w:t>
            </w:r>
          </w:p>
        </w:tc>
        <w:tc>
          <w:tcPr>
            <w:tcW w:w="913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9FE6C8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≈1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19</w:t>
            </w:r>
          </w:p>
        </w:tc>
        <w:tc>
          <w:tcPr>
            <w:tcW w:w="913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6571BC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≈10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2</w:t>
            </w: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.2</w:t>
            </w:r>
          </w:p>
        </w:tc>
        <w:tc>
          <w:tcPr>
            <w:tcW w:w="913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C8DC23" w14:textId="77777777" w:rsidR="00085DFC" w:rsidRDefault="00000000">
            <w:pPr>
              <w:spacing w:line="300" w:lineRule="atLeast"/>
              <w:ind w:firstLineChars="0" w:firstLine="0"/>
              <w:jc w:val="center"/>
              <w:rPr>
                <w:rFonts w:ascii="Segoe UI" w:eastAsia="Segoe UI" w:hAnsi="Segoe UI" w:cs="Segoe UI"/>
                <w:sz w:val="18"/>
                <w:szCs w:val="18"/>
                <w:highlight w:val="yellow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highlight w:val="yellow"/>
                <w:lang w:eastAsia="zh-CN" w:bidi="ar"/>
              </w:rPr>
              <w:t>≈1</w:t>
            </w:r>
            <w:r>
              <w:rPr>
                <w:rFonts w:ascii="Segoe UI" w:eastAsia="Segoe UI" w:hAnsi="Segoe UI" w:cs="Segoe UI" w:hint="eastAsia"/>
                <w:sz w:val="18"/>
                <w:szCs w:val="18"/>
                <w:highlight w:val="yellow"/>
                <w:lang w:eastAsia="zh-CN" w:bidi="ar"/>
              </w:rPr>
              <w:t>22.5</w:t>
            </w:r>
          </w:p>
        </w:tc>
      </w:tr>
    </w:tbl>
    <w:p w14:paraId="0B0ECE9C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数据来源：各行年报，部分为估算。</w:t>
      </w:r>
    </w:p>
    <w:p w14:paraId="5218FE74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bookmarkStart w:id="23" w:name="OLE_LINK74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宁波银行以更少的员工，撬动了与招行几乎持平的人均创利效率。其背后的关键支撑，是9+4利润中心矩阵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  <w:lang w:eastAsia="zh-CN"/>
        </w:rPr>
        <w:t>，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9个公司本体利润中心、4个子公司利润中心，多元化盈利来源有效对冲了净息差收窄的压力。而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轻资本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运行的子公司（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永赢基金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、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永赢金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租、宁银理财、宁银消金）贡献了可观的非息收入，放大了人均产值。</w:t>
      </w:r>
    </w:p>
    <w:p w14:paraId="23E6826E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另一家值得关注的隐性冠军是成都银行。</w:t>
      </w:r>
      <w:r>
        <w:rPr>
          <w:rFonts w:ascii="Segoe UI" w:eastAsia="Segoe UI" w:hAnsi="Segoe UI" w:cs="Segoe UI"/>
          <w:color w:val="0F1115"/>
          <w:sz w:val="19"/>
          <w:szCs w:val="19"/>
          <w:highlight w:val="yellow"/>
          <w:shd w:val="clear" w:color="auto" w:fill="FFFFFF"/>
          <w:lang w:eastAsia="zh-CN"/>
        </w:rPr>
        <w:t>2025年成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highlight w:val="yellow"/>
          <w:shd w:val="clear" w:color="auto" w:fill="FFFFFF"/>
          <w:lang w:eastAsia="zh-CN"/>
        </w:rPr>
        <w:t>都银行归母净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highlight w:val="yellow"/>
          <w:shd w:val="clear" w:color="auto" w:fill="FFFFFF"/>
          <w:lang w:eastAsia="zh-CN"/>
        </w:rPr>
        <w:t>利润约1</w:t>
      </w:r>
      <w:r>
        <w:rPr>
          <w:rFonts w:ascii="Segoe UI" w:hAnsi="Segoe UI" w:cs="Segoe UI" w:hint="eastAsia"/>
          <w:color w:val="0F1115"/>
          <w:sz w:val="19"/>
          <w:szCs w:val="19"/>
          <w:highlight w:val="yellow"/>
          <w:shd w:val="clear" w:color="auto" w:fill="FFFFFF"/>
          <w:lang w:eastAsia="zh-CN"/>
        </w:rPr>
        <w:t>32.8</w:t>
      </w:r>
      <w:r>
        <w:rPr>
          <w:rFonts w:ascii="Segoe UI" w:eastAsia="Segoe UI" w:hAnsi="Segoe UI" w:cs="Segoe UI"/>
          <w:color w:val="0F1115"/>
          <w:sz w:val="19"/>
          <w:szCs w:val="19"/>
          <w:highlight w:val="yellow"/>
          <w:shd w:val="clear" w:color="auto" w:fill="FFFFFF"/>
          <w:lang w:eastAsia="zh-CN"/>
        </w:rPr>
        <w:t>亿元，员工总数约7900人，人均创利高达约16</w:t>
      </w:r>
      <w:r>
        <w:rPr>
          <w:rFonts w:ascii="Segoe UI" w:hAnsi="Segoe UI" w:cs="Segoe UI" w:hint="eastAsia"/>
          <w:color w:val="0F1115"/>
          <w:sz w:val="19"/>
          <w:szCs w:val="19"/>
          <w:highlight w:val="yellow"/>
          <w:shd w:val="clear" w:color="auto" w:fill="FFFFFF"/>
          <w:lang w:eastAsia="zh-CN"/>
        </w:rPr>
        <w:t>8</w:t>
      </w:r>
      <w:r>
        <w:rPr>
          <w:rFonts w:ascii="Segoe UI" w:eastAsia="Segoe UI" w:hAnsi="Segoe UI" w:cs="Segoe UI"/>
          <w:color w:val="0F1115"/>
          <w:sz w:val="19"/>
          <w:szCs w:val="19"/>
          <w:highlight w:val="yellow"/>
          <w:shd w:val="clear" w:color="auto" w:fill="FFFFFF"/>
          <w:lang w:eastAsia="zh-CN"/>
        </w:rPr>
        <w:t>万元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，将招行、宁波银行全部甩在身后。这种超高的人均创利效率，建立在其深度绑定成渝经济区核心企业、信贷投向高度集中于优质对公客户的战略之上。</w:t>
      </w:r>
    </w:p>
    <w:p w14:paraId="5D268B14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不过，高人均创利的另一面，往往是业务结构高度集中的风险。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 一旦区域经济或特定行业出现波动，这类银行的人均创利曲线也会更加陡峭地掉头向下。</w:t>
      </w:r>
    </w:p>
    <w:bookmarkEnd w:id="23"/>
    <w:p w14:paraId="2AB2654B" w14:textId="77777777" w:rsidR="00085DFC" w:rsidRDefault="00000000">
      <w:pPr>
        <w:pStyle w:val="3"/>
        <w:shd w:val="clear" w:color="auto" w:fill="FFFFFF"/>
        <w:spacing w:before="384" w:beforeAutospacing="0" w:after="192" w:afterAutospacing="0" w:line="360" w:lineRule="atLeast"/>
        <w:ind w:firstLineChars="0" w:firstLine="0"/>
        <w:rPr>
          <w:rFonts w:ascii="Segoe UI" w:eastAsia="Segoe UI" w:hAnsi="Segoe UI" w:cs="Segoe UI" w:hint="default"/>
          <w:color w:val="0F1115"/>
          <w:sz w:val="24"/>
          <w:szCs w:val="24"/>
        </w:rPr>
      </w:pPr>
      <w:r>
        <w:rPr>
          <w:rFonts w:ascii="Segoe UI" w:eastAsia="Segoe UI" w:hAnsi="Segoe UI" w:cs="Segoe UI" w:hint="default"/>
          <w:color w:val="0F1115"/>
          <w:sz w:val="24"/>
          <w:szCs w:val="24"/>
          <w:shd w:val="clear" w:color="auto" w:fill="FFFFFF"/>
        </w:rPr>
        <w:lastRenderedPageBreak/>
        <w:t>从人效鸿沟看银行的终极分化</w:t>
      </w:r>
    </w:p>
    <w:p w14:paraId="18E4BEB9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bookmarkStart w:id="24" w:name="OLE_LINK75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人均创利的巨大落差，不是一个简单的谁家员工更能干的问题。它折射出的，是银行商业模式的根本性差异。</w:t>
      </w:r>
    </w:p>
    <w:p w14:paraId="1A7575D5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模式</w:t>
      </w:r>
      <w:proofErr w:type="gramStart"/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一</w:t>
      </w:r>
      <w:proofErr w:type="gramEnd"/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：规模驱动型。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 以国有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大行为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代表，依靠庞大的资产规模、广布的网点、巨大的客户基数获取利润。这种模式下，人均创利天然偏低，但规模优势足以弥补效率不足。然而在息差下行、利差收窄的环境下，规模驱动的边际效用正在递减。</w:t>
      </w:r>
    </w:p>
    <w:p w14:paraId="27362FD1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模式二：价值驱动型。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 以招行、宁波银行为代表，依托高净值客群、财富管理中间收入、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轻资本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运营来提升单位产出。这种模式下，每一位员工都在创造更高的附加值，利润增长不完全依赖于规模扩张，对净息差的敏感度也相对更低。</w:t>
      </w:r>
    </w:p>
    <w:p w14:paraId="64D52AAF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模式三：区域专精型。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 以成都银行、杭州银行等区域龙头为代表，深耕特定经济圈或产业链，以集中化的信贷投放和深厚的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本地关系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网络获取超额利润。这种模式风险与收益并存，天花板明显但效率惊人。</w:t>
      </w:r>
    </w:p>
    <w:p w14:paraId="60D35988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这三种模式没有绝对的优劣之分，但在银行业整体从增量竞争转向存量博弈、从规模红利转向效率红利的当下，</w:t>
      </w:r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价值驱动型和区域专精型模式，正在体现出更强的韧性。</w:t>
      </w:r>
    </w:p>
    <w:p w14:paraId="271EAE12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当我们谈论一家银行的估值时，市场习惯性地看PB、PE、净息差、不良率。但所有这些指标，最终的落脚点都一样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  <w:lang w:eastAsia="zh-CN"/>
        </w:rPr>
        <w:t>，</w:t>
      </w:r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这家银行能不能用更少的人、更低的成本、更小的风险，赚到更多的钱。</w:t>
      </w:r>
    </w:p>
    <w:p w14:paraId="5F089F16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人均创利，就是这道公式的最终答案。</w:t>
      </w:r>
    </w:p>
    <w:p w14:paraId="68CBF1D2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招商银行13.07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万亿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元资产赚了1501.81亿元，邮储银</w:t>
      </w:r>
      <w:r>
        <w:rPr>
          <w:rFonts w:ascii="Segoe UI" w:eastAsia="Segoe UI" w:hAnsi="Segoe UI" w:cs="Segoe UI"/>
          <w:color w:val="0F1115"/>
          <w:sz w:val="19"/>
          <w:szCs w:val="19"/>
          <w:highlight w:val="yellow"/>
          <w:shd w:val="clear" w:color="auto" w:fill="FFFFFF"/>
          <w:lang w:eastAsia="zh-CN"/>
        </w:rPr>
        <w:t>行1</w:t>
      </w:r>
      <w:r>
        <w:rPr>
          <w:rFonts w:ascii="Segoe UI" w:hAnsi="Segoe UI" w:cs="Segoe UI" w:hint="eastAsia"/>
          <w:color w:val="0F1115"/>
          <w:sz w:val="19"/>
          <w:szCs w:val="19"/>
          <w:highlight w:val="yellow"/>
          <w:shd w:val="clear" w:color="auto" w:fill="FFFFFF"/>
          <w:lang w:eastAsia="zh-CN"/>
        </w:rPr>
        <w:t>8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highlight w:val="yellow"/>
          <w:shd w:val="clear" w:color="auto" w:fill="FFFFFF"/>
          <w:lang w:eastAsia="zh-CN"/>
        </w:rPr>
        <w:t>万亿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highlight w:val="yellow"/>
          <w:shd w:val="clear" w:color="auto" w:fill="FFFFFF"/>
          <w:lang w:eastAsia="zh-CN"/>
        </w:rPr>
        <w:t>元以上资产赚了8</w:t>
      </w:r>
      <w:r>
        <w:rPr>
          <w:rFonts w:ascii="Segoe UI" w:hAnsi="Segoe UI" w:cs="Segoe UI" w:hint="eastAsia"/>
          <w:color w:val="0F1115"/>
          <w:sz w:val="19"/>
          <w:szCs w:val="19"/>
          <w:highlight w:val="yellow"/>
          <w:shd w:val="clear" w:color="auto" w:fill="FFFFFF"/>
          <w:lang w:eastAsia="zh-CN"/>
        </w:rPr>
        <w:t>74.0</w:t>
      </w:r>
      <w:r>
        <w:rPr>
          <w:rFonts w:ascii="Segoe UI" w:eastAsia="Segoe UI" w:hAnsi="Segoe UI" w:cs="Segoe UI"/>
          <w:color w:val="0F1115"/>
          <w:sz w:val="19"/>
          <w:szCs w:val="19"/>
          <w:highlight w:val="yellow"/>
          <w:shd w:val="clear" w:color="auto" w:fill="FFFFFF"/>
          <w:lang w:eastAsia="zh-CN"/>
        </w:rPr>
        <w:t>4亿元。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资产更大的一方反而赚得更少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  <w:lang w:eastAsia="zh-CN"/>
        </w:rPr>
        <w:t>，</w:t>
      </w:r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这说明，规模已经不是银行价值创造的核心变量，人才是。</w:t>
      </w:r>
    </w:p>
    <w:p w14:paraId="7308F587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当资本市场的资金开始流向高质量发展的银行，当保险资金举牌银行股时更看重ROE和分红可持续性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而非总资产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排名，银行股估值体系的重构已悄然开始。</w:t>
      </w:r>
    </w:p>
    <w:p w14:paraId="39C03FFE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在这场重构中，</w:t>
      </w:r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人均创利将是那张最致命的底牌。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 那些人均创利持续上行的银行，将在分化中获得更高的估值溢价；而那些人均创利低位徘徊甚至持续下行的银行，其规模越大，市场反而越担忧。</w:t>
      </w:r>
    </w:p>
    <w:p w14:paraId="1F63C82B" w14:textId="77777777" w:rsidR="00085DFC" w:rsidRDefault="00000000">
      <w:pPr>
        <w:pStyle w:val="ae"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lang w:eastAsia="zh-CN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这不是人多人少的算术题，而是银行业从粗放增长向集约发展转型的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最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eastAsia="zh-CN"/>
        </w:rPr>
        <w:t>本质追问：</w:t>
      </w:r>
      <w:r>
        <w:rPr>
          <w:rStyle w:val="af1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  <w:lang w:eastAsia="zh-CN"/>
        </w:rPr>
        <w:t>你的每一个员工，今年比去年更值钱了吗？</w:t>
      </w:r>
    </w:p>
    <w:bookmarkEnd w:id="0"/>
    <w:bookmarkEnd w:id="24"/>
    <w:p w14:paraId="5202EBBE" w14:textId="77777777" w:rsidR="00085DFC" w:rsidRDefault="00085DFC">
      <w:pPr>
        <w:ind w:firstLineChars="0" w:firstLine="0"/>
        <w:rPr>
          <w:lang w:eastAsia="zh-CN"/>
        </w:rPr>
      </w:pPr>
    </w:p>
    <w:sectPr w:rsidR="00085DF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51">
      <wne:acd wne:acdName="acd0"/>
    </wne:keymap>
    <wne:keymap wne:kcmPrimary="0432">
      <wne:acd wne:acdName="acd1"/>
    </wne:keymap>
  </wne:keymaps>
  <wne:toolbars>
    <wne:acdManifest>
      <wne:acdEntry wne:acdName="acd0"/>
      <wne:acdEntry wne:acdName="acd1"/>
    </wne:acdManifest>
  </wne:toolbars>
  <wne:acds>
    <wne:acd wne:argValue="AQAAAAEA" wne:acdName="acd0" wne:fciIndexBasedOn="0065"/>
    <wne:acd wne:argValue="AQAAAAIA" wne:acdName="acd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A9B12" w14:textId="77777777" w:rsidR="00DA6ECD" w:rsidRDefault="00DA6ECD">
      <w:pPr>
        <w:spacing w:line="240" w:lineRule="auto"/>
        <w:ind w:firstLine="480"/>
      </w:pPr>
      <w:r>
        <w:separator/>
      </w:r>
    </w:p>
  </w:endnote>
  <w:endnote w:type="continuationSeparator" w:id="0">
    <w:p w14:paraId="0D6FA16F" w14:textId="77777777" w:rsidR="00DA6ECD" w:rsidRDefault="00DA6EC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F2D5E" w14:textId="77777777" w:rsidR="001754D6" w:rsidRDefault="001754D6">
    <w:pPr>
      <w:pStyle w:val="ab"/>
      <w:ind w:left="360" w:hanging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8358A" w14:textId="77777777" w:rsidR="001754D6" w:rsidRDefault="001754D6">
    <w:pPr>
      <w:pStyle w:val="ab"/>
      <w:ind w:left="360" w:hanging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6C7D0" w14:textId="77777777" w:rsidR="001754D6" w:rsidRDefault="001754D6">
    <w:pPr>
      <w:pStyle w:val="ab"/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DF638" w14:textId="77777777" w:rsidR="00DA6ECD" w:rsidRDefault="00DA6ECD">
      <w:pPr>
        <w:ind w:firstLine="480"/>
      </w:pPr>
      <w:r>
        <w:separator/>
      </w:r>
    </w:p>
  </w:footnote>
  <w:footnote w:type="continuationSeparator" w:id="0">
    <w:p w14:paraId="655569C8" w14:textId="77777777" w:rsidR="00DA6ECD" w:rsidRDefault="00DA6ECD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AB7B3" w14:textId="77777777" w:rsidR="001754D6" w:rsidRDefault="001754D6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647A4" w14:textId="77777777" w:rsidR="001754D6" w:rsidRDefault="001754D6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6D8CC" w14:textId="77777777" w:rsidR="001754D6" w:rsidRDefault="001754D6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8B17FF"/>
    <w:multiLevelType w:val="singleLevel"/>
    <w:tmpl w:val="C78B17FF"/>
    <w:lvl w:ilvl="0">
      <w:start w:val="1"/>
      <w:numFmt w:val="decimal"/>
      <w:pStyle w:val="a"/>
      <w:suff w:val="space"/>
      <w:lvlText w:val="[%1]"/>
      <w:lvlJc w:val="left"/>
      <w:pPr>
        <w:tabs>
          <w:tab w:val="left" w:pos="0"/>
        </w:tabs>
      </w:pPr>
      <w:rPr>
        <w:rFonts w:hint="default"/>
      </w:rPr>
    </w:lvl>
  </w:abstractNum>
  <w:abstractNum w:abstractNumId="1" w15:restartNumberingAfterBreak="0">
    <w:nsid w:val="D4C22AF2"/>
    <w:multiLevelType w:val="multilevel"/>
    <w:tmpl w:val="D4C22AF2"/>
    <w:lvl w:ilvl="0">
      <w:start w:val="1"/>
      <w:numFmt w:val="decimal"/>
      <w:suff w:val="nothing"/>
      <w:lvlText w:val="%1 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 "/>
      <w:lvlJc w:val="left"/>
      <w:pPr>
        <w:tabs>
          <w:tab w:val="left" w:pos="0"/>
        </w:tabs>
        <w:ind w:left="575" w:hanging="575"/>
      </w:pPr>
      <w:rPr>
        <w:rFonts w:ascii="宋体" w:eastAsia="宋体" w:hAnsi="宋体" w:cs="宋体" w:hint="default"/>
      </w:rPr>
    </w:lvl>
    <w:lvl w:ilvl="2">
      <w:start w:val="1"/>
      <w:numFmt w:val="decimal"/>
      <w:suff w:val="nothing"/>
      <w:lvlText w:val="%1.%2.%3 "/>
      <w:lvlJc w:val="left"/>
      <w:pPr>
        <w:tabs>
          <w:tab w:val="left" w:pos="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EFE2F7AC"/>
    <w:multiLevelType w:val="multilevel"/>
    <w:tmpl w:val="EFE2F7AC"/>
    <w:lvl w:ilvl="0">
      <w:start w:val="1"/>
      <w:numFmt w:val="decimal"/>
      <w:pStyle w:val="a0"/>
      <w:lvlText w:val="%1"/>
      <w:lvlJc w:val="left"/>
      <w:pPr>
        <w:ind w:left="425" w:hanging="425"/>
      </w:pPr>
      <w:rPr>
        <w:rFonts w:ascii="微软雅黑" w:eastAsia="微软雅黑" w:hAnsi="微软雅黑"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微软雅黑" w:eastAsia="宋体" w:hAnsi="微软雅黑"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ascii="微软雅黑" w:eastAsia="微软雅黑" w:hAnsi="微软雅黑"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ascii="微软雅黑" w:eastAsia="微软雅黑" w:hAnsi="微软雅黑"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ascii="微软雅黑" w:eastAsia="微软雅黑" w:hAnsi="微软雅黑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 w15:restartNumberingAfterBreak="0">
    <w:nsid w:val="FACE2DB4"/>
    <w:multiLevelType w:val="singleLevel"/>
    <w:tmpl w:val="FACE2DB4"/>
    <w:lvl w:ilvl="0">
      <w:start w:val="1"/>
      <w:numFmt w:val="decimal"/>
      <w:pStyle w:val="a1"/>
      <w:lvlText w:val="图4-%1"/>
      <w:lvlJc w:val="left"/>
      <w:pPr>
        <w:tabs>
          <w:tab w:val="left" w:pos="567"/>
        </w:tabs>
        <w:ind w:left="0" w:firstLine="0"/>
      </w:pPr>
      <w:rPr>
        <w:rFonts w:hint="default"/>
      </w:rPr>
    </w:lvl>
  </w:abstractNum>
  <w:num w:numId="1" w16cid:durableId="733896893">
    <w:abstractNumId w:val="1"/>
  </w:num>
  <w:num w:numId="2" w16cid:durableId="2098404215">
    <w:abstractNumId w:val="2"/>
  </w:num>
  <w:num w:numId="3" w16cid:durableId="430513463">
    <w:abstractNumId w:val="0"/>
  </w:num>
  <w:num w:numId="4" w16cid:durableId="145316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5DFC"/>
    <w:rsid w:val="00085DFC"/>
    <w:rsid w:val="001754D6"/>
    <w:rsid w:val="001A029C"/>
    <w:rsid w:val="001B60D7"/>
    <w:rsid w:val="001F3403"/>
    <w:rsid w:val="0021586D"/>
    <w:rsid w:val="002429C5"/>
    <w:rsid w:val="002506FA"/>
    <w:rsid w:val="002B59D3"/>
    <w:rsid w:val="00881644"/>
    <w:rsid w:val="00BA5F5E"/>
    <w:rsid w:val="00C00CB7"/>
    <w:rsid w:val="00CB3C44"/>
    <w:rsid w:val="00CD3778"/>
    <w:rsid w:val="00CD5A15"/>
    <w:rsid w:val="00DA6ECD"/>
    <w:rsid w:val="00EC0B7E"/>
    <w:rsid w:val="00F275F0"/>
    <w:rsid w:val="015A69DF"/>
    <w:rsid w:val="01A43D9C"/>
    <w:rsid w:val="01A77B35"/>
    <w:rsid w:val="01D23333"/>
    <w:rsid w:val="01E67C51"/>
    <w:rsid w:val="020E1A24"/>
    <w:rsid w:val="02937356"/>
    <w:rsid w:val="02B60C69"/>
    <w:rsid w:val="02DB3572"/>
    <w:rsid w:val="03250E34"/>
    <w:rsid w:val="032B0EBC"/>
    <w:rsid w:val="039713C7"/>
    <w:rsid w:val="03A4723E"/>
    <w:rsid w:val="03CC7FEE"/>
    <w:rsid w:val="04106BDD"/>
    <w:rsid w:val="047E1B60"/>
    <w:rsid w:val="048D4B54"/>
    <w:rsid w:val="04C500CA"/>
    <w:rsid w:val="04E41CE1"/>
    <w:rsid w:val="05244516"/>
    <w:rsid w:val="057B460B"/>
    <w:rsid w:val="058B2A44"/>
    <w:rsid w:val="05A33BF0"/>
    <w:rsid w:val="05DA2561"/>
    <w:rsid w:val="062C5D5F"/>
    <w:rsid w:val="06752E14"/>
    <w:rsid w:val="068D7423"/>
    <w:rsid w:val="074946C8"/>
    <w:rsid w:val="07C713FA"/>
    <w:rsid w:val="08B017DE"/>
    <w:rsid w:val="09483977"/>
    <w:rsid w:val="099072AF"/>
    <w:rsid w:val="09A07101"/>
    <w:rsid w:val="09AF2E8B"/>
    <w:rsid w:val="0A4047F0"/>
    <w:rsid w:val="0A48594F"/>
    <w:rsid w:val="0AB47859"/>
    <w:rsid w:val="0B177CD5"/>
    <w:rsid w:val="0B2F2881"/>
    <w:rsid w:val="0BC72059"/>
    <w:rsid w:val="0BCB5B13"/>
    <w:rsid w:val="0BCF5FF3"/>
    <w:rsid w:val="0BD9123D"/>
    <w:rsid w:val="0BE37DF5"/>
    <w:rsid w:val="0C311396"/>
    <w:rsid w:val="0C5C5076"/>
    <w:rsid w:val="0C692CAD"/>
    <w:rsid w:val="0D681B8E"/>
    <w:rsid w:val="0D9F3011"/>
    <w:rsid w:val="0DE43478"/>
    <w:rsid w:val="0DEE56BA"/>
    <w:rsid w:val="0E306947"/>
    <w:rsid w:val="0E9F4874"/>
    <w:rsid w:val="0EAC08FD"/>
    <w:rsid w:val="0EE07D03"/>
    <w:rsid w:val="0F1F3A83"/>
    <w:rsid w:val="0F2C385D"/>
    <w:rsid w:val="0F3B7E78"/>
    <w:rsid w:val="0F587B28"/>
    <w:rsid w:val="0FDB387C"/>
    <w:rsid w:val="10160593"/>
    <w:rsid w:val="10284EE7"/>
    <w:rsid w:val="103234C6"/>
    <w:rsid w:val="10790217"/>
    <w:rsid w:val="11366F3E"/>
    <w:rsid w:val="11420290"/>
    <w:rsid w:val="118424E6"/>
    <w:rsid w:val="11F80CB0"/>
    <w:rsid w:val="126C0647"/>
    <w:rsid w:val="127B49BD"/>
    <w:rsid w:val="128A65A2"/>
    <w:rsid w:val="12961468"/>
    <w:rsid w:val="130C45D2"/>
    <w:rsid w:val="134B7000"/>
    <w:rsid w:val="13511BBE"/>
    <w:rsid w:val="13EE7251"/>
    <w:rsid w:val="14185CAF"/>
    <w:rsid w:val="14454DAD"/>
    <w:rsid w:val="145B29CE"/>
    <w:rsid w:val="151D4243"/>
    <w:rsid w:val="151F5A1F"/>
    <w:rsid w:val="16650F55"/>
    <w:rsid w:val="169A3FAE"/>
    <w:rsid w:val="16A71FAA"/>
    <w:rsid w:val="17B108CB"/>
    <w:rsid w:val="17F964D3"/>
    <w:rsid w:val="17FE5D44"/>
    <w:rsid w:val="180D588B"/>
    <w:rsid w:val="18545193"/>
    <w:rsid w:val="185736BF"/>
    <w:rsid w:val="188F1F1C"/>
    <w:rsid w:val="18A3688F"/>
    <w:rsid w:val="18B90D7E"/>
    <w:rsid w:val="195B507D"/>
    <w:rsid w:val="19B90824"/>
    <w:rsid w:val="19BE7C49"/>
    <w:rsid w:val="19CD1D13"/>
    <w:rsid w:val="1AB142A0"/>
    <w:rsid w:val="1AE46932"/>
    <w:rsid w:val="1B120167"/>
    <w:rsid w:val="1B841991"/>
    <w:rsid w:val="1B9510AD"/>
    <w:rsid w:val="1BE428CB"/>
    <w:rsid w:val="1BE438B9"/>
    <w:rsid w:val="1C1E21F6"/>
    <w:rsid w:val="1C250273"/>
    <w:rsid w:val="1C2F0AC3"/>
    <w:rsid w:val="1C6C2094"/>
    <w:rsid w:val="1CA0747F"/>
    <w:rsid w:val="1CCC4063"/>
    <w:rsid w:val="1CF159FF"/>
    <w:rsid w:val="1D3F0444"/>
    <w:rsid w:val="1D547AAF"/>
    <w:rsid w:val="1DC91D6E"/>
    <w:rsid w:val="1E2A28EC"/>
    <w:rsid w:val="1E3836E8"/>
    <w:rsid w:val="1E5E09D7"/>
    <w:rsid w:val="1E7249D5"/>
    <w:rsid w:val="1E8258F9"/>
    <w:rsid w:val="1E8B65A8"/>
    <w:rsid w:val="1EC271F2"/>
    <w:rsid w:val="1EED04D9"/>
    <w:rsid w:val="1FA64B1C"/>
    <w:rsid w:val="1FB92215"/>
    <w:rsid w:val="2014438F"/>
    <w:rsid w:val="20193933"/>
    <w:rsid w:val="202B7144"/>
    <w:rsid w:val="203B6335"/>
    <w:rsid w:val="20971BD3"/>
    <w:rsid w:val="217A1B37"/>
    <w:rsid w:val="22025912"/>
    <w:rsid w:val="221423A4"/>
    <w:rsid w:val="2216237D"/>
    <w:rsid w:val="22437F2D"/>
    <w:rsid w:val="229A27C8"/>
    <w:rsid w:val="22CC1220"/>
    <w:rsid w:val="2376267A"/>
    <w:rsid w:val="24991786"/>
    <w:rsid w:val="249E68AC"/>
    <w:rsid w:val="24E011A6"/>
    <w:rsid w:val="252F1318"/>
    <w:rsid w:val="25391977"/>
    <w:rsid w:val="263A3D46"/>
    <w:rsid w:val="265A0F55"/>
    <w:rsid w:val="26995303"/>
    <w:rsid w:val="26A74667"/>
    <w:rsid w:val="26C24DA3"/>
    <w:rsid w:val="27440052"/>
    <w:rsid w:val="277F4129"/>
    <w:rsid w:val="278A1FD7"/>
    <w:rsid w:val="27A50527"/>
    <w:rsid w:val="27D42352"/>
    <w:rsid w:val="280200EF"/>
    <w:rsid w:val="28657B53"/>
    <w:rsid w:val="28894493"/>
    <w:rsid w:val="288D2228"/>
    <w:rsid w:val="28DD7CC7"/>
    <w:rsid w:val="2912123B"/>
    <w:rsid w:val="2985180D"/>
    <w:rsid w:val="29C84DF6"/>
    <w:rsid w:val="2A8146B4"/>
    <w:rsid w:val="2ABC352B"/>
    <w:rsid w:val="2B5602AA"/>
    <w:rsid w:val="2B681F2A"/>
    <w:rsid w:val="2B7037B2"/>
    <w:rsid w:val="2B785E5C"/>
    <w:rsid w:val="2BE41871"/>
    <w:rsid w:val="2BFD7535"/>
    <w:rsid w:val="2C78619D"/>
    <w:rsid w:val="2C836296"/>
    <w:rsid w:val="2CA42CDA"/>
    <w:rsid w:val="2CC97F56"/>
    <w:rsid w:val="2CD00241"/>
    <w:rsid w:val="2CD92B68"/>
    <w:rsid w:val="2D4C0A89"/>
    <w:rsid w:val="2D74468D"/>
    <w:rsid w:val="2D87193E"/>
    <w:rsid w:val="2D9716DA"/>
    <w:rsid w:val="2EB74DCD"/>
    <w:rsid w:val="2ECB0E5F"/>
    <w:rsid w:val="2EE937AE"/>
    <w:rsid w:val="2EF602CE"/>
    <w:rsid w:val="2EF84F00"/>
    <w:rsid w:val="2F086617"/>
    <w:rsid w:val="2F7610DD"/>
    <w:rsid w:val="30130B79"/>
    <w:rsid w:val="304F65E2"/>
    <w:rsid w:val="30922B28"/>
    <w:rsid w:val="30D61664"/>
    <w:rsid w:val="3103797D"/>
    <w:rsid w:val="314459E3"/>
    <w:rsid w:val="320735BB"/>
    <w:rsid w:val="324F1E45"/>
    <w:rsid w:val="32916AD0"/>
    <w:rsid w:val="32942776"/>
    <w:rsid w:val="32D035E7"/>
    <w:rsid w:val="32E8568A"/>
    <w:rsid w:val="330D5210"/>
    <w:rsid w:val="33241CD7"/>
    <w:rsid w:val="33516380"/>
    <w:rsid w:val="337B3084"/>
    <w:rsid w:val="339E023F"/>
    <w:rsid w:val="33C5422D"/>
    <w:rsid w:val="3433272D"/>
    <w:rsid w:val="34427A31"/>
    <w:rsid w:val="34475B03"/>
    <w:rsid w:val="34545F5E"/>
    <w:rsid w:val="34635580"/>
    <w:rsid w:val="35354782"/>
    <w:rsid w:val="35490860"/>
    <w:rsid w:val="35E12C8E"/>
    <w:rsid w:val="360C4BAB"/>
    <w:rsid w:val="365F3090"/>
    <w:rsid w:val="36926BFA"/>
    <w:rsid w:val="369923B0"/>
    <w:rsid w:val="36BD386F"/>
    <w:rsid w:val="36F94157"/>
    <w:rsid w:val="373E7885"/>
    <w:rsid w:val="379E127C"/>
    <w:rsid w:val="37BB0EFF"/>
    <w:rsid w:val="38001ED1"/>
    <w:rsid w:val="385F1BB6"/>
    <w:rsid w:val="38BD549E"/>
    <w:rsid w:val="3A6213AD"/>
    <w:rsid w:val="3A872066"/>
    <w:rsid w:val="3B2E12D2"/>
    <w:rsid w:val="3B4267EB"/>
    <w:rsid w:val="3B7732A3"/>
    <w:rsid w:val="3BF67DB3"/>
    <w:rsid w:val="3C413199"/>
    <w:rsid w:val="3D043BDA"/>
    <w:rsid w:val="3D4845E5"/>
    <w:rsid w:val="3D954890"/>
    <w:rsid w:val="3DA41C67"/>
    <w:rsid w:val="3DBA2D6A"/>
    <w:rsid w:val="3DDD1B25"/>
    <w:rsid w:val="3E5A1BA6"/>
    <w:rsid w:val="3E6671CB"/>
    <w:rsid w:val="3E7C44C3"/>
    <w:rsid w:val="3EAF2378"/>
    <w:rsid w:val="3EC42F0D"/>
    <w:rsid w:val="3EC97655"/>
    <w:rsid w:val="3F162913"/>
    <w:rsid w:val="408A5219"/>
    <w:rsid w:val="40E4749D"/>
    <w:rsid w:val="41791BBD"/>
    <w:rsid w:val="41867134"/>
    <w:rsid w:val="41AB4010"/>
    <w:rsid w:val="41BF6404"/>
    <w:rsid w:val="41CC0BF5"/>
    <w:rsid w:val="422A026F"/>
    <w:rsid w:val="42884F34"/>
    <w:rsid w:val="4291098B"/>
    <w:rsid w:val="42B6747F"/>
    <w:rsid w:val="42BB5D32"/>
    <w:rsid w:val="434902A0"/>
    <w:rsid w:val="43B600AD"/>
    <w:rsid w:val="44116024"/>
    <w:rsid w:val="4446233C"/>
    <w:rsid w:val="444A4106"/>
    <w:rsid w:val="45A91659"/>
    <w:rsid w:val="460F757E"/>
    <w:rsid w:val="462D6C1B"/>
    <w:rsid w:val="464553D9"/>
    <w:rsid w:val="464E783B"/>
    <w:rsid w:val="46B05D19"/>
    <w:rsid w:val="46F12854"/>
    <w:rsid w:val="46F336A8"/>
    <w:rsid w:val="473E7AE9"/>
    <w:rsid w:val="478916C5"/>
    <w:rsid w:val="47AC5A0E"/>
    <w:rsid w:val="47DE7B5D"/>
    <w:rsid w:val="48027576"/>
    <w:rsid w:val="480E4336"/>
    <w:rsid w:val="48197D55"/>
    <w:rsid w:val="482963CC"/>
    <w:rsid w:val="48567BBA"/>
    <w:rsid w:val="48C651E6"/>
    <w:rsid w:val="48D868DF"/>
    <w:rsid w:val="4911763B"/>
    <w:rsid w:val="493C4382"/>
    <w:rsid w:val="496156B3"/>
    <w:rsid w:val="4982662C"/>
    <w:rsid w:val="499C726F"/>
    <w:rsid w:val="49A800A8"/>
    <w:rsid w:val="49CC4E4A"/>
    <w:rsid w:val="49D36A6F"/>
    <w:rsid w:val="49DD6E6B"/>
    <w:rsid w:val="49F81268"/>
    <w:rsid w:val="4A5C02CB"/>
    <w:rsid w:val="4AB91025"/>
    <w:rsid w:val="4B3A65C3"/>
    <w:rsid w:val="4B4E12A3"/>
    <w:rsid w:val="4BD70267"/>
    <w:rsid w:val="4C1415C9"/>
    <w:rsid w:val="4C3C52A0"/>
    <w:rsid w:val="4CC2216C"/>
    <w:rsid w:val="4D29482B"/>
    <w:rsid w:val="4D5E0195"/>
    <w:rsid w:val="4DA8622E"/>
    <w:rsid w:val="4DDB2F6B"/>
    <w:rsid w:val="4E716E93"/>
    <w:rsid w:val="4EAA1EE0"/>
    <w:rsid w:val="4F556B17"/>
    <w:rsid w:val="50290A0F"/>
    <w:rsid w:val="503E0E60"/>
    <w:rsid w:val="50716043"/>
    <w:rsid w:val="50C647C0"/>
    <w:rsid w:val="50F42B5F"/>
    <w:rsid w:val="513244C6"/>
    <w:rsid w:val="5157600F"/>
    <w:rsid w:val="515F165B"/>
    <w:rsid w:val="52176C0D"/>
    <w:rsid w:val="521B2258"/>
    <w:rsid w:val="52D229F0"/>
    <w:rsid w:val="52E07598"/>
    <w:rsid w:val="531342F1"/>
    <w:rsid w:val="53165761"/>
    <w:rsid w:val="531A63DD"/>
    <w:rsid w:val="534C7C93"/>
    <w:rsid w:val="53A91B0A"/>
    <w:rsid w:val="53B447E3"/>
    <w:rsid w:val="53F57A7C"/>
    <w:rsid w:val="5414351A"/>
    <w:rsid w:val="54197E99"/>
    <w:rsid w:val="544016A4"/>
    <w:rsid w:val="54604C7D"/>
    <w:rsid w:val="5483286F"/>
    <w:rsid w:val="549C2042"/>
    <w:rsid w:val="549F5861"/>
    <w:rsid w:val="54EA154E"/>
    <w:rsid w:val="552F5A0A"/>
    <w:rsid w:val="555925CB"/>
    <w:rsid w:val="555E131C"/>
    <w:rsid w:val="555E7EC9"/>
    <w:rsid w:val="557A4846"/>
    <w:rsid w:val="55835CD9"/>
    <w:rsid w:val="55A92401"/>
    <w:rsid w:val="55CD5C05"/>
    <w:rsid w:val="55CF10F9"/>
    <w:rsid w:val="55E465DD"/>
    <w:rsid w:val="5622235F"/>
    <w:rsid w:val="56F94885"/>
    <w:rsid w:val="57225D22"/>
    <w:rsid w:val="57434EB8"/>
    <w:rsid w:val="5870380D"/>
    <w:rsid w:val="58BA2F3F"/>
    <w:rsid w:val="59335B42"/>
    <w:rsid w:val="594C23E9"/>
    <w:rsid w:val="5967213C"/>
    <w:rsid w:val="59A820C6"/>
    <w:rsid w:val="59C1539E"/>
    <w:rsid w:val="59DB3E06"/>
    <w:rsid w:val="59F2261A"/>
    <w:rsid w:val="5AE4556F"/>
    <w:rsid w:val="5AEA1C2E"/>
    <w:rsid w:val="5AFB2832"/>
    <w:rsid w:val="5B060359"/>
    <w:rsid w:val="5B2C66AB"/>
    <w:rsid w:val="5B9B4FF1"/>
    <w:rsid w:val="5BAA6E73"/>
    <w:rsid w:val="5BB75528"/>
    <w:rsid w:val="5BFE5405"/>
    <w:rsid w:val="5C7F2933"/>
    <w:rsid w:val="5C8C1C39"/>
    <w:rsid w:val="5CA37385"/>
    <w:rsid w:val="5D5C131E"/>
    <w:rsid w:val="5D834128"/>
    <w:rsid w:val="5DC66198"/>
    <w:rsid w:val="5E0A57D7"/>
    <w:rsid w:val="5E3B0611"/>
    <w:rsid w:val="5E4567B6"/>
    <w:rsid w:val="5E5341F0"/>
    <w:rsid w:val="5E845908"/>
    <w:rsid w:val="5E8A56FD"/>
    <w:rsid w:val="5EB500DD"/>
    <w:rsid w:val="5EB65AE3"/>
    <w:rsid w:val="5F026119"/>
    <w:rsid w:val="5F060EBB"/>
    <w:rsid w:val="5F4D7619"/>
    <w:rsid w:val="5F574DB8"/>
    <w:rsid w:val="5F5937B5"/>
    <w:rsid w:val="609A667C"/>
    <w:rsid w:val="60A206C0"/>
    <w:rsid w:val="60B0308E"/>
    <w:rsid w:val="60EC4890"/>
    <w:rsid w:val="614A6564"/>
    <w:rsid w:val="614D2BB5"/>
    <w:rsid w:val="618D5C6B"/>
    <w:rsid w:val="61D61F3C"/>
    <w:rsid w:val="61F80635"/>
    <w:rsid w:val="623612A1"/>
    <w:rsid w:val="62364CF5"/>
    <w:rsid w:val="629249E2"/>
    <w:rsid w:val="637A5353"/>
    <w:rsid w:val="647C54E3"/>
    <w:rsid w:val="64A37553"/>
    <w:rsid w:val="64D23CFE"/>
    <w:rsid w:val="651D3ACA"/>
    <w:rsid w:val="65B913E7"/>
    <w:rsid w:val="65CD384B"/>
    <w:rsid w:val="65E25712"/>
    <w:rsid w:val="65F9319B"/>
    <w:rsid w:val="660065E3"/>
    <w:rsid w:val="66031C41"/>
    <w:rsid w:val="662369C9"/>
    <w:rsid w:val="663C0421"/>
    <w:rsid w:val="663F15CE"/>
    <w:rsid w:val="66457FCD"/>
    <w:rsid w:val="67243570"/>
    <w:rsid w:val="6728083A"/>
    <w:rsid w:val="672C6851"/>
    <w:rsid w:val="6795761D"/>
    <w:rsid w:val="681A6810"/>
    <w:rsid w:val="682E257A"/>
    <w:rsid w:val="68573C08"/>
    <w:rsid w:val="68A240DF"/>
    <w:rsid w:val="68F47BF7"/>
    <w:rsid w:val="68FE7928"/>
    <w:rsid w:val="699A59FC"/>
    <w:rsid w:val="6A072332"/>
    <w:rsid w:val="6A077D43"/>
    <w:rsid w:val="6A0C1AA2"/>
    <w:rsid w:val="6A266C5C"/>
    <w:rsid w:val="6A336057"/>
    <w:rsid w:val="6A401C7B"/>
    <w:rsid w:val="6A443CD9"/>
    <w:rsid w:val="6AAE7116"/>
    <w:rsid w:val="6BAE18B0"/>
    <w:rsid w:val="6BF33F5B"/>
    <w:rsid w:val="6C2C4C83"/>
    <w:rsid w:val="6C587129"/>
    <w:rsid w:val="6D404BA8"/>
    <w:rsid w:val="6D73789E"/>
    <w:rsid w:val="6DA1107A"/>
    <w:rsid w:val="6DD65992"/>
    <w:rsid w:val="6DE45640"/>
    <w:rsid w:val="6DE73CDD"/>
    <w:rsid w:val="6E1814A6"/>
    <w:rsid w:val="6E3A38F3"/>
    <w:rsid w:val="6E573394"/>
    <w:rsid w:val="6EA95512"/>
    <w:rsid w:val="6ED93AA3"/>
    <w:rsid w:val="6F011CC7"/>
    <w:rsid w:val="6F141745"/>
    <w:rsid w:val="6F2135B9"/>
    <w:rsid w:val="700F248B"/>
    <w:rsid w:val="701C1351"/>
    <w:rsid w:val="70270BF5"/>
    <w:rsid w:val="70273C3A"/>
    <w:rsid w:val="707539AD"/>
    <w:rsid w:val="70960DFB"/>
    <w:rsid w:val="70C426AE"/>
    <w:rsid w:val="70E502E8"/>
    <w:rsid w:val="710B1931"/>
    <w:rsid w:val="7156451C"/>
    <w:rsid w:val="71AC5B4C"/>
    <w:rsid w:val="71B82D06"/>
    <w:rsid w:val="721169B3"/>
    <w:rsid w:val="723E4E4F"/>
    <w:rsid w:val="72F44A27"/>
    <w:rsid w:val="73033F5A"/>
    <w:rsid w:val="738B271B"/>
    <w:rsid w:val="73D46CB4"/>
    <w:rsid w:val="73D71451"/>
    <w:rsid w:val="7410466E"/>
    <w:rsid w:val="74104F53"/>
    <w:rsid w:val="746232DB"/>
    <w:rsid w:val="74CE7B18"/>
    <w:rsid w:val="74D63BBF"/>
    <w:rsid w:val="74F457F1"/>
    <w:rsid w:val="74F8544F"/>
    <w:rsid w:val="750B05EF"/>
    <w:rsid w:val="759A6034"/>
    <w:rsid w:val="75A632A4"/>
    <w:rsid w:val="75A83AFD"/>
    <w:rsid w:val="75DF1923"/>
    <w:rsid w:val="75EA6029"/>
    <w:rsid w:val="76EE1CCF"/>
    <w:rsid w:val="77935DDC"/>
    <w:rsid w:val="77CA2A48"/>
    <w:rsid w:val="77DF4F5D"/>
    <w:rsid w:val="78024BAC"/>
    <w:rsid w:val="78192717"/>
    <w:rsid w:val="7843265A"/>
    <w:rsid w:val="786106CA"/>
    <w:rsid w:val="78C837FD"/>
    <w:rsid w:val="78D93E53"/>
    <w:rsid w:val="78DC157F"/>
    <w:rsid w:val="79652624"/>
    <w:rsid w:val="798D6205"/>
    <w:rsid w:val="79A5003A"/>
    <w:rsid w:val="7A294D85"/>
    <w:rsid w:val="7A9A1DAD"/>
    <w:rsid w:val="7AB362CC"/>
    <w:rsid w:val="7B32448A"/>
    <w:rsid w:val="7B8557C4"/>
    <w:rsid w:val="7C096DF1"/>
    <w:rsid w:val="7CA8740A"/>
    <w:rsid w:val="7CF04147"/>
    <w:rsid w:val="7D3431E5"/>
    <w:rsid w:val="7D6F2271"/>
    <w:rsid w:val="7D974D3C"/>
    <w:rsid w:val="7DBF6A8F"/>
    <w:rsid w:val="7E531884"/>
    <w:rsid w:val="7E610FE3"/>
    <w:rsid w:val="7EAA65BE"/>
    <w:rsid w:val="7F0B1F34"/>
    <w:rsid w:val="7F9E155B"/>
    <w:rsid w:val="7FE43E0D"/>
    <w:rsid w:val="7FE8461C"/>
    <w:rsid w:val="7FF1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B794A5"/>
  <w15:docId w15:val="{7373C8F9-ABF9-4DAB-8ADA-3A8AD1F6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toa heading" w:qFormat="1"/>
    <w:lsdException w:name="Title" w:qFormat="1"/>
    <w:lsdException w:name="Default Paragraph Font" w:semiHidden="1" w:qFormat="1"/>
    <w:lsdException w:name="Body Text" w:qFormat="1"/>
    <w:lsdException w:name="Body Text Indent" w:qFormat="1"/>
    <w:lsdException w:name="Subtitle" w:qFormat="1"/>
    <w:lsdException w:name="Body Text Firs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ind w:firstLineChars="200" w:firstLine="420"/>
      <w:jc w:val="both"/>
      <w:textAlignment w:val="baseline"/>
    </w:pPr>
    <w:rPr>
      <w:rFonts w:cs="Arial"/>
      <w:snapToGrid w:val="0"/>
      <w:color w:val="000000"/>
      <w:sz w:val="24"/>
      <w:szCs w:val="21"/>
      <w:lang w:eastAsia="en-US"/>
    </w:rPr>
  </w:style>
  <w:style w:type="paragraph" w:styleId="1">
    <w:name w:val="heading 1"/>
    <w:basedOn w:val="a2"/>
    <w:next w:val="a2"/>
    <w:link w:val="10"/>
    <w:qFormat/>
    <w:pPr>
      <w:keepNext/>
      <w:keepLines/>
      <w:tabs>
        <w:tab w:val="left" w:pos="0"/>
      </w:tabs>
      <w:spacing w:beforeLines="100" w:before="100" w:afterLines="100" w:after="100"/>
      <w:ind w:firstLineChars="0" w:firstLine="0"/>
      <w:jc w:val="center"/>
      <w:outlineLvl w:val="0"/>
    </w:pPr>
    <w:rPr>
      <w:rFonts w:eastAsia="黑体"/>
      <w:b/>
      <w:kern w:val="44"/>
      <w:sz w:val="30"/>
      <w:szCs w:val="18"/>
    </w:rPr>
  </w:style>
  <w:style w:type="paragraph" w:styleId="2">
    <w:name w:val="heading 2"/>
    <w:basedOn w:val="a2"/>
    <w:next w:val="a2"/>
    <w:link w:val="20"/>
    <w:semiHidden/>
    <w:unhideWhenUsed/>
    <w:qFormat/>
    <w:pPr>
      <w:spacing w:beforeAutospacing="1" w:afterAutospacing="1"/>
      <w:jc w:val="left"/>
      <w:outlineLvl w:val="1"/>
    </w:pPr>
    <w:rPr>
      <w:rFonts w:ascii="宋体" w:hAnsi="宋体" w:cs="Times New Roman" w:hint="eastAsia"/>
      <w:b/>
      <w:bCs/>
      <w:sz w:val="36"/>
      <w:szCs w:val="36"/>
      <w:lang w:eastAsia="zh-CN"/>
    </w:rPr>
  </w:style>
  <w:style w:type="paragraph" w:styleId="3">
    <w:name w:val="heading 3"/>
    <w:basedOn w:val="a2"/>
    <w:next w:val="a2"/>
    <w:link w:val="30"/>
    <w:semiHidden/>
    <w:unhideWhenUsed/>
    <w:qFormat/>
    <w:pPr>
      <w:spacing w:beforeAutospacing="1" w:afterAutospacing="1"/>
      <w:jc w:val="left"/>
      <w:outlineLvl w:val="2"/>
    </w:pPr>
    <w:rPr>
      <w:rFonts w:ascii="宋体" w:hAnsi="宋体" w:cs="Times New Roman" w:hint="eastAsia"/>
      <w:b/>
      <w:bCs/>
      <w:sz w:val="27"/>
      <w:szCs w:val="27"/>
      <w:lang w:eastAsia="zh-CN"/>
    </w:rPr>
  </w:style>
  <w:style w:type="paragraph" w:styleId="4">
    <w:name w:val="heading 4"/>
    <w:basedOn w:val="a2"/>
    <w:next w:val="a3"/>
    <w:link w:val="40"/>
    <w:semiHidden/>
    <w:unhideWhenUsed/>
    <w:qFormat/>
    <w:pPr>
      <w:keepNext/>
      <w:keepLines/>
      <w:numPr>
        <w:ilvl w:val="3"/>
        <w:numId w:val="1"/>
      </w:numPr>
      <w:spacing w:before="10" w:after="10"/>
      <w:ind w:firstLineChars="0"/>
      <w:jc w:val="left"/>
      <w:outlineLvl w:val="3"/>
    </w:pPr>
    <w:rPr>
      <w:rFonts w:ascii="Arial" w:eastAsia="黑体" w:hAnsi="Arial" w:cs="Times New Roman"/>
    </w:rPr>
  </w:style>
  <w:style w:type="paragraph" w:styleId="5">
    <w:name w:val="heading 5"/>
    <w:next w:val="a3"/>
    <w:semiHidden/>
    <w:unhideWhenUsed/>
    <w:qFormat/>
    <w:pPr>
      <w:numPr>
        <w:ilvl w:val="4"/>
        <w:numId w:val="1"/>
      </w:numPr>
      <w:tabs>
        <w:tab w:val="left" w:pos="312"/>
      </w:tabs>
      <w:spacing w:line="360" w:lineRule="auto"/>
      <w:outlineLvl w:val="4"/>
    </w:pPr>
    <w:rPr>
      <w:rFonts w:ascii="Arial" w:hAnsi="Arial" w:cstheme="minorBidi"/>
      <w:sz w:val="28"/>
      <w:szCs w:val="22"/>
    </w:rPr>
  </w:style>
  <w:style w:type="paragraph" w:styleId="6">
    <w:name w:val="heading 6"/>
    <w:basedOn w:val="a2"/>
    <w:next w:val="a2"/>
    <w:semiHidden/>
    <w:unhideWhenUsed/>
    <w:qFormat/>
    <w:pPr>
      <w:keepNext/>
      <w:keepLines/>
      <w:numPr>
        <w:ilvl w:val="5"/>
        <w:numId w:val="1"/>
      </w:numPr>
      <w:tabs>
        <w:tab w:val="left" w:pos="0"/>
      </w:tabs>
      <w:spacing w:before="240" w:after="64" w:line="317" w:lineRule="auto"/>
      <w:ind w:firstLineChars="0"/>
      <w:outlineLvl w:val="5"/>
    </w:pPr>
    <w:rPr>
      <w:rFonts w:ascii="Arial" w:eastAsia="黑体" w:hAnsi="Arial"/>
      <w:b/>
    </w:rPr>
  </w:style>
  <w:style w:type="paragraph" w:styleId="7">
    <w:name w:val="heading 7"/>
    <w:basedOn w:val="a2"/>
    <w:next w:val="a2"/>
    <w:semiHidden/>
    <w:unhideWhenUsed/>
    <w:qFormat/>
    <w:pPr>
      <w:keepNext/>
      <w:keepLines/>
      <w:numPr>
        <w:ilvl w:val="6"/>
        <w:numId w:val="1"/>
      </w:numPr>
      <w:tabs>
        <w:tab w:val="left" w:pos="0"/>
      </w:tabs>
      <w:spacing w:before="240" w:after="64" w:line="317" w:lineRule="auto"/>
      <w:ind w:firstLineChars="0"/>
      <w:outlineLvl w:val="6"/>
    </w:pPr>
    <w:rPr>
      <w:b/>
    </w:rPr>
  </w:style>
  <w:style w:type="paragraph" w:styleId="8">
    <w:name w:val="heading 8"/>
    <w:basedOn w:val="a2"/>
    <w:next w:val="a2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ind w:firstLineChars="0"/>
      <w:outlineLvl w:val="7"/>
    </w:pPr>
    <w:rPr>
      <w:rFonts w:ascii="Arial" w:eastAsia="黑体" w:hAnsi="Arial"/>
    </w:rPr>
  </w:style>
  <w:style w:type="paragraph" w:styleId="9">
    <w:name w:val="heading 9"/>
    <w:basedOn w:val="a2"/>
    <w:next w:val="a2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ind w:firstLineChars="0"/>
      <w:outlineLvl w:val="8"/>
    </w:pPr>
    <w:rPr>
      <w:rFonts w:ascii="Arial" w:eastAsia="黑体" w:hAnsi="Arial"/>
      <w:sz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3">
    <w:name w:val="Body Text"/>
    <w:basedOn w:val="a2"/>
    <w:qFormat/>
    <w:pPr>
      <w:ind w:firstLineChars="0" w:firstLine="0"/>
    </w:pPr>
    <w:rPr>
      <w:rFonts w:ascii="宋体" w:hAnsi="宋体" w:cs="宋体"/>
      <w:sz w:val="31"/>
      <w:szCs w:val="31"/>
    </w:rPr>
  </w:style>
  <w:style w:type="paragraph" w:styleId="a7">
    <w:name w:val="Normal Indent"/>
    <w:basedOn w:val="a2"/>
    <w:qFormat/>
  </w:style>
  <w:style w:type="paragraph" w:styleId="a8">
    <w:name w:val="caption"/>
    <w:basedOn w:val="a2"/>
    <w:next w:val="a2"/>
    <w:semiHidden/>
    <w:unhideWhenUsed/>
    <w:qFormat/>
    <w:pPr>
      <w:ind w:firstLineChars="0" w:firstLine="0"/>
      <w:jc w:val="center"/>
    </w:pPr>
    <w:rPr>
      <w:sz w:val="21"/>
      <w:szCs w:val="20"/>
    </w:rPr>
  </w:style>
  <w:style w:type="paragraph" w:styleId="a9">
    <w:name w:val="toa heading"/>
    <w:basedOn w:val="a2"/>
    <w:next w:val="a2"/>
    <w:qFormat/>
    <w:pPr>
      <w:spacing w:before="120"/>
    </w:pPr>
    <w:rPr>
      <w:rFonts w:ascii="Arial" w:hAnsi="Arial"/>
    </w:rPr>
  </w:style>
  <w:style w:type="paragraph" w:styleId="aa">
    <w:name w:val="Body Text Indent"/>
    <w:basedOn w:val="a2"/>
    <w:qFormat/>
    <w:pPr>
      <w:spacing w:after="120"/>
      <w:ind w:leftChars="200" w:left="420"/>
    </w:pPr>
  </w:style>
  <w:style w:type="paragraph" w:styleId="TOC3">
    <w:name w:val="toc 3"/>
    <w:basedOn w:val="a2"/>
    <w:next w:val="a2"/>
    <w:qFormat/>
    <w:pPr>
      <w:ind w:leftChars="400" w:left="840" w:firstLineChars="0" w:firstLine="0"/>
    </w:pPr>
    <w:rPr>
      <w:rFonts w:ascii="等线" w:hAnsi="等线" w:cs="宋体"/>
      <w:sz w:val="28"/>
      <w:szCs w:val="22"/>
    </w:rPr>
  </w:style>
  <w:style w:type="paragraph" w:styleId="ab">
    <w:name w:val="footer"/>
    <w:basedOn w:val="a2"/>
    <w:link w:val="ac"/>
    <w:qFormat/>
    <w:pPr>
      <w:tabs>
        <w:tab w:val="center" w:pos="4153"/>
        <w:tab w:val="right" w:pos="8306"/>
      </w:tabs>
      <w:ind w:left="400" w:hangingChars="200" w:hanging="400"/>
      <w:jc w:val="left"/>
    </w:pPr>
    <w:rPr>
      <w:sz w:val="18"/>
    </w:rPr>
  </w:style>
  <w:style w:type="paragraph" w:styleId="ad">
    <w:name w:val="header"/>
    <w:basedOn w:val="a2"/>
    <w:qFormat/>
    <w:pPr>
      <w:pBdr>
        <w:bottom w:val="thinThickSmallGap" w:sz="18" w:space="1" w:color="auto"/>
      </w:pBdr>
      <w:tabs>
        <w:tab w:val="center" w:pos="4153"/>
        <w:tab w:val="right" w:pos="8306"/>
      </w:tabs>
      <w:ind w:firstLineChars="0" w:firstLine="0"/>
      <w:jc w:val="center"/>
    </w:pPr>
    <w:rPr>
      <w:sz w:val="18"/>
      <w:szCs w:val="18"/>
    </w:rPr>
  </w:style>
  <w:style w:type="paragraph" w:styleId="TOC1">
    <w:name w:val="toc 1"/>
    <w:basedOn w:val="a2"/>
    <w:next w:val="a2"/>
    <w:qFormat/>
    <w:pPr>
      <w:ind w:firstLineChars="0" w:firstLine="0"/>
      <w:jc w:val="center"/>
    </w:pPr>
    <w:rPr>
      <w:rFonts w:ascii="等线" w:hAnsi="等线" w:cs="宋体"/>
      <w:sz w:val="30"/>
      <w:szCs w:val="22"/>
    </w:rPr>
  </w:style>
  <w:style w:type="paragraph" w:styleId="TOC2">
    <w:name w:val="toc 2"/>
    <w:basedOn w:val="a2"/>
    <w:next w:val="a2"/>
    <w:qFormat/>
    <w:pPr>
      <w:ind w:leftChars="200" w:left="420" w:firstLineChars="0" w:firstLine="0"/>
    </w:pPr>
    <w:rPr>
      <w:rFonts w:ascii="等线" w:hAnsi="等线" w:cs="宋体"/>
      <w:sz w:val="28"/>
      <w:szCs w:val="22"/>
    </w:rPr>
  </w:style>
  <w:style w:type="paragraph" w:styleId="ae">
    <w:name w:val="Normal (Web)"/>
    <w:basedOn w:val="a2"/>
    <w:qFormat/>
  </w:style>
  <w:style w:type="paragraph" w:styleId="af">
    <w:name w:val="Title"/>
    <w:basedOn w:val="a2"/>
    <w:next w:val="a2"/>
    <w:link w:val="af0"/>
    <w:qFormat/>
    <w:pPr>
      <w:pageBreakBefore/>
      <w:spacing w:line="578" w:lineRule="auto"/>
      <w:ind w:firstLineChars="0" w:firstLine="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paragraph" w:styleId="21">
    <w:name w:val="Body Text First Indent 2"/>
    <w:basedOn w:val="aa"/>
    <w:qFormat/>
  </w:style>
  <w:style w:type="character" w:styleId="af1">
    <w:name w:val="Strong"/>
    <w:basedOn w:val="a4"/>
    <w:qFormat/>
    <w:rPr>
      <w:b/>
    </w:rPr>
  </w:style>
  <w:style w:type="character" w:customStyle="1" w:styleId="20">
    <w:name w:val="标题 2 字符"/>
    <w:link w:val="2"/>
    <w:qFormat/>
    <w:rPr>
      <w:rFonts w:ascii="Times New Roman" w:eastAsia="宋体" w:hAnsi="Times New Roman" w:cs="宋体"/>
      <w:kern w:val="2"/>
      <w:sz w:val="28"/>
      <w:szCs w:val="22"/>
      <w:lang w:val="en-US" w:eastAsia="zh-CN" w:bidi="ar-SA"/>
    </w:rPr>
  </w:style>
  <w:style w:type="character" w:customStyle="1" w:styleId="30">
    <w:name w:val="标题 3 字符"/>
    <w:link w:val="3"/>
    <w:qFormat/>
    <w:rPr>
      <w:rFonts w:ascii="Times New Roman" w:eastAsia="宋体" w:hAnsi="Times New Roman" w:cs="宋体"/>
      <w:sz w:val="28"/>
    </w:rPr>
  </w:style>
  <w:style w:type="paragraph" w:customStyle="1" w:styleId="11">
    <w:name w:val="样式1"/>
    <w:basedOn w:val="a2"/>
    <w:qFormat/>
    <w:pPr>
      <w:ind w:firstLineChars="0" w:firstLine="0"/>
      <w:jc w:val="center"/>
      <w:textAlignment w:val="center"/>
    </w:pPr>
    <w:rPr>
      <w:rFonts w:ascii="宋体" w:hAnsi="宋体" w:cs="Times New Roman" w:hint="eastAsia"/>
      <w:sz w:val="20"/>
      <w:szCs w:val="20"/>
    </w:rPr>
  </w:style>
  <w:style w:type="paragraph" w:customStyle="1" w:styleId="22">
    <w:name w:val="样式2"/>
    <w:basedOn w:val="a2"/>
    <w:qFormat/>
    <w:pPr>
      <w:spacing w:line="440" w:lineRule="exact"/>
      <w:ind w:firstLineChars="0" w:firstLine="0"/>
      <w:jc w:val="left"/>
      <w:textAlignment w:val="center"/>
    </w:pPr>
    <w:rPr>
      <w:rFonts w:ascii="宋体" w:hAnsi="宋体" w:cs="Times New Roman" w:hint="eastAsia"/>
      <w:b/>
      <w:bCs/>
      <w:sz w:val="18"/>
      <w:szCs w:val="18"/>
      <w:lang w:eastAsia="zh-CN"/>
    </w:rPr>
  </w:style>
  <w:style w:type="paragraph" w:customStyle="1" w:styleId="31">
    <w:name w:val="样式3"/>
    <w:basedOn w:val="a2"/>
    <w:qFormat/>
    <w:pPr>
      <w:ind w:firstLineChars="0" w:firstLine="0"/>
    </w:pPr>
    <w:rPr>
      <w:rFonts w:hint="eastAsia"/>
      <w:lang w:val="zh-CN"/>
    </w:rPr>
  </w:style>
  <w:style w:type="paragraph" w:customStyle="1" w:styleId="41">
    <w:name w:val="样式4"/>
    <w:basedOn w:val="a2"/>
    <w:qFormat/>
    <w:pPr>
      <w:spacing w:line="240" w:lineRule="auto"/>
      <w:ind w:firstLineChars="0" w:firstLine="0"/>
      <w:jc w:val="center"/>
      <w:textAlignment w:val="center"/>
    </w:pPr>
    <w:rPr>
      <w:rFonts w:ascii="宋体" w:hAnsi="宋体" w:cs="Times New Roman" w:hint="eastAsia"/>
      <w:sz w:val="18"/>
      <w:szCs w:val="18"/>
    </w:rPr>
  </w:style>
  <w:style w:type="paragraph" w:customStyle="1" w:styleId="af2">
    <w:name w:val="图序"/>
    <w:basedOn w:val="a2"/>
    <w:qFormat/>
    <w:pPr>
      <w:spacing w:line="240" w:lineRule="auto"/>
      <w:jc w:val="center"/>
    </w:pPr>
    <w:rPr>
      <w:rFonts w:eastAsia="黑体" w:cs="Times New Roman"/>
      <w:sz w:val="21"/>
    </w:rPr>
  </w:style>
  <w:style w:type="character" w:customStyle="1" w:styleId="10">
    <w:name w:val="标题 1 字符"/>
    <w:link w:val="1"/>
    <w:qFormat/>
    <w:rPr>
      <w:rFonts w:ascii="Times New Roman" w:eastAsia="宋体" w:hAnsi="Times New Roman" w:cs="宋体"/>
      <w:b/>
      <w:snapToGrid w:val="0"/>
      <w:color w:val="000000"/>
      <w:kern w:val="44"/>
      <w:sz w:val="36"/>
      <w:szCs w:val="21"/>
      <w:lang w:eastAsia="en-US"/>
    </w:rPr>
  </w:style>
  <w:style w:type="paragraph" w:customStyle="1" w:styleId="af3">
    <w:name w:val="目录"/>
    <w:basedOn w:val="a2"/>
    <w:next w:val="a2"/>
    <w:link w:val="Char"/>
    <w:qFormat/>
    <w:pPr>
      <w:keepNext/>
      <w:keepLines/>
      <w:ind w:firstLineChars="0" w:firstLine="0"/>
      <w:jc w:val="center"/>
      <w:outlineLvl w:val="0"/>
    </w:pPr>
    <w:rPr>
      <w:b/>
      <w:bCs/>
      <w:sz w:val="36"/>
      <w:szCs w:val="44"/>
    </w:rPr>
  </w:style>
  <w:style w:type="character" w:customStyle="1" w:styleId="Char">
    <w:name w:val="目录 Char"/>
    <w:link w:val="af3"/>
    <w:qFormat/>
    <w:rPr>
      <w:rFonts w:ascii="Times New Roman" w:eastAsia="宋体" w:hAnsi="Times New Roman"/>
      <w:b/>
      <w:bCs/>
      <w:sz w:val="36"/>
      <w:szCs w:val="44"/>
    </w:rPr>
  </w:style>
  <w:style w:type="paragraph" w:customStyle="1" w:styleId="12">
    <w:name w:val="目录1"/>
    <w:basedOn w:val="a9"/>
    <w:next w:val="af3"/>
    <w:qFormat/>
    <w:pPr>
      <w:tabs>
        <w:tab w:val="right" w:leader="dot" w:pos="8336"/>
      </w:tabs>
      <w:autoSpaceDE/>
      <w:autoSpaceDN/>
    </w:pPr>
    <w:rPr>
      <w:rFonts w:ascii="Times New Roman" w:hAnsi="Times New Roman" w:cs="Times New Roman"/>
      <w:bCs/>
      <w:spacing w:val="4"/>
      <w:sz w:val="28"/>
      <w:szCs w:val="43"/>
    </w:rPr>
  </w:style>
  <w:style w:type="paragraph" w:customStyle="1" w:styleId="af4">
    <w:name w:val="图序与图名"/>
    <w:basedOn w:val="a2"/>
    <w:link w:val="Char0"/>
    <w:qFormat/>
    <w:pPr>
      <w:spacing w:beforeLines="100" w:before="100" w:line="240" w:lineRule="auto"/>
      <w:ind w:firstLineChars="0" w:firstLine="0"/>
      <w:jc w:val="center"/>
    </w:pPr>
    <w:rPr>
      <w:rFonts w:ascii="宋体" w:hAnsi="宋体" w:cs="宋体"/>
      <w:spacing w:val="-2"/>
      <w:sz w:val="21"/>
      <w:szCs w:val="20"/>
    </w:rPr>
  </w:style>
  <w:style w:type="paragraph" w:customStyle="1" w:styleId="70">
    <w:name w:val="样式7"/>
    <w:basedOn w:val="a2"/>
    <w:qFormat/>
    <w:pPr>
      <w:ind w:firstLineChars="0" w:firstLine="0"/>
      <w:jc w:val="center"/>
    </w:pPr>
    <w:rPr>
      <w:rFonts w:ascii="宋体" w:hAnsi="宋体" w:hint="eastAsia"/>
      <w:szCs w:val="22"/>
    </w:rPr>
  </w:style>
  <w:style w:type="paragraph" w:customStyle="1" w:styleId="af5">
    <w:name w:val="摘要目录"/>
    <w:basedOn w:val="a2"/>
    <w:next w:val="a2"/>
    <w:qFormat/>
    <w:pPr>
      <w:keepNext/>
      <w:keepLines/>
      <w:pageBreakBefore/>
      <w:ind w:firstLine="482"/>
      <w:outlineLvl w:val="0"/>
    </w:pPr>
    <w:rPr>
      <w:b/>
      <w:bCs/>
      <w:kern w:val="44"/>
      <w:szCs w:val="44"/>
    </w:rPr>
  </w:style>
  <w:style w:type="paragraph" w:customStyle="1" w:styleId="80">
    <w:name w:val="样式8"/>
    <w:basedOn w:val="a2"/>
    <w:qFormat/>
    <w:pPr>
      <w:ind w:firstLineChars="0" w:firstLine="0"/>
      <w:jc w:val="center"/>
      <w:textAlignment w:val="center"/>
    </w:pPr>
    <w:rPr>
      <w:rFonts w:ascii="宋体" w:hAnsi="宋体" w:cs="Times New Roman" w:hint="eastAsia"/>
      <w:sz w:val="20"/>
      <w:szCs w:val="20"/>
    </w:rPr>
  </w:style>
  <w:style w:type="paragraph" w:customStyle="1" w:styleId="af6">
    <w:name w:val="目录摘要"/>
    <w:basedOn w:val="a2"/>
    <w:qFormat/>
    <w:pPr>
      <w:outlineLvl w:val="0"/>
    </w:pPr>
    <w:rPr>
      <w:rFonts w:ascii="微软雅黑" w:hAnsi="微软雅黑" w:cs="微软雅黑" w:hint="eastAsia"/>
      <w:b/>
      <w:bCs/>
      <w:spacing w:val="9"/>
      <w:szCs w:val="29"/>
    </w:rPr>
  </w:style>
  <w:style w:type="paragraph" w:customStyle="1" w:styleId="90">
    <w:name w:val="样式9"/>
    <w:basedOn w:val="a2"/>
    <w:qFormat/>
    <w:pPr>
      <w:ind w:firstLineChars="0" w:firstLine="0"/>
      <w:jc w:val="center"/>
      <w:textAlignment w:val="center"/>
    </w:pPr>
    <w:rPr>
      <w:rFonts w:ascii="宋体" w:hAnsi="宋体" w:cs="Times New Roman" w:hint="eastAsia"/>
      <w:sz w:val="16"/>
      <w:szCs w:val="20"/>
      <w:lang w:eastAsia="zh-CN"/>
    </w:rPr>
  </w:style>
  <w:style w:type="paragraph" w:customStyle="1" w:styleId="100">
    <w:name w:val="样式10"/>
    <w:basedOn w:val="a2"/>
    <w:qFormat/>
    <w:pPr>
      <w:spacing w:line="240" w:lineRule="auto"/>
      <w:ind w:firstLineChars="0" w:firstLine="0"/>
      <w:jc w:val="center"/>
      <w:textAlignment w:val="center"/>
    </w:pPr>
    <w:rPr>
      <w:rFonts w:ascii="宋体" w:hAnsi="宋体" w:cs="Times New Roman" w:hint="eastAsia"/>
      <w:b/>
      <w:bCs/>
      <w:sz w:val="15"/>
      <w:szCs w:val="18"/>
      <w:lang w:eastAsia="zh-CN"/>
    </w:rPr>
  </w:style>
  <w:style w:type="paragraph" w:customStyle="1" w:styleId="af7">
    <w:name w:val="图题"/>
    <w:basedOn w:val="a2"/>
    <w:qFormat/>
    <w:rPr>
      <w:sz w:val="21"/>
    </w:rPr>
  </w:style>
  <w:style w:type="paragraph" w:customStyle="1" w:styleId="a0">
    <w:name w:val="参考文献"/>
    <w:basedOn w:val="a2"/>
    <w:next w:val="a2"/>
    <w:qFormat/>
    <w:pPr>
      <w:numPr>
        <w:numId w:val="2"/>
      </w:numPr>
      <w:tabs>
        <w:tab w:val="left" w:pos="0"/>
      </w:tabs>
      <w:spacing w:beforeLines="50" w:before="50" w:afterLines="50" w:after="50" w:line="240" w:lineRule="auto"/>
      <w:jc w:val="center"/>
      <w:outlineLvl w:val="0"/>
    </w:pPr>
    <w:rPr>
      <w:rFonts w:ascii="宋体" w:hAnsi="宋体" w:cs="宋体" w:hint="eastAsia"/>
      <w:b/>
      <w:kern w:val="44"/>
      <w:sz w:val="28"/>
      <w:szCs w:val="32"/>
    </w:rPr>
  </w:style>
  <w:style w:type="paragraph" w:customStyle="1" w:styleId="a">
    <w:name w:val="参考文献正文"/>
    <w:basedOn w:val="a2"/>
    <w:qFormat/>
    <w:pPr>
      <w:numPr>
        <w:numId w:val="3"/>
      </w:numPr>
      <w:spacing w:beforeLines="50" w:before="50" w:afterLines="50" w:after="50"/>
    </w:pPr>
    <w:rPr>
      <w:rFonts w:hint="eastAsia"/>
    </w:rPr>
  </w:style>
  <w:style w:type="character" w:customStyle="1" w:styleId="40">
    <w:name w:val="标题 4 字符"/>
    <w:link w:val="4"/>
    <w:qFormat/>
    <w:rPr>
      <w:rFonts w:ascii="Arial" w:eastAsia="宋体" w:hAnsi="Arial" w:cs="Times New Roman"/>
      <w:snapToGrid/>
      <w:sz w:val="24"/>
      <w:szCs w:val="24"/>
      <w:lang w:val="en-US" w:eastAsia="zh-CN" w:bidi="ar-SA"/>
    </w:rPr>
  </w:style>
  <w:style w:type="paragraph" w:customStyle="1" w:styleId="TableText">
    <w:name w:val="Table Text"/>
    <w:basedOn w:val="a2"/>
    <w:semiHidden/>
    <w:qFormat/>
    <w:rPr>
      <w:rFonts w:ascii="等线" w:hAnsi="等线" w:cs="等线"/>
      <w:sz w:val="20"/>
      <w:szCs w:val="20"/>
    </w:rPr>
  </w:style>
  <w:style w:type="paragraph" w:customStyle="1" w:styleId="111">
    <w:name w:val="目录111"/>
    <w:basedOn w:val="a2"/>
    <w:qFormat/>
    <w:pPr>
      <w:spacing w:beforeLines="80" w:before="80" w:afterLines="50" w:after="50" w:line="240" w:lineRule="auto"/>
      <w:ind w:firstLineChars="0" w:firstLine="0"/>
      <w:jc w:val="center"/>
    </w:pPr>
    <w:rPr>
      <w:rFonts w:ascii="宋体" w:hAnsi="宋体"/>
      <w:sz w:val="36"/>
    </w:rPr>
  </w:style>
  <w:style w:type="paragraph" w:customStyle="1" w:styleId="af8">
    <w:name w:val="一级标题"/>
    <w:basedOn w:val="a2"/>
    <w:link w:val="Char1"/>
    <w:autoRedefine/>
    <w:qFormat/>
    <w:pPr>
      <w:keepNext/>
      <w:keepLines/>
      <w:pageBreakBefore/>
      <w:jc w:val="center"/>
      <w:outlineLvl w:val="0"/>
    </w:pPr>
    <w:rPr>
      <w:rFonts w:ascii="黑体" w:eastAsia="黑体" w:hAnsi="黑体" w:cs="Times New Roman"/>
      <w:b/>
      <w:bCs/>
      <w:kern w:val="32"/>
      <w:sz w:val="36"/>
      <w:szCs w:val="36"/>
    </w:rPr>
  </w:style>
  <w:style w:type="character" w:customStyle="1" w:styleId="Char1">
    <w:name w:val="一级标题 Char"/>
    <w:link w:val="af8"/>
    <w:autoRedefine/>
    <w:qFormat/>
    <w:rPr>
      <w:rFonts w:ascii="黑体" w:eastAsia="黑体" w:hAnsi="黑体" w:cs="Times New Roman"/>
      <w:b/>
      <w:bCs/>
      <w:kern w:val="32"/>
      <w:sz w:val="36"/>
      <w:szCs w:val="36"/>
    </w:rPr>
  </w:style>
  <w:style w:type="character" w:customStyle="1" w:styleId="ac">
    <w:name w:val="页脚 字符"/>
    <w:link w:val="ab"/>
    <w:uiPriority w:val="99"/>
    <w:qFormat/>
    <w:rPr>
      <w:rFonts w:ascii="Times New Roman" w:eastAsia="宋体" w:hAnsi="Times New Roman"/>
      <w:sz w:val="18"/>
    </w:rPr>
  </w:style>
  <w:style w:type="character" w:customStyle="1" w:styleId="af0">
    <w:name w:val="标题 字符"/>
    <w:link w:val="af"/>
    <w:qFormat/>
    <w:rPr>
      <w:rFonts w:ascii="等线 Light" w:eastAsia="宋体" w:hAnsi="等线 Light"/>
      <w:b/>
      <w:bCs/>
      <w:kern w:val="2"/>
      <w:sz w:val="32"/>
      <w:szCs w:val="32"/>
    </w:rPr>
  </w:style>
  <w:style w:type="paragraph" w:customStyle="1" w:styleId="a1">
    <w:name w:val="题标"/>
    <w:basedOn w:val="a2"/>
    <w:next w:val="a2"/>
    <w:qFormat/>
    <w:pPr>
      <w:keepNext/>
      <w:keepLines/>
      <w:numPr>
        <w:numId w:val="4"/>
      </w:numPr>
      <w:jc w:val="center"/>
    </w:pPr>
    <w:rPr>
      <w:rFonts w:cs="Times New Roman"/>
      <w:bCs/>
      <w:sz w:val="21"/>
      <w:szCs w:val="32"/>
    </w:rPr>
  </w:style>
  <w:style w:type="paragraph" w:customStyle="1" w:styleId="af9">
    <w:name w:val="表格"/>
    <w:basedOn w:val="a2"/>
    <w:qFormat/>
    <w:pPr>
      <w:spacing w:line="240" w:lineRule="auto"/>
      <w:ind w:firstLineChars="0" w:firstLine="0"/>
      <w:jc w:val="center"/>
    </w:pPr>
    <w:rPr>
      <w:rFonts w:cs="宋体"/>
      <w:sz w:val="21"/>
    </w:rPr>
  </w:style>
  <w:style w:type="paragraph" w:customStyle="1" w:styleId="afa">
    <w:name w:val="目录 题目"/>
    <w:basedOn w:val="a2"/>
    <w:uiPriority w:val="99"/>
    <w:qFormat/>
    <w:pPr>
      <w:spacing w:line="300" w:lineRule="auto"/>
      <w:ind w:firstLineChars="0" w:firstLine="0"/>
      <w:jc w:val="center"/>
    </w:pPr>
    <w:rPr>
      <w:rFonts w:ascii="等线" w:eastAsia="黑体" w:hAnsi="等线" w:cs="宋体"/>
      <w:b/>
      <w:sz w:val="32"/>
      <w:szCs w:val="22"/>
    </w:rPr>
  </w:style>
  <w:style w:type="paragraph" w:customStyle="1" w:styleId="110">
    <w:name w:val="样式11"/>
    <w:basedOn w:val="a2"/>
    <w:qFormat/>
    <w:pPr>
      <w:ind w:firstLineChars="0" w:firstLine="0"/>
      <w:jc w:val="center"/>
      <w:textAlignment w:val="center"/>
    </w:pPr>
    <w:rPr>
      <w:rFonts w:ascii="宋体" w:hAnsi="宋体" w:cs="Times New Roman" w:hint="eastAsia"/>
      <w:b/>
      <w:bCs/>
      <w:sz w:val="18"/>
      <w:szCs w:val="18"/>
    </w:rPr>
  </w:style>
  <w:style w:type="character" w:customStyle="1" w:styleId="Char0">
    <w:name w:val="图序与图名 Char"/>
    <w:link w:val="af4"/>
    <w:qFormat/>
    <w:rPr>
      <w:rFonts w:ascii="宋体" w:eastAsia="宋体" w:hAnsi="宋体" w:cs="宋体"/>
      <w:spacing w:val="-2"/>
      <w:sz w:val="21"/>
      <w:szCs w:val="20"/>
    </w:rPr>
  </w:style>
  <w:style w:type="paragraph" w:customStyle="1" w:styleId="120">
    <w:name w:val="样式12"/>
    <w:basedOn w:val="a2"/>
    <w:qFormat/>
    <w:pPr>
      <w:ind w:firstLineChars="0" w:firstLine="0"/>
      <w:textAlignment w:val="center"/>
    </w:pPr>
    <w:rPr>
      <w:rFonts w:ascii="宋体" w:hAnsi="宋体" w:cs="Times New Roman" w:hint="eastAsia"/>
      <w:b/>
      <w:bCs/>
      <w:sz w:val="18"/>
      <w:szCs w:val="18"/>
    </w:rPr>
  </w:style>
  <w:style w:type="paragraph" w:customStyle="1" w:styleId="13">
    <w:name w:val="样式13"/>
    <w:basedOn w:val="a2"/>
    <w:qFormat/>
    <w:pPr>
      <w:spacing w:line="240" w:lineRule="auto"/>
      <w:ind w:firstLineChars="0" w:firstLine="0"/>
      <w:outlineLvl w:val="0"/>
    </w:pPr>
    <w:rPr>
      <w:rFonts w:ascii="宋体" w:hAnsi="宋体" w:cs="宋体" w:hint="eastAsia"/>
      <w:spacing w:val="-3"/>
      <w:sz w:val="20"/>
      <w:szCs w:val="24"/>
    </w:rPr>
  </w:style>
  <w:style w:type="paragraph" w:customStyle="1" w:styleId="afb">
    <w:name w:val="序号"/>
    <w:basedOn w:val="a2"/>
    <w:qFormat/>
    <w:pPr>
      <w:ind w:firstLineChars="0" w:firstLine="0"/>
      <w:jc w:val="center"/>
    </w:pPr>
    <w:rPr>
      <w:rFonts w:cs="宋体"/>
      <w:spacing w:val="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1982</Words>
  <Characters>2379</Characters>
  <Application>Microsoft Office Word</Application>
  <DocSecurity>0</DocSecurity>
  <Lines>139</Lines>
  <Paragraphs>189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Lv, JianXin (DDC OneTeam)</cp:lastModifiedBy>
  <cp:revision>6</cp:revision>
  <dcterms:created xsi:type="dcterms:W3CDTF">2025-02-07T08:36:00Z</dcterms:created>
  <dcterms:modified xsi:type="dcterms:W3CDTF">2026-05-07T14:35:00Z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A2EAB17DD2174C4A9EE7603AC56DB55F_13</vt:lpwstr>
  </property>
  <property fmtid="{D5CDD505-2E9C-101B-9397-08002B2CF9AE}" pid="4" name="KSOTemplateDocerSaveRecord">
    <vt:lpwstr>eyJoZGlkIjoiYTk5M2VlNGFjMjM5YWExMzRjYmJmMzI4YTY3NDdhN2MiLCJ1c2VySWQiOiIxMDM2NjI3NDI0In0=</vt:lpwstr>
  </property>
</Properties>
</file>