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E29F9" w14:textId="77777777" w:rsidR="004D3793" w:rsidRDefault="00000000">
      <w:pPr>
        <w:pStyle w:val="1"/>
        <w:widowControl/>
        <w:shd w:val="clear" w:color="auto" w:fill="FFFFFF"/>
        <w:spacing w:before="320" w:beforeAutospacing="0" w:after="160" w:afterAutospacing="0" w:line="340" w:lineRule="atLeast"/>
        <w:ind w:firstLineChars="0" w:firstLine="0"/>
        <w:rPr>
          <w:rFonts w:ascii="Segoe UI" w:eastAsia="Segoe UI" w:hAnsi="Segoe UI" w:cs="Segoe UI" w:hint="default"/>
          <w:color w:val="0F1115"/>
          <w:sz w:val="24"/>
          <w:szCs w:val="24"/>
        </w:rPr>
      </w:pPr>
      <w:r>
        <w:rPr>
          <w:rFonts w:ascii="Segoe UI" w:eastAsia="Segoe UI" w:hAnsi="Segoe UI" w:cs="Segoe UI" w:hint="default"/>
          <w:color w:val="0F1115"/>
          <w:sz w:val="24"/>
          <w:szCs w:val="24"/>
          <w:shd w:val="clear" w:color="auto" w:fill="FFFFFF"/>
        </w:rPr>
        <w:t>基金代销三国杀</w:t>
      </w:r>
      <w:r>
        <w:rPr>
          <w:rFonts w:ascii="Segoe UI" w:hAnsi="Segoe UI" w:cs="Segoe UI"/>
          <w:color w:val="0F1115"/>
          <w:sz w:val="24"/>
          <w:szCs w:val="24"/>
          <w:shd w:val="clear" w:color="auto" w:fill="FFFFFF"/>
        </w:rPr>
        <w:t xml:space="preserve">  </w:t>
      </w:r>
      <w:r>
        <w:rPr>
          <w:rFonts w:ascii="Segoe UI" w:eastAsia="Segoe UI" w:hAnsi="Segoe UI" w:cs="Segoe UI" w:hint="default"/>
          <w:color w:val="0F1115"/>
          <w:sz w:val="24"/>
          <w:szCs w:val="24"/>
          <w:shd w:val="clear" w:color="auto" w:fill="FFFFFF"/>
        </w:rPr>
        <w:t>蚂蚁权益保有量1.02万亿断崖领跑</w:t>
      </w:r>
    </w:p>
    <w:p w14:paraId="3CCD057B"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2025年下半年的基金代销百强榜单，画出了一条中国基金销售史上最清晰的势力分割线。</w:t>
      </w:r>
    </w:p>
    <w:p w14:paraId="2058193A"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中基协数据显示，截至2025年末，百强机构权益基金保有规模合计6万亿元，较上半年增长16.69%；非货币市场基金保有规模11.70万亿元，环比增长14.70%；股票型指数基金保有规模达2.42万亿元，增速高达23.7%</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。三组总量数据都在增长，但藏在增速级差里的结构性洗牌，正在重绘中国基金代销的渠道版图。</w:t>
      </w:r>
    </w:p>
    <w:p w14:paraId="6ECC7BDE"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三大阵营</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第三方独立销售机构、商业银行、证券公司</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在同一个6万亿元的权益基金市场中各自圈出了势力范围。蚂蚁基金以10178亿元的权益保有规模成为全行业首家突破万亿的代销机构，较招商银行的6105亿元高出近67%</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。而在股票型指数基金这一条增速最高的细分子赛道上，券商以54.45%的保有占比牢牢控制主场，银行正在用34.16%的环比增速拼命追赶，独立三方却面临量增质不优的深层压力</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w:t>
      </w:r>
    </w:p>
    <w:p w14:paraId="35B8DD86" w14:textId="77777777" w:rsidR="004D3793" w:rsidRDefault="00000000">
      <w:pPr>
        <w:pStyle w:val="a3"/>
        <w:widowControl/>
        <w:shd w:val="clear" w:color="auto" w:fill="FFFFFF"/>
        <w:spacing w:before="160" w:after="160"/>
        <w:ind w:firstLineChars="0" w:firstLine="0"/>
        <w:rPr>
          <w:rFonts w:ascii="Segoe UI" w:eastAsia="Segoe UI" w:hAnsi="Segoe UI" w:cs="Segoe UI"/>
          <w:b/>
          <w:bCs/>
          <w:color w:val="0F1115"/>
          <w:sz w:val="16"/>
          <w:szCs w:val="16"/>
          <w:shd w:val="clear" w:color="auto" w:fill="FFFFFF"/>
        </w:rPr>
      </w:pPr>
      <w:r>
        <w:rPr>
          <w:rFonts w:ascii="Segoe UI" w:eastAsia="Segoe UI" w:hAnsi="Segoe UI" w:cs="Segoe UI"/>
          <w:color w:val="0F1115"/>
          <w:sz w:val="16"/>
          <w:szCs w:val="16"/>
          <w:shd w:val="clear" w:color="auto" w:fill="FFFFFF"/>
        </w:rPr>
        <w:t>这不是谁抢谁的蛋糕的零和博弈，而是三条完全不同路径的同场竞赛。</w:t>
      </w:r>
      <w:r>
        <w:rPr>
          <w:rFonts w:ascii="Segoe UI" w:eastAsia="Segoe UI" w:hAnsi="Segoe UI" w:cs="Segoe UI"/>
          <w:b/>
          <w:bCs/>
          <w:color w:val="0F1115"/>
          <w:sz w:val="16"/>
          <w:szCs w:val="16"/>
          <w:shd w:val="clear" w:color="auto" w:fill="FFFFFF"/>
        </w:rPr>
        <w:t>独立三方在拼用户规模和流量变现，银行在拼存量客户转化和产品结构升级，券商在拼ETF的场内交易壁垒。</w:t>
      </w:r>
    </w:p>
    <w:p w14:paraId="10172A7C"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各自的护城河看起来都很深，但各自也都有自己的盲区。</w:t>
      </w:r>
    </w:p>
    <w:p w14:paraId="63C5917D" w14:textId="77777777" w:rsidR="004D3793" w:rsidRDefault="00000000">
      <w:pPr>
        <w:pStyle w:val="2"/>
        <w:widowControl/>
        <w:shd w:val="clear" w:color="auto" w:fill="FFFFFF"/>
        <w:spacing w:before="320" w:beforeAutospacing="0" w:after="160" w:afterAutospacing="0" w:line="320" w:lineRule="atLeast"/>
        <w:ind w:firstLineChars="0" w:firstLine="0"/>
        <w:rPr>
          <w:rFonts w:ascii="Segoe UI" w:eastAsia="Segoe UI" w:hAnsi="Segoe UI" w:cs="Segoe UI" w:hint="default"/>
          <w:color w:val="0F1115"/>
          <w:sz w:val="22"/>
          <w:szCs w:val="22"/>
        </w:rPr>
      </w:pPr>
      <w:r>
        <w:rPr>
          <w:rFonts w:ascii="Segoe UI" w:eastAsia="Segoe UI" w:hAnsi="Segoe UI" w:cs="Segoe UI" w:hint="default"/>
          <w:color w:val="0F1115"/>
          <w:sz w:val="22"/>
          <w:szCs w:val="22"/>
          <w:shd w:val="clear" w:color="auto" w:fill="FFFFFF"/>
        </w:rPr>
        <w:t>权益保有量排行榜</w:t>
      </w:r>
      <w:r>
        <w:rPr>
          <w:rFonts w:ascii="Segoe UI" w:hAnsi="Segoe UI" w:cs="Segoe UI"/>
          <w:color w:val="0F1115"/>
          <w:sz w:val="22"/>
          <w:szCs w:val="22"/>
          <w:shd w:val="clear" w:color="auto" w:fill="FFFFFF"/>
        </w:rPr>
        <w:t xml:space="preserve"> </w:t>
      </w:r>
      <w:r>
        <w:rPr>
          <w:rFonts w:ascii="Segoe UI" w:eastAsia="Segoe UI" w:hAnsi="Segoe UI" w:cs="Segoe UI" w:hint="default"/>
          <w:color w:val="0F1115"/>
          <w:sz w:val="22"/>
          <w:szCs w:val="22"/>
          <w:shd w:val="clear" w:color="auto" w:fill="FFFFFF"/>
        </w:rPr>
        <w:t>蚂蚁10178亿元一骑绝尘，招行6105亿元固守银行阵地</w:t>
      </w:r>
    </w:p>
    <w:tbl>
      <w:tblPr>
        <w:tblW w:w="0" w:type="auto"/>
        <w:tblCellMar>
          <w:top w:w="15" w:type="dxa"/>
          <w:left w:w="15" w:type="dxa"/>
          <w:bottom w:w="15" w:type="dxa"/>
          <w:right w:w="15" w:type="dxa"/>
        </w:tblCellMar>
        <w:tblLook w:val="04A0" w:firstRow="1" w:lastRow="0" w:firstColumn="1" w:lastColumn="0" w:noHBand="0" w:noVBand="1"/>
      </w:tblPr>
      <w:tblGrid>
        <w:gridCol w:w="460"/>
        <w:gridCol w:w="1220"/>
        <w:gridCol w:w="2120"/>
      </w:tblGrid>
      <w:tr w:rsidR="004D3793" w14:paraId="1B848D6A" w14:textId="77777777">
        <w:trPr>
          <w:tblHeader/>
        </w:trPr>
        <w:tc>
          <w:tcPr>
            <w:tcW w:w="0" w:type="auto"/>
            <w:tcBorders>
              <w:top w:val="nil"/>
            </w:tcBorders>
            <w:tcMar>
              <w:top w:w="100" w:type="dxa"/>
              <w:left w:w="0" w:type="dxa"/>
              <w:bottom w:w="100" w:type="dxa"/>
              <w:right w:w="160" w:type="dxa"/>
            </w:tcMar>
            <w:vAlign w:val="center"/>
          </w:tcPr>
          <w:p w14:paraId="2D6B5C53"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排名</w:t>
            </w:r>
          </w:p>
        </w:tc>
        <w:tc>
          <w:tcPr>
            <w:tcW w:w="0" w:type="auto"/>
            <w:tcBorders>
              <w:top w:val="nil"/>
            </w:tcBorders>
            <w:tcMar>
              <w:top w:w="100" w:type="dxa"/>
              <w:left w:w="160" w:type="dxa"/>
              <w:bottom w:w="100" w:type="dxa"/>
              <w:right w:w="160" w:type="dxa"/>
            </w:tcMar>
            <w:vAlign w:val="center"/>
          </w:tcPr>
          <w:p w14:paraId="0AC1B5EC"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机构</w:t>
            </w:r>
          </w:p>
        </w:tc>
        <w:tc>
          <w:tcPr>
            <w:tcW w:w="0" w:type="auto"/>
            <w:tcBorders>
              <w:top w:val="nil"/>
            </w:tcBorders>
            <w:tcMar>
              <w:top w:w="100" w:type="dxa"/>
              <w:left w:w="160" w:type="dxa"/>
              <w:bottom w:w="100" w:type="dxa"/>
              <w:right w:w="160" w:type="dxa"/>
            </w:tcMar>
            <w:vAlign w:val="center"/>
          </w:tcPr>
          <w:p w14:paraId="446CC313"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权益基金保有规模（亿元）</w:t>
            </w:r>
          </w:p>
        </w:tc>
      </w:tr>
      <w:tr w:rsidR="004D3793" w14:paraId="167D6DE6" w14:textId="77777777">
        <w:tc>
          <w:tcPr>
            <w:tcW w:w="0" w:type="auto"/>
            <w:tcMar>
              <w:top w:w="100" w:type="dxa"/>
              <w:left w:w="0" w:type="dxa"/>
              <w:bottom w:w="100" w:type="dxa"/>
              <w:right w:w="160" w:type="dxa"/>
            </w:tcMar>
            <w:vAlign w:val="center"/>
          </w:tcPr>
          <w:p w14:paraId="4731E95C"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1</w:t>
            </w:r>
          </w:p>
        </w:tc>
        <w:tc>
          <w:tcPr>
            <w:tcW w:w="0" w:type="auto"/>
            <w:tcMar>
              <w:top w:w="100" w:type="dxa"/>
              <w:left w:w="160" w:type="dxa"/>
              <w:bottom w:w="100" w:type="dxa"/>
              <w:right w:w="160" w:type="dxa"/>
            </w:tcMar>
            <w:vAlign w:val="center"/>
          </w:tcPr>
          <w:p w14:paraId="60D23DB2"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蚂蚁基金</w:t>
            </w:r>
          </w:p>
        </w:tc>
        <w:tc>
          <w:tcPr>
            <w:tcW w:w="0" w:type="auto"/>
            <w:tcMar>
              <w:top w:w="100" w:type="dxa"/>
              <w:left w:w="160" w:type="dxa"/>
              <w:bottom w:w="100" w:type="dxa"/>
              <w:right w:w="160" w:type="dxa"/>
            </w:tcMar>
            <w:vAlign w:val="center"/>
          </w:tcPr>
          <w:p w14:paraId="7C95B63E"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10178</w:t>
            </w:r>
          </w:p>
        </w:tc>
      </w:tr>
      <w:tr w:rsidR="004D3793" w14:paraId="1F73B103" w14:textId="77777777">
        <w:tc>
          <w:tcPr>
            <w:tcW w:w="0" w:type="auto"/>
            <w:tcMar>
              <w:top w:w="100" w:type="dxa"/>
              <w:left w:w="0" w:type="dxa"/>
              <w:bottom w:w="100" w:type="dxa"/>
              <w:right w:w="160" w:type="dxa"/>
            </w:tcMar>
            <w:vAlign w:val="center"/>
          </w:tcPr>
          <w:p w14:paraId="64EDD051"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2</w:t>
            </w:r>
          </w:p>
        </w:tc>
        <w:tc>
          <w:tcPr>
            <w:tcW w:w="0" w:type="auto"/>
            <w:tcMar>
              <w:top w:w="100" w:type="dxa"/>
              <w:left w:w="160" w:type="dxa"/>
              <w:bottom w:w="100" w:type="dxa"/>
              <w:right w:w="160" w:type="dxa"/>
            </w:tcMar>
            <w:vAlign w:val="center"/>
          </w:tcPr>
          <w:p w14:paraId="125DA35F"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招商银行</w:t>
            </w:r>
          </w:p>
        </w:tc>
        <w:tc>
          <w:tcPr>
            <w:tcW w:w="0" w:type="auto"/>
            <w:tcMar>
              <w:top w:w="100" w:type="dxa"/>
              <w:left w:w="160" w:type="dxa"/>
              <w:bottom w:w="100" w:type="dxa"/>
              <w:right w:w="160" w:type="dxa"/>
            </w:tcMar>
            <w:vAlign w:val="center"/>
          </w:tcPr>
          <w:p w14:paraId="2D51353A"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6105</w:t>
            </w:r>
          </w:p>
        </w:tc>
      </w:tr>
      <w:tr w:rsidR="004D3793" w14:paraId="62FA8173" w14:textId="77777777">
        <w:tc>
          <w:tcPr>
            <w:tcW w:w="0" w:type="auto"/>
            <w:tcMar>
              <w:top w:w="100" w:type="dxa"/>
              <w:left w:w="0" w:type="dxa"/>
              <w:bottom w:w="100" w:type="dxa"/>
              <w:right w:w="160" w:type="dxa"/>
            </w:tcMar>
            <w:vAlign w:val="center"/>
          </w:tcPr>
          <w:p w14:paraId="345A89BF"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3</w:t>
            </w:r>
          </w:p>
        </w:tc>
        <w:tc>
          <w:tcPr>
            <w:tcW w:w="0" w:type="auto"/>
            <w:tcMar>
              <w:top w:w="100" w:type="dxa"/>
              <w:left w:w="160" w:type="dxa"/>
              <w:bottom w:w="100" w:type="dxa"/>
              <w:right w:w="160" w:type="dxa"/>
            </w:tcMar>
            <w:vAlign w:val="center"/>
          </w:tcPr>
          <w:p w14:paraId="10632D12"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天天基金</w:t>
            </w:r>
          </w:p>
        </w:tc>
        <w:tc>
          <w:tcPr>
            <w:tcW w:w="0" w:type="auto"/>
            <w:tcMar>
              <w:top w:w="100" w:type="dxa"/>
              <w:left w:w="160" w:type="dxa"/>
              <w:bottom w:w="100" w:type="dxa"/>
              <w:right w:w="160" w:type="dxa"/>
            </w:tcMar>
            <w:vAlign w:val="center"/>
          </w:tcPr>
          <w:p w14:paraId="47C4C65C" w14:textId="2FAC3522"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4</w:t>
            </w:r>
            <w:r w:rsidR="008A1901">
              <w:rPr>
                <w:rFonts w:ascii="Segoe UI" w:eastAsiaTheme="minorEastAsia" w:hAnsi="Segoe UI" w:cs="Segoe UI" w:hint="eastAsia"/>
                <w:kern w:val="0"/>
                <w:sz w:val="15"/>
                <w:szCs w:val="15"/>
                <w:lang w:bidi="ar"/>
              </w:rPr>
              <w:t>00</w:t>
            </w:r>
            <w:r>
              <w:rPr>
                <w:rFonts w:ascii="Segoe UI" w:eastAsia="Segoe UI" w:hAnsi="Segoe UI" w:cs="Segoe UI"/>
                <w:kern w:val="0"/>
                <w:sz w:val="15"/>
                <w:szCs w:val="15"/>
                <w:lang w:bidi="ar"/>
              </w:rPr>
              <w:t>2</w:t>
            </w:r>
          </w:p>
        </w:tc>
      </w:tr>
      <w:tr w:rsidR="004D3793" w14:paraId="5AA5588A" w14:textId="77777777">
        <w:tc>
          <w:tcPr>
            <w:tcW w:w="0" w:type="auto"/>
            <w:tcMar>
              <w:top w:w="100" w:type="dxa"/>
              <w:left w:w="0" w:type="dxa"/>
              <w:bottom w:w="100" w:type="dxa"/>
              <w:right w:w="160" w:type="dxa"/>
            </w:tcMar>
            <w:vAlign w:val="center"/>
          </w:tcPr>
          <w:p w14:paraId="3F45044D"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4</w:t>
            </w:r>
          </w:p>
        </w:tc>
        <w:tc>
          <w:tcPr>
            <w:tcW w:w="0" w:type="auto"/>
            <w:tcMar>
              <w:top w:w="100" w:type="dxa"/>
              <w:left w:w="160" w:type="dxa"/>
              <w:bottom w:w="100" w:type="dxa"/>
              <w:right w:w="160" w:type="dxa"/>
            </w:tcMar>
            <w:vAlign w:val="center"/>
          </w:tcPr>
          <w:p w14:paraId="55C2CA8C"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工商银行</w:t>
            </w:r>
          </w:p>
        </w:tc>
        <w:tc>
          <w:tcPr>
            <w:tcW w:w="0" w:type="auto"/>
            <w:tcMar>
              <w:top w:w="100" w:type="dxa"/>
              <w:left w:w="160" w:type="dxa"/>
              <w:bottom w:w="100" w:type="dxa"/>
              <w:right w:w="160" w:type="dxa"/>
            </w:tcMar>
            <w:vAlign w:val="center"/>
          </w:tcPr>
          <w:p w14:paraId="2CE14F20"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3894</w:t>
            </w:r>
          </w:p>
        </w:tc>
      </w:tr>
      <w:tr w:rsidR="004D3793" w14:paraId="20EA4039" w14:textId="77777777">
        <w:tc>
          <w:tcPr>
            <w:tcW w:w="0" w:type="auto"/>
            <w:tcMar>
              <w:top w:w="100" w:type="dxa"/>
              <w:left w:w="0" w:type="dxa"/>
              <w:bottom w:w="100" w:type="dxa"/>
              <w:right w:w="160" w:type="dxa"/>
            </w:tcMar>
            <w:vAlign w:val="center"/>
          </w:tcPr>
          <w:p w14:paraId="14427EC7"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5</w:t>
            </w:r>
          </w:p>
        </w:tc>
        <w:tc>
          <w:tcPr>
            <w:tcW w:w="0" w:type="auto"/>
            <w:tcMar>
              <w:top w:w="100" w:type="dxa"/>
              <w:left w:w="160" w:type="dxa"/>
              <w:bottom w:w="100" w:type="dxa"/>
              <w:right w:w="160" w:type="dxa"/>
            </w:tcMar>
            <w:vAlign w:val="center"/>
          </w:tcPr>
          <w:p w14:paraId="56064732"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建设银行</w:t>
            </w:r>
          </w:p>
        </w:tc>
        <w:tc>
          <w:tcPr>
            <w:tcW w:w="0" w:type="auto"/>
            <w:tcMar>
              <w:top w:w="100" w:type="dxa"/>
              <w:left w:w="160" w:type="dxa"/>
              <w:bottom w:w="100" w:type="dxa"/>
              <w:right w:w="160" w:type="dxa"/>
            </w:tcMar>
            <w:vAlign w:val="center"/>
          </w:tcPr>
          <w:p w14:paraId="49E63E20"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3468</w:t>
            </w:r>
          </w:p>
        </w:tc>
      </w:tr>
      <w:tr w:rsidR="004D3793" w14:paraId="3567B510" w14:textId="77777777">
        <w:tc>
          <w:tcPr>
            <w:tcW w:w="0" w:type="auto"/>
            <w:tcMar>
              <w:top w:w="100" w:type="dxa"/>
              <w:left w:w="0" w:type="dxa"/>
              <w:bottom w:w="100" w:type="dxa"/>
              <w:right w:w="160" w:type="dxa"/>
            </w:tcMar>
            <w:vAlign w:val="center"/>
          </w:tcPr>
          <w:p w14:paraId="55AE8214"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6</w:t>
            </w:r>
          </w:p>
        </w:tc>
        <w:tc>
          <w:tcPr>
            <w:tcW w:w="0" w:type="auto"/>
            <w:tcMar>
              <w:top w:w="100" w:type="dxa"/>
              <w:left w:w="160" w:type="dxa"/>
              <w:bottom w:w="100" w:type="dxa"/>
              <w:right w:w="160" w:type="dxa"/>
            </w:tcMar>
            <w:vAlign w:val="center"/>
          </w:tcPr>
          <w:p w14:paraId="22C11C06"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中国银行</w:t>
            </w:r>
          </w:p>
        </w:tc>
        <w:tc>
          <w:tcPr>
            <w:tcW w:w="0" w:type="auto"/>
            <w:tcMar>
              <w:top w:w="100" w:type="dxa"/>
              <w:left w:w="160" w:type="dxa"/>
              <w:bottom w:w="100" w:type="dxa"/>
              <w:right w:w="160" w:type="dxa"/>
            </w:tcMar>
            <w:vAlign w:val="center"/>
          </w:tcPr>
          <w:p w14:paraId="655CD517"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2524</w:t>
            </w:r>
          </w:p>
        </w:tc>
      </w:tr>
      <w:tr w:rsidR="004D3793" w14:paraId="17E02844" w14:textId="77777777">
        <w:tc>
          <w:tcPr>
            <w:tcW w:w="0" w:type="auto"/>
            <w:tcMar>
              <w:top w:w="100" w:type="dxa"/>
              <w:left w:w="0" w:type="dxa"/>
              <w:bottom w:w="100" w:type="dxa"/>
              <w:right w:w="160" w:type="dxa"/>
            </w:tcMar>
            <w:vAlign w:val="center"/>
          </w:tcPr>
          <w:p w14:paraId="6699FB41"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7</w:t>
            </w:r>
          </w:p>
        </w:tc>
        <w:tc>
          <w:tcPr>
            <w:tcW w:w="0" w:type="auto"/>
            <w:tcMar>
              <w:top w:w="100" w:type="dxa"/>
              <w:left w:w="160" w:type="dxa"/>
              <w:bottom w:w="100" w:type="dxa"/>
              <w:right w:w="160" w:type="dxa"/>
            </w:tcMar>
            <w:vAlign w:val="center"/>
          </w:tcPr>
          <w:p w14:paraId="3C48E1A7"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交通银行</w:t>
            </w:r>
          </w:p>
        </w:tc>
        <w:tc>
          <w:tcPr>
            <w:tcW w:w="0" w:type="auto"/>
            <w:tcMar>
              <w:top w:w="100" w:type="dxa"/>
              <w:left w:w="160" w:type="dxa"/>
              <w:bottom w:w="100" w:type="dxa"/>
              <w:right w:w="160" w:type="dxa"/>
            </w:tcMar>
            <w:vAlign w:val="center"/>
          </w:tcPr>
          <w:p w14:paraId="530592DE"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2036</w:t>
            </w:r>
          </w:p>
        </w:tc>
      </w:tr>
      <w:tr w:rsidR="004D3793" w14:paraId="40DD21B8" w14:textId="77777777">
        <w:tc>
          <w:tcPr>
            <w:tcW w:w="0" w:type="auto"/>
            <w:tcMar>
              <w:top w:w="100" w:type="dxa"/>
              <w:left w:w="0" w:type="dxa"/>
              <w:bottom w:w="100" w:type="dxa"/>
              <w:right w:w="160" w:type="dxa"/>
            </w:tcMar>
            <w:vAlign w:val="center"/>
          </w:tcPr>
          <w:p w14:paraId="0D757579"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8</w:t>
            </w:r>
          </w:p>
        </w:tc>
        <w:tc>
          <w:tcPr>
            <w:tcW w:w="0" w:type="auto"/>
            <w:tcMar>
              <w:top w:w="100" w:type="dxa"/>
              <w:left w:w="160" w:type="dxa"/>
              <w:bottom w:w="100" w:type="dxa"/>
              <w:right w:w="160" w:type="dxa"/>
            </w:tcMar>
            <w:vAlign w:val="center"/>
          </w:tcPr>
          <w:p w14:paraId="6E286258"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中信证券</w:t>
            </w:r>
          </w:p>
        </w:tc>
        <w:tc>
          <w:tcPr>
            <w:tcW w:w="0" w:type="auto"/>
            <w:tcMar>
              <w:top w:w="100" w:type="dxa"/>
              <w:left w:w="160" w:type="dxa"/>
              <w:bottom w:w="100" w:type="dxa"/>
              <w:right w:w="160" w:type="dxa"/>
            </w:tcMar>
            <w:vAlign w:val="center"/>
          </w:tcPr>
          <w:p w14:paraId="1E51BD70"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1632</w:t>
            </w:r>
          </w:p>
        </w:tc>
      </w:tr>
      <w:tr w:rsidR="004D3793" w14:paraId="082FB8E3" w14:textId="77777777">
        <w:tc>
          <w:tcPr>
            <w:tcW w:w="0" w:type="auto"/>
            <w:tcMar>
              <w:top w:w="100" w:type="dxa"/>
              <w:left w:w="0" w:type="dxa"/>
              <w:bottom w:w="100" w:type="dxa"/>
              <w:right w:w="160" w:type="dxa"/>
            </w:tcMar>
            <w:vAlign w:val="center"/>
          </w:tcPr>
          <w:p w14:paraId="7E6353E0"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9</w:t>
            </w:r>
          </w:p>
        </w:tc>
        <w:tc>
          <w:tcPr>
            <w:tcW w:w="0" w:type="auto"/>
            <w:tcMar>
              <w:top w:w="100" w:type="dxa"/>
              <w:left w:w="160" w:type="dxa"/>
              <w:bottom w:w="100" w:type="dxa"/>
              <w:right w:w="160" w:type="dxa"/>
            </w:tcMar>
            <w:vAlign w:val="center"/>
          </w:tcPr>
          <w:p w14:paraId="4395B5E1"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中国人寿保险</w:t>
            </w:r>
          </w:p>
        </w:tc>
        <w:tc>
          <w:tcPr>
            <w:tcW w:w="0" w:type="auto"/>
            <w:tcMar>
              <w:top w:w="100" w:type="dxa"/>
              <w:left w:w="160" w:type="dxa"/>
              <w:bottom w:w="100" w:type="dxa"/>
              <w:right w:w="160" w:type="dxa"/>
            </w:tcMar>
            <w:vAlign w:val="center"/>
          </w:tcPr>
          <w:p w14:paraId="616F5C2B" w14:textId="3253CCEA" w:rsidR="004D3793" w:rsidRPr="008A1901" w:rsidRDefault="008A1901">
            <w:pPr>
              <w:widowControl/>
              <w:spacing w:line="250" w:lineRule="atLeast"/>
              <w:ind w:firstLineChars="0" w:firstLine="0"/>
              <w:jc w:val="left"/>
              <w:rPr>
                <w:rFonts w:ascii="Segoe UI" w:eastAsiaTheme="minorEastAsia" w:hAnsi="Segoe UI" w:cs="Segoe UI" w:hint="eastAsia"/>
                <w:sz w:val="15"/>
                <w:szCs w:val="15"/>
              </w:rPr>
            </w:pPr>
            <w:r>
              <w:rPr>
                <w:rFonts w:ascii="Segoe UI" w:eastAsiaTheme="minorEastAsia" w:hAnsi="Segoe UI" w:cs="Segoe UI" w:hint="eastAsia"/>
                <w:kern w:val="0"/>
                <w:sz w:val="15"/>
                <w:szCs w:val="15"/>
                <w:lang w:bidi="ar"/>
              </w:rPr>
              <w:t>1561</w:t>
            </w:r>
          </w:p>
        </w:tc>
      </w:tr>
      <w:tr w:rsidR="004D3793" w14:paraId="39C98C0C" w14:textId="77777777">
        <w:tc>
          <w:tcPr>
            <w:tcW w:w="0" w:type="auto"/>
            <w:tcMar>
              <w:top w:w="100" w:type="dxa"/>
              <w:left w:w="0" w:type="dxa"/>
              <w:bottom w:w="100" w:type="dxa"/>
              <w:right w:w="160" w:type="dxa"/>
            </w:tcMar>
            <w:vAlign w:val="center"/>
          </w:tcPr>
          <w:p w14:paraId="29D49915"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10</w:t>
            </w:r>
          </w:p>
        </w:tc>
        <w:tc>
          <w:tcPr>
            <w:tcW w:w="0" w:type="auto"/>
            <w:tcMar>
              <w:top w:w="100" w:type="dxa"/>
              <w:left w:w="160" w:type="dxa"/>
              <w:bottom w:w="100" w:type="dxa"/>
              <w:right w:w="160" w:type="dxa"/>
            </w:tcMar>
            <w:vAlign w:val="center"/>
          </w:tcPr>
          <w:p w14:paraId="5C019272"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农业银行</w:t>
            </w:r>
          </w:p>
        </w:tc>
        <w:tc>
          <w:tcPr>
            <w:tcW w:w="0" w:type="auto"/>
            <w:tcMar>
              <w:top w:w="100" w:type="dxa"/>
              <w:left w:w="160" w:type="dxa"/>
              <w:bottom w:w="100" w:type="dxa"/>
              <w:right w:w="160" w:type="dxa"/>
            </w:tcMar>
            <w:vAlign w:val="center"/>
          </w:tcPr>
          <w:p w14:paraId="435BF4C2" w14:textId="77777777" w:rsidR="004D3793" w:rsidRDefault="00000000">
            <w:pPr>
              <w:widowControl/>
              <w:spacing w:line="250" w:lineRule="atLeast"/>
              <w:ind w:firstLineChars="0" w:firstLine="0"/>
              <w:jc w:val="left"/>
              <w:rPr>
                <w:rFonts w:ascii="Segoe UI" w:eastAsia="Segoe UI" w:hAnsi="Segoe UI" w:cs="Segoe UI"/>
                <w:sz w:val="15"/>
                <w:szCs w:val="15"/>
              </w:rPr>
            </w:pPr>
            <w:r>
              <w:rPr>
                <w:rFonts w:ascii="Segoe UI" w:eastAsia="Segoe UI" w:hAnsi="Segoe UI" w:cs="Segoe UI"/>
                <w:kern w:val="0"/>
                <w:sz w:val="15"/>
                <w:szCs w:val="15"/>
                <w:lang w:bidi="ar"/>
              </w:rPr>
              <w:t>1396</w:t>
            </w:r>
          </w:p>
        </w:tc>
      </w:tr>
    </w:tbl>
    <w:p w14:paraId="040E6C79"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数据来源：中基协2025年下半年基金代销百强榜单</w:t>
      </w:r>
    </w:p>
    <w:p w14:paraId="386415B4"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b/>
          <w:bCs/>
          <w:color w:val="0F1115"/>
          <w:sz w:val="16"/>
          <w:szCs w:val="16"/>
          <w:shd w:val="clear" w:color="auto" w:fill="FFFFFF"/>
        </w:rPr>
        <w:lastRenderedPageBreak/>
        <w:t>蚂蚁基金一家的权益保有量（10178亿元）超过了第二名至第四名三家机构之和。</w:t>
      </w:r>
      <w:r>
        <w:rPr>
          <w:rFonts w:ascii="Segoe UI" w:eastAsia="Segoe UI" w:hAnsi="Segoe UI" w:cs="Segoe UI"/>
          <w:color w:val="0F1115"/>
          <w:sz w:val="16"/>
          <w:szCs w:val="16"/>
          <w:shd w:val="clear" w:color="auto" w:fill="FFFFFF"/>
        </w:rPr>
        <w:t>2025年下半年，蚂蚁权益规模从上半年的8229亿元一举增加1949亿元，增幅相当于半个兴业银行的全部权益保有量</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。在权益基金市场总量6万亿元的盘子里，蚂蚁一家吃下了约17%的份额</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。非货币基金保有规模更是高达18098亿元，较上半年增长2423亿元</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。股票指数基金保有规模4825亿元，三项指标全部稳居市场第一</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w:t>
      </w:r>
    </w:p>
    <w:p w14:paraId="72A1799F"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招商银行以6105亿元的权益保有量稳坐银行阵营头把交椅，且其24%的环比增速在绝对规模超5000亿元的基础上仍与蚂蚁基金持平，说明招行在高端零售客户端的权益渗透仍在加速。据年报披露，招商银行2025年实现代理非货币公募基金销售额7064.66亿元，同比增长18.13%</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，代理基金收入为61.02亿元，较上年大幅增长46.5%</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w:t>
      </w:r>
    </w:p>
    <w:p w14:paraId="37C3C3CB"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建行是前十中权益规模增速最快的银行，环比暴增42.72%至3468亿元</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。这一增速在前十大机构中位列榜首，远超行业均值。建行的发力方向是提升权益类基金保有规模及销量占比，2025年权益类相关业务的显著增长直接推高了中收</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w:t>
      </w:r>
    </w:p>
    <w:p w14:paraId="6C3B2679" w14:textId="0FA9D3CA"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中国人寿保险以1</w:t>
      </w:r>
      <w:r w:rsidR="008A1901">
        <w:rPr>
          <w:rFonts w:ascii="Segoe UI" w:eastAsiaTheme="minorEastAsia" w:hAnsi="Segoe UI" w:cs="Segoe UI" w:hint="eastAsia"/>
          <w:color w:val="0F1115"/>
          <w:sz w:val="16"/>
          <w:szCs w:val="16"/>
          <w:shd w:val="clear" w:color="auto" w:fill="FFFFFF"/>
        </w:rPr>
        <w:t>561</w:t>
      </w:r>
      <w:r>
        <w:rPr>
          <w:rFonts w:ascii="Segoe UI" w:eastAsia="Segoe UI" w:hAnsi="Segoe UI" w:cs="Segoe UI"/>
          <w:color w:val="0F1115"/>
          <w:sz w:val="16"/>
          <w:szCs w:val="16"/>
          <w:shd w:val="clear" w:color="auto" w:fill="FFFFFF"/>
        </w:rPr>
        <w:t>亿元的权益保有量跻身前十，成为榜单中唯一的保险公司</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。保险机构首次以超千亿的权益保有规模进入第一阵营，但其增长的底层逻辑仍面临可持续性挑战</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多为保险资金自营配置穿透口径，而非代理客户购买。</w:t>
      </w:r>
    </w:p>
    <w:p w14:paraId="343FE718"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中信证券以1632亿元蝉联券商阵营的权益保有量榜首，成为唯一进入前十的券商</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。在权益保有量前十机构中，券商阵营仅获1席，但这一格局在股指基金的细分赛道上已被彻底反转。</w:t>
      </w:r>
    </w:p>
    <w:p w14:paraId="1291565E" w14:textId="77777777" w:rsidR="004D3793" w:rsidRDefault="00000000">
      <w:pPr>
        <w:pStyle w:val="2"/>
        <w:widowControl/>
        <w:shd w:val="clear" w:color="auto" w:fill="FFFFFF"/>
        <w:spacing w:before="320" w:beforeAutospacing="0" w:after="160" w:afterAutospacing="0" w:line="320" w:lineRule="atLeast"/>
        <w:ind w:firstLineChars="0" w:firstLine="0"/>
        <w:rPr>
          <w:rFonts w:ascii="Segoe UI" w:eastAsia="Segoe UI" w:hAnsi="Segoe UI" w:cs="Segoe UI" w:hint="default"/>
          <w:color w:val="0F1115"/>
          <w:sz w:val="22"/>
          <w:szCs w:val="22"/>
        </w:rPr>
      </w:pPr>
      <w:r>
        <w:rPr>
          <w:rFonts w:ascii="Segoe UI" w:eastAsia="Segoe UI" w:hAnsi="Segoe UI" w:cs="Segoe UI" w:hint="default"/>
          <w:color w:val="0F1115"/>
          <w:sz w:val="22"/>
          <w:szCs w:val="22"/>
          <w:shd w:val="clear" w:color="auto" w:fill="FFFFFF"/>
        </w:rPr>
        <w:t>银行阵营</w:t>
      </w:r>
      <w:r>
        <w:rPr>
          <w:rFonts w:ascii="Segoe UI" w:hAnsi="Segoe UI" w:cs="Segoe UI"/>
          <w:color w:val="0F1115"/>
          <w:sz w:val="22"/>
          <w:szCs w:val="22"/>
          <w:shd w:val="clear" w:color="auto" w:fill="FFFFFF"/>
        </w:rPr>
        <w:t xml:space="preserve"> </w:t>
      </w:r>
      <w:r>
        <w:rPr>
          <w:rFonts w:ascii="Segoe UI" w:eastAsia="Segoe UI" w:hAnsi="Segoe UI" w:cs="Segoe UI" w:hint="default"/>
          <w:color w:val="0F1115"/>
          <w:sz w:val="22"/>
          <w:szCs w:val="22"/>
          <w:shd w:val="clear" w:color="auto" w:fill="FFFFFF"/>
        </w:rPr>
        <w:t>权益占比40%、股指占比15%</w:t>
      </w:r>
    </w:p>
    <w:p w14:paraId="6CAB1509"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银行在基金代销战场上面临的最核心矛盾是：总盘子在守，结构在变。</w:t>
      </w:r>
    </w:p>
    <w:p w14:paraId="7A52DFA5"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从渠道份额来看，截至2025年末，银行渠道权益基金保有规模占比为40.2%，较上半年下降1.59个百分点</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六大行在权益保有前十中占据6席，看似绝对主导，但份额的边际下滑趋势已连续多个季度没有逆转。独立三方用更低的费率和更便捷的线上体验持续蚕食银行的标准化产品客户，而券商用ETF的场内不可替代性牢牢锁定了一批换手型投资者。</w:t>
      </w:r>
    </w:p>
    <w:p w14:paraId="585AB400"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银行反攻的方向是股票指数基金。2025年末，银行渠道股票指数基金保有规模在代销百强中的占比为14.82%，环比上升1.11个百分点，是唯一该品类份额提升的渠道</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。从增速看，银行渠道股票指数基金规模环比激增34.16%，显著高于券商和独立三方。</w:t>
      </w:r>
    </w:p>
    <w:p w14:paraId="2AB855F8"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各银行在股指基金上的补课力度存在显著分化。邮储银行2025年全年非货币基金销量1705.80亿元，其中权益基金销量434.42亿元，同比飙升265.62%，权益占比从不到10%急剧拉升至接近25%</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。平安银行代理非货币公募基金销售额1047.53亿元，含权类产品销售额和占比均有所提升</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建行以42.72%的权益保有量增速冠绝前十，股指和含权类产品的集中发力功不可没。2025年，15家上市银行代理业务合计收入1449亿元，同比大幅增长241%，工农中建及招行、平安、光大等行的基金代销收入均实现了两位数以上增幅</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w:t>
      </w:r>
    </w:p>
    <w:p w14:paraId="7CC6C922"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lastRenderedPageBreak/>
        <w:t>兴业银行是非货保有规模增速最快的样本。2025年末，兴业银行非货保有规模达到4440亿元，位居行业第五</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。兴业银行的增速密码在于结合母行对公资源优势，通过企金财富管理撬动了巨量非货基金配置需求</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2025年，兴业银行企金财富AUM同比增长26.76%至3525.91亿元。</w:t>
      </w:r>
    </w:p>
    <w:p w14:paraId="711F0679"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银行的护城河不在费率，而在客户信任和场景绑定。当一家客户需要同时办理房贷、经营贷、消费贷、工资代发、企业结算时，银行具备将这些非基金业务转化为基金保有量的天然场景优势。这是独立三方无法复制的武器。建行42.72%的权益增速和邮储265.62%的权益销量增速，更像是对过去银行渠道基金代销的结构性变革</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从依赖货基和纯债的规模累积，真正走向多元化财富管理。</w:t>
      </w:r>
    </w:p>
    <w:p w14:paraId="4E484A2A" w14:textId="77777777" w:rsidR="004D3793" w:rsidRDefault="00000000">
      <w:pPr>
        <w:pStyle w:val="2"/>
        <w:widowControl/>
        <w:shd w:val="clear" w:color="auto" w:fill="FFFFFF"/>
        <w:spacing w:before="320" w:beforeAutospacing="0" w:after="160" w:afterAutospacing="0" w:line="320" w:lineRule="atLeast"/>
        <w:ind w:firstLineChars="0" w:firstLine="0"/>
        <w:rPr>
          <w:rFonts w:ascii="Segoe UI" w:eastAsia="Segoe UI" w:hAnsi="Segoe UI" w:cs="Segoe UI" w:hint="default"/>
          <w:color w:val="0F1115"/>
          <w:sz w:val="22"/>
          <w:szCs w:val="22"/>
        </w:rPr>
      </w:pPr>
      <w:r>
        <w:rPr>
          <w:rFonts w:ascii="Segoe UI" w:eastAsia="Segoe UI" w:hAnsi="Segoe UI" w:cs="Segoe UI" w:hint="default"/>
          <w:color w:val="0F1115"/>
          <w:sz w:val="22"/>
          <w:szCs w:val="22"/>
          <w:shd w:val="clear" w:color="auto" w:fill="FFFFFF"/>
        </w:rPr>
        <w:t>券商阵营57家上榜、股指占比54.45%</w:t>
      </w:r>
    </w:p>
    <w:p w14:paraId="465210FD"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券商在基金代销战场上的突围路径，是三大阵营中最清晰的</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在ETF和股票型指数基金领域构筑了一道独立三方和银行都难以逾越的壁垒。</w:t>
      </w:r>
    </w:p>
    <w:p w14:paraId="55628AAF"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从机构数量看，2025年末有57家券商进入百强榜单，较上半年新增3家</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。从股指基金保有规模占比看，券商占据了百强中54.45%的份额，超过所有其他渠道之和。</w:t>
      </w:r>
    </w:p>
    <w:p w14:paraId="406F2E12"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把券商阵营拆细看，头部集中度极高。中信证券以1632亿元的权益保有量蝉联券商榜首，华泰证券、国泰海通证券紧随其后</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。在2025年上半年股票型指数基金保有规模TOP20机构中，有13家为券商，前五名中的券商席位占据三席</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。第三名蚂蚁基金之后，依次为东方财富（天天基金+东财证券）、中信证券、华泰证券、国泰海通证券</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前十名中券商占据4席，而同期银行仅有2席。</w:t>
      </w:r>
    </w:p>
    <w:p w14:paraId="044741DC"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券商的结构性优势在于</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ETF只能在证券账户内申赎和交易，银行渠道在本质上无法销售场内ETF。这个交易规则壁垒在2025年成全了券商的股指基金独占优势，也限制了银行在指数基金保有量上对券商发起全线反攻。当被动投资加速替代主动权益产品，发行端固然集中在少数头部基金公司，但交易端份额被牢牢抓在券商手里，独立的指数类客户管理优势是其他渠道无法替代的。</w:t>
      </w:r>
    </w:p>
    <w:p w14:paraId="3CB635D1"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不过，券商的渠道壁垒仅限于ETF。在非货币基金总保有规模上，独立三方和银行依然占据绝对主导。券商整体非货保有规模在百强中占比较低，与权益保有量的单一依赖形成落差。更值得关注的是，ETF渠道的核心价值在于交易佣金，而非尾随佣金，当交易佣金标准化后，券商从代销获得的持续性收入成长空间并不如银行清晰。券商的股指基金绝对优势是在细分赛道上的阶段性领先，而非整体经销能力的全面胜出。</w:t>
      </w:r>
    </w:p>
    <w:p w14:paraId="353B62CD" w14:textId="77777777" w:rsidR="004D3793" w:rsidRDefault="00000000">
      <w:pPr>
        <w:pStyle w:val="2"/>
        <w:widowControl/>
        <w:shd w:val="clear" w:color="auto" w:fill="FFFFFF"/>
        <w:spacing w:before="320" w:beforeAutospacing="0" w:after="160" w:afterAutospacing="0" w:line="320" w:lineRule="atLeast"/>
        <w:ind w:firstLineChars="0" w:firstLine="0"/>
        <w:rPr>
          <w:rFonts w:ascii="Segoe UI" w:eastAsia="Segoe UI" w:hAnsi="Segoe UI" w:cs="Segoe UI" w:hint="default"/>
          <w:color w:val="0F1115"/>
          <w:sz w:val="22"/>
          <w:szCs w:val="22"/>
        </w:rPr>
      </w:pPr>
      <w:r>
        <w:rPr>
          <w:rFonts w:ascii="Segoe UI" w:eastAsia="Segoe UI" w:hAnsi="Segoe UI" w:cs="Segoe UI" w:hint="default"/>
          <w:color w:val="0F1115"/>
          <w:sz w:val="22"/>
          <w:szCs w:val="22"/>
          <w:shd w:val="clear" w:color="auto" w:fill="FFFFFF"/>
        </w:rPr>
        <w:t>独立三方</w:t>
      </w:r>
      <w:r>
        <w:rPr>
          <w:rFonts w:ascii="Segoe UI" w:hAnsi="Segoe UI" w:cs="Segoe UI"/>
          <w:color w:val="0F1115"/>
          <w:sz w:val="22"/>
          <w:szCs w:val="22"/>
          <w:shd w:val="clear" w:color="auto" w:fill="FFFFFF"/>
        </w:rPr>
        <w:t>中</w:t>
      </w:r>
      <w:r>
        <w:rPr>
          <w:rFonts w:ascii="Segoe UI" w:eastAsia="Segoe UI" w:hAnsi="Segoe UI" w:cs="Segoe UI" w:hint="default"/>
          <w:color w:val="0F1115"/>
          <w:sz w:val="22"/>
          <w:szCs w:val="22"/>
          <w:shd w:val="clear" w:color="auto" w:fill="FFFFFF"/>
        </w:rPr>
        <w:t>蚂蚁断崖领跑，天天基金在老赛道上的失速与守位</w:t>
      </w:r>
    </w:p>
    <w:p w14:paraId="424A1E13"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在中国基金代销的渠道版图中，独立三方是结构分化最极端的阵营。</w:t>
      </w:r>
    </w:p>
    <w:p w14:paraId="3070A34F"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lastRenderedPageBreak/>
        <w:t>蚂蚁基金一家非货保有规模18098亿元，超过第二至第四名之和</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。这已是蚂蚁基金连续多个季度在三项核心指标上全部位居市场第一。更重要的是，蚂蚁基金是百强中权益保有规模突破万亿的唯一一家机构</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。在蚂蚁和招行两家合计拥有百强非货规模26.14%及权益规模27.16%的双寡头结构已被数据明确证实</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w:t>
      </w:r>
    </w:p>
    <w:p w14:paraId="6C35D075"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但在蚂蚁之下，独立三方的整体份额已面临瓶颈。独立三方渠道整体权益占比从2025年上半年的约42%微降至下半年约41%左右，被银行和券商在结构性品类上同时蚕食的态势已现</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。更典型的是天天基金，虽仍保持在第二、第三梯队，但增长空间已被上下两端同时挤压</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上端蚂蚁以绝对体量优势锁定了大型流量入口，下端49家券商同时在ETF方面全面压制，加上银行猛补指数的力度，天天基金的业务增量来源正在收窄。</w:t>
      </w:r>
    </w:p>
    <w:p w14:paraId="678B12A3"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蚂蚁的领先是技术壁垒</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四个指标无人能及：拥有的持牌基金种类、AITech支撑的投顾系统、基于用户画像的结构化销售系统、集供应链金融、消费贷为一体的金融全场景入口。这些能力的叠加结果，是其他独立三方在流量竞争这条线路上基本无法追赶。剩下的独立三方要么深耕投顾服务构建差异化，要么甘居末端被挤出百强。天风证券、国都证券在2025年下半年已退出百强，尾部洗牌的信号不容忽视</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w:t>
      </w:r>
    </w:p>
    <w:p w14:paraId="5D56D40D" w14:textId="77777777" w:rsidR="004D3793" w:rsidRDefault="00000000">
      <w:pPr>
        <w:pStyle w:val="2"/>
        <w:widowControl/>
        <w:shd w:val="clear" w:color="auto" w:fill="FFFFFF"/>
        <w:spacing w:before="320" w:beforeAutospacing="0" w:after="160" w:afterAutospacing="0" w:line="320" w:lineRule="atLeast"/>
        <w:ind w:firstLineChars="0" w:firstLine="0"/>
        <w:rPr>
          <w:rFonts w:ascii="Segoe UI" w:eastAsia="Segoe UI" w:hAnsi="Segoe UI" w:cs="Segoe UI" w:hint="default"/>
          <w:color w:val="0F1115"/>
          <w:sz w:val="22"/>
          <w:szCs w:val="22"/>
        </w:rPr>
      </w:pPr>
      <w:r>
        <w:rPr>
          <w:rFonts w:ascii="Segoe UI" w:eastAsia="Segoe UI" w:hAnsi="Segoe UI" w:cs="Segoe UI" w:hint="default"/>
          <w:color w:val="0F1115"/>
          <w:sz w:val="22"/>
          <w:szCs w:val="22"/>
          <w:shd w:val="clear" w:color="auto" w:fill="FFFFFF"/>
        </w:rPr>
        <w:t>三类玩家的结构性分化</w:t>
      </w:r>
    </w:p>
    <w:p w14:paraId="6711D295"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2025年末的三条代销战线，在数据上已经充分暴露了各自被结构锁死的痛处。</w:t>
      </w:r>
    </w:p>
    <w:p w14:paraId="31C8927E"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蚂蚁基金虽然在权益保有量上遥遥领先，但1.02万亿元的权益规模高度依赖于海量用户和低费率策略，用户黏性来自价格而非服务。投顾转型步履维艰，价值迁移路径的不确定性是蚂蚁最大的长期风险。蚂蚁从流量变现转向买方投顾，远比从交易通道转向买方投顾更为艰难。蚂蚁的领先，更偏向规模壁垒而非服务壁垒。</w:t>
      </w:r>
    </w:p>
    <w:p w14:paraId="76A8C8FB"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银行在指数基金上的补课虽然增速亮眼，但14.82%的股指保有占比，与渠道整体40.2%的权益占比并不匹配</w:t>
      </w:r>
      <w:r>
        <w:rPr>
          <w:rFonts w:ascii="Segoe UI" w:hAnsi="Segoe UI" w:cs="Segoe UI" w:hint="eastAsia"/>
          <w:color w:val="0F1115"/>
          <w:sz w:val="16"/>
          <w:szCs w:val="16"/>
          <w:shd w:val="clear" w:color="auto" w:fill="FFFFFF"/>
        </w:rPr>
        <w:t>，</w:t>
      </w:r>
      <w:r>
        <w:rPr>
          <w:rFonts w:ascii="Segoe UI" w:eastAsia="Segoe UI" w:hAnsi="Segoe UI" w:cs="Segoe UI"/>
          <w:color w:val="0F1115"/>
          <w:sz w:val="16"/>
          <w:szCs w:val="16"/>
          <w:shd w:val="clear" w:color="auto" w:fill="FFFFFF"/>
        </w:rPr>
        <w:t>银行基金客群整体风险偏好仍高度集中于固收类产品，产品结构的根本切换需要客户风险偏好的系统性迁移，而非单一行政推动。</w:t>
      </w:r>
    </w:p>
    <w:p w14:paraId="443343E3" w14:textId="77777777" w:rsidR="004D3793" w:rsidRDefault="00000000">
      <w:pPr>
        <w:pStyle w:val="a3"/>
        <w:widowControl/>
        <w:shd w:val="clear" w:color="auto" w:fill="FFFFFF"/>
        <w:spacing w:before="160" w:after="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券商在ETF上的优势，本质上是依赖于交易规则的排他性壁垒，而非投资管理能力的差异化。当ETF费率因市场竞争而进一步压低，当交易所层面推进ETF在银行间市场互联互通，券商的阵地效应将面临松动。57家券商中，非货保有规模不足100亿元的机构不在少数，多数尾部券商实际上在靠有限的ETF交易佣金维持存在感。</w:t>
      </w:r>
    </w:p>
    <w:p w14:paraId="7DC03B4B" w14:textId="77777777" w:rsidR="004D3793" w:rsidRDefault="00000000">
      <w:pPr>
        <w:pStyle w:val="a3"/>
        <w:widowControl/>
        <w:shd w:val="clear" w:color="auto" w:fill="FFFFFF"/>
        <w:spacing w:before="160"/>
        <w:ind w:firstLineChars="0" w:firstLine="0"/>
        <w:rPr>
          <w:rFonts w:ascii="Segoe UI" w:eastAsia="Segoe UI" w:hAnsi="Segoe UI" w:cs="Segoe UI"/>
          <w:color w:val="0F1115"/>
          <w:sz w:val="16"/>
          <w:szCs w:val="16"/>
        </w:rPr>
      </w:pPr>
      <w:r>
        <w:rPr>
          <w:rFonts w:ascii="Segoe UI" w:eastAsia="Segoe UI" w:hAnsi="Segoe UI" w:cs="Segoe UI"/>
          <w:color w:val="0F1115"/>
          <w:sz w:val="16"/>
          <w:szCs w:val="16"/>
          <w:shd w:val="clear" w:color="auto" w:fill="FFFFFF"/>
        </w:rPr>
        <w:t>2025年末，公募基金资产净值37.71万亿元，银行理财33.29万亿元，两者规模差距已拉开至超过4万亿元</w:t>
      </w:r>
      <w:r>
        <w:rPr>
          <w:rFonts w:ascii="Segoe UI" w:eastAsia="Segoe UI" w:hAnsi="Segoe UI" w:cs="Segoe UI"/>
          <w:color w:val="61666B"/>
          <w:sz w:val="11"/>
          <w:szCs w:val="11"/>
          <w:shd w:val="clear" w:color="auto" w:fill="FFFFFF"/>
        </w:rPr>
        <w:t>-</w:t>
      </w:r>
      <w:r>
        <w:rPr>
          <w:rFonts w:ascii="Segoe UI" w:eastAsia="Segoe UI" w:hAnsi="Segoe UI" w:cs="Segoe UI"/>
          <w:color w:val="0F1115"/>
          <w:sz w:val="16"/>
          <w:szCs w:val="16"/>
          <w:shd w:val="clear" w:color="auto" w:fill="FFFFFF"/>
        </w:rPr>
        <w:t>。在这场居民财富从存款向基金+理财大规模迁移的周期中，谁能率先突破各自的致命短板，将是各家机构比拼的核心结论。蚂蚁的规模优势只是流量时代的一段截距，最后的竞争终局是综合能力的终极对决。</w:t>
      </w:r>
    </w:p>
    <w:p w14:paraId="52AFB8A9" w14:textId="77777777" w:rsidR="004D3793" w:rsidRDefault="004D3793">
      <w:pPr>
        <w:ind w:firstLineChars="0" w:firstLine="0"/>
      </w:pPr>
    </w:p>
    <w:sectPr w:rsidR="004D3793">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BB206" w14:textId="77777777" w:rsidR="005E3C81" w:rsidRDefault="005E3C81">
      <w:pPr>
        <w:spacing w:line="240" w:lineRule="auto"/>
        <w:ind w:firstLine="480"/>
      </w:pPr>
      <w:r>
        <w:separator/>
      </w:r>
    </w:p>
  </w:endnote>
  <w:endnote w:type="continuationSeparator" w:id="0">
    <w:p w14:paraId="0D1A8EAB" w14:textId="77777777" w:rsidR="005E3C81" w:rsidRDefault="005E3C8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9D41" w14:textId="77777777" w:rsidR="008A1901" w:rsidRDefault="008A1901">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491E4" w14:textId="77777777" w:rsidR="008A1901" w:rsidRDefault="008A1901">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DDB5" w14:textId="77777777" w:rsidR="008A1901" w:rsidRDefault="008A1901">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C68A" w14:textId="77777777" w:rsidR="005E3C81" w:rsidRDefault="005E3C81">
      <w:pPr>
        <w:spacing w:line="240" w:lineRule="auto"/>
        <w:ind w:firstLine="480"/>
      </w:pPr>
      <w:r>
        <w:separator/>
      </w:r>
    </w:p>
  </w:footnote>
  <w:footnote w:type="continuationSeparator" w:id="0">
    <w:p w14:paraId="6CFFBA00" w14:textId="77777777" w:rsidR="005E3C81" w:rsidRDefault="005E3C8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60070" w14:textId="77777777" w:rsidR="008A1901" w:rsidRDefault="008A1901">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92BF" w14:textId="77777777" w:rsidR="008A1901" w:rsidRDefault="008A1901">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65C47" w14:textId="77777777" w:rsidR="008A1901" w:rsidRDefault="008A1901">
    <w:pPr>
      <w:pStyle w:val="a4"/>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3793"/>
    <w:rsid w:val="004D3793"/>
    <w:rsid w:val="005E3C81"/>
    <w:rsid w:val="00881644"/>
    <w:rsid w:val="008A1901"/>
    <w:rsid w:val="0CC61301"/>
    <w:rsid w:val="0DC63D6E"/>
    <w:rsid w:val="14A76CEE"/>
    <w:rsid w:val="3C3B065F"/>
    <w:rsid w:val="4FF74123"/>
    <w:rsid w:val="53B4661F"/>
    <w:rsid w:val="6A9B7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418B13"/>
  <w15:docId w15:val="{7373C8F9-ABF9-4DAB-8ADA-3A8AD1F6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60" w:lineRule="exact"/>
      <w:ind w:firstLineChars="200" w:firstLine="1441"/>
      <w:jc w:val="both"/>
    </w:pPr>
    <w:rPr>
      <w:kern w:val="2"/>
      <w:sz w:val="24"/>
      <w:szCs w:val="24"/>
    </w:rPr>
  </w:style>
  <w:style w:type="paragraph" w:styleId="1">
    <w:name w:val="heading 1"/>
    <w:basedOn w:val="a"/>
    <w:next w:val="a"/>
    <w:qFormat/>
    <w:pPr>
      <w:spacing w:beforeAutospacing="1" w:afterAutospacing="1"/>
      <w:jc w:val="left"/>
      <w:outlineLvl w:val="0"/>
    </w:pPr>
    <w:rPr>
      <w:rFonts w:ascii="宋体" w:hAnsi="宋体"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tyle>
  <w:style w:type="paragraph" w:customStyle="1" w:styleId="zhengwen">
    <w:name w:val="zhengwen"/>
    <w:basedOn w:val="a"/>
    <w:pPr>
      <w:spacing w:line="360" w:lineRule="auto"/>
    </w:pPr>
    <w:rPr>
      <w:sz w:val="28"/>
    </w:rPr>
  </w:style>
  <w:style w:type="paragraph" w:styleId="a4">
    <w:name w:val="header"/>
    <w:basedOn w:val="a"/>
    <w:link w:val="a5"/>
    <w:rsid w:val="008A1901"/>
    <w:pPr>
      <w:tabs>
        <w:tab w:val="center" w:pos="4153"/>
        <w:tab w:val="right" w:pos="8306"/>
      </w:tabs>
      <w:snapToGrid w:val="0"/>
      <w:spacing w:line="240" w:lineRule="atLeast"/>
      <w:jc w:val="center"/>
    </w:pPr>
    <w:rPr>
      <w:sz w:val="18"/>
      <w:szCs w:val="18"/>
    </w:rPr>
  </w:style>
  <w:style w:type="character" w:customStyle="1" w:styleId="a5">
    <w:name w:val="页眉 字符"/>
    <w:basedOn w:val="a0"/>
    <w:link w:val="a4"/>
    <w:rsid w:val="008A1901"/>
    <w:rPr>
      <w:kern w:val="2"/>
      <w:sz w:val="18"/>
      <w:szCs w:val="18"/>
    </w:rPr>
  </w:style>
  <w:style w:type="paragraph" w:styleId="a6">
    <w:name w:val="footer"/>
    <w:basedOn w:val="a"/>
    <w:link w:val="a7"/>
    <w:rsid w:val="008A1901"/>
    <w:pPr>
      <w:tabs>
        <w:tab w:val="center" w:pos="4153"/>
        <w:tab w:val="right" w:pos="8306"/>
      </w:tabs>
      <w:snapToGrid w:val="0"/>
      <w:spacing w:line="240" w:lineRule="atLeast"/>
      <w:jc w:val="left"/>
    </w:pPr>
    <w:rPr>
      <w:sz w:val="18"/>
      <w:szCs w:val="18"/>
    </w:rPr>
  </w:style>
  <w:style w:type="character" w:customStyle="1" w:styleId="a7">
    <w:name w:val="页脚 字符"/>
    <w:basedOn w:val="a0"/>
    <w:link w:val="a6"/>
    <w:rsid w:val="008A190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2002</Words>
  <Characters>2203</Characters>
  <Application>Microsoft Office Word</Application>
  <DocSecurity>0</DocSecurity>
  <Lines>66</Lines>
  <Paragraphs>71</Paragraphs>
  <ScaleCrop>false</ScaleCrop>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dc:creator>
  <cp:lastModifiedBy>Lv, JianXin (DDC OneTeam)</cp:lastModifiedBy>
  <cp:revision>2</cp:revision>
  <dcterms:created xsi:type="dcterms:W3CDTF">2026-02-13T08:29:00Z</dcterms:created>
  <dcterms:modified xsi:type="dcterms:W3CDTF">2026-05-07T13:49:00Z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CAA3C7ADB96A4F7CB6C1C7335D84CAE9_12</vt:lpwstr>
  </property>
  <property fmtid="{D5CDD505-2E9C-101B-9397-08002B2CF9AE}" pid="4" name="KSOTemplateDocerSaveRecord">
    <vt:lpwstr>eyJoZGlkIjoiYjAzYWJlZjVmY2E1Zjg2ZTU1Y2E2OTQ4YmNlODA1ZjAiLCJ1c2VySWQiOiIxNzAyNjY4ODk4In0=</vt:lpwstr>
  </property>
</Properties>
</file>