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06507A" w14:textId="77777777" w:rsidR="00D45960" w:rsidRDefault="00000000">
      <w:pPr>
        <w:pStyle w:val="1"/>
        <w:widowControl/>
        <w:shd w:val="clear" w:color="auto" w:fill="FFFFFF"/>
        <w:spacing w:beforeAutospacing="0" w:after="160" w:afterAutospacing="0" w:line="340" w:lineRule="atLeast"/>
        <w:ind w:firstLineChars="0" w:firstLine="0"/>
        <w:rPr>
          <w:rFonts w:ascii="Segoe UI" w:eastAsia="Segoe UI" w:hAnsi="Segoe UI" w:cs="Segoe UI" w:hint="default"/>
          <w:color w:val="0F1115"/>
          <w:sz w:val="24"/>
          <w:szCs w:val="24"/>
        </w:rPr>
      </w:pPr>
      <w:r>
        <w:rPr>
          <w:rFonts w:ascii="Segoe UI" w:eastAsia="Segoe UI" w:hAnsi="Segoe UI" w:cs="Segoe UI" w:hint="default"/>
          <w:color w:val="0F1115"/>
          <w:sz w:val="24"/>
          <w:szCs w:val="24"/>
          <w:shd w:val="clear" w:color="auto" w:fill="FFFFFF"/>
        </w:rPr>
        <w:t>银行系公募的冰火两重天</w:t>
      </w:r>
      <w:r>
        <w:rPr>
          <w:rFonts w:ascii="Segoe UI" w:hAnsi="Segoe UI" w:cs="Segoe UI"/>
          <w:color w:val="0F1115"/>
          <w:sz w:val="24"/>
          <w:szCs w:val="24"/>
          <w:shd w:val="clear" w:color="auto" w:fill="FFFFFF"/>
        </w:rPr>
        <w:t>，</w:t>
      </w:r>
      <w:proofErr w:type="gramStart"/>
      <w:r>
        <w:rPr>
          <w:rFonts w:ascii="Segoe UI" w:eastAsia="Segoe UI" w:hAnsi="Segoe UI" w:cs="Segoe UI" w:hint="default"/>
          <w:color w:val="0F1115"/>
          <w:sz w:val="24"/>
          <w:szCs w:val="24"/>
          <w:shd w:val="clear" w:color="auto" w:fill="FFFFFF"/>
        </w:rPr>
        <w:t>工银</w:t>
      </w:r>
      <w:r>
        <w:rPr>
          <w:rFonts w:ascii="Segoe UI" w:hAnsi="Segoe UI" w:cs="Segoe UI"/>
          <w:color w:val="0F1115"/>
          <w:sz w:val="24"/>
          <w:szCs w:val="24"/>
          <w:shd w:val="clear" w:color="auto" w:fill="FFFFFF"/>
        </w:rPr>
        <w:t>瑞信</w:t>
      </w:r>
      <w:proofErr w:type="gramEnd"/>
      <w:r>
        <w:rPr>
          <w:rFonts w:ascii="Segoe UI" w:eastAsia="Segoe UI" w:hAnsi="Segoe UI" w:cs="Segoe UI" w:hint="default"/>
          <w:color w:val="0F1115"/>
          <w:sz w:val="24"/>
          <w:szCs w:val="24"/>
          <w:shd w:val="clear" w:color="auto" w:fill="FFFFFF"/>
        </w:rPr>
        <w:t>跻身第二</w:t>
      </w:r>
      <w:r>
        <w:rPr>
          <w:rFonts w:ascii="Segoe UI" w:hAnsi="Segoe UI" w:cs="Segoe UI"/>
          <w:color w:val="0F1115"/>
          <w:sz w:val="24"/>
          <w:szCs w:val="24"/>
          <w:shd w:val="clear" w:color="auto" w:fill="FFFFFF"/>
        </w:rPr>
        <w:t>、</w:t>
      </w:r>
      <w:r>
        <w:rPr>
          <w:rFonts w:ascii="Segoe UI" w:eastAsia="Segoe UI" w:hAnsi="Segoe UI" w:cs="Segoe UI" w:hint="default"/>
          <w:color w:val="0F1115"/>
          <w:sz w:val="24"/>
          <w:szCs w:val="24"/>
          <w:shd w:val="clear" w:color="auto" w:fill="FFFFFF"/>
        </w:rPr>
        <w:t>交银施罗德连降四年</w:t>
      </w:r>
    </w:p>
    <w:p w14:paraId="6E4A2CD6" w14:textId="77777777" w:rsidR="00D45960" w:rsidRDefault="00000000">
      <w:pPr>
        <w:pStyle w:val="a3"/>
        <w:widowControl/>
        <w:shd w:val="clear" w:color="auto" w:fill="FFFFFF"/>
        <w:spacing w:before="160" w:after="160"/>
        <w:ind w:firstLineChars="0" w:firstLine="0"/>
        <w:rPr>
          <w:rFonts w:ascii="Segoe UI" w:eastAsia="Segoe UI" w:hAnsi="Segoe UI" w:cs="Segoe UI"/>
          <w:color w:val="0F1115"/>
          <w:sz w:val="16"/>
          <w:szCs w:val="16"/>
        </w:rPr>
      </w:pPr>
      <w:r>
        <w:rPr>
          <w:rFonts w:ascii="Segoe UI" w:eastAsia="Segoe UI" w:hAnsi="Segoe UI" w:cs="Segoe UI"/>
          <w:color w:val="0F1115"/>
          <w:sz w:val="16"/>
          <w:szCs w:val="16"/>
          <w:shd w:val="clear" w:color="auto" w:fill="FFFFFF"/>
        </w:rPr>
        <w:t>2025年的银行系公</w:t>
      </w:r>
      <w:proofErr w:type="gramStart"/>
      <w:r>
        <w:rPr>
          <w:rFonts w:ascii="Segoe UI" w:eastAsia="Segoe UI" w:hAnsi="Segoe UI" w:cs="Segoe UI"/>
          <w:color w:val="0F1115"/>
          <w:sz w:val="16"/>
          <w:szCs w:val="16"/>
          <w:shd w:val="clear" w:color="auto" w:fill="FFFFFF"/>
        </w:rPr>
        <w:t>募基金</w:t>
      </w:r>
      <w:proofErr w:type="gramEnd"/>
      <w:r>
        <w:rPr>
          <w:rFonts w:ascii="Segoe UI" w:eastAsia="Segoe UI" w:hAnsi="Segoe UI" w:cs="Segoe UI"/>
          <w:color w:val="0F1115"/>
          <w:sz w:val="16"/>
          <w:szCs w:val="16"/>
          <w:shd w:val="clear" w:color="auto" w:fill="FFFFFF"/>
        </w:rPr>
        <w:t>年报中，一条从未被如此清晰勾勒的分化曲线正式浮出水面。</w:t>
      </w:r>
    </w:p>
    <w:p w14:paraId="2EA709C0" w14:textId="0C8E9046" w:rsidR="00D45960" w:rsidRDefault="00000000">
      <w:pPr>
        <w:pStyle w:val="a3"/>
        <w:widowControl/>
        <w:shd w:val="clear" w:color="auto" w:fill="FFFFFF"/>
        <w:spacing w:before="160" w:after="160"/>
        <w:ind w:firstLineChars="0" w:firstLine="0"/>
        <w:rPr>
          <w:rFonts w:ascii="Segoe UI" w:eastAsia="Segoe UI" w:hAnsi="Segoe UI" w:cs="Segoe UI"/>
          <w:color w:val="0F1115"/>
          <w:sz w:val="16"/>
          <w:szCs w:val="16"/>
          <w:shd w:val="clear" w:color="auto" w:fill="FFFFFF"/>
        </w:rPr>
      </w:pPr>
      <w:proofErr w:type="gramStart"/>
      <w:r>
        <w:rPr>
          <w:rFonts w:ascii="Segoe UI" w:eastAsia="Segoe UI" w:hAnsi="Segoe UI" w:cs="Segoe UI"/>
          <w:color w:val="0F1115"/>
          <w:sz w:val="16"/>
          <w:szCs w:val="16"/>
          <w:shd w:val="clear" w:color="auto" w:fill="FFFFFF"/>
        </w:rPr>
        <w:t>工银瑞信</w:t>
      </w:r>
      <w:proofErr w:type="gramEnd"/>
      <w:r>
        <w:rPr>
          <w:rFonts w:ascii="Segoe UI" w:eastAsia="Segoe UI" w:hAnsi="Segoe UI" w:cs="Segoe UI"/>
          <w:color w:val="0F1115"/>
          <w:sz w:val="16"/>
          <w:szCs w:val="16"/>
          <w:shd w:val="clear" w:color="auto" w:fill="FFFFFF"/>
        </w:rPr>
        <w:t>基金净利润从21.10亿元飙升至30.07亿元，同比增幅高达42.51%，净利润规模仅次于易方达基金，跃居全行业第二位。而同一张榜单上，交银施罗德基金净利润从8.79亿元降至7.65亿元，同比下滑12.97%，这已是该机构连续第四年净利润下滑，行业排名从第21名滑落4位至第25名。</w:t>
      </w:r>
    </w:p>
    <w:p w14:paraId="592DD5E7" w14:textId="4B8C97D4" w:rsidR="00D45960" w:rsidRDefault="00000000">
      <w:pPr>
        <w:pStyle w:val="a3"/>
        <w:widowControl/>
        <w:shd w:val="clear" w:color="auto" w:fill="FFFFFF"/>
        <w:spacing w:before="160" w:after="160"/>
        <w:ind w:firstLineChars="0" w:firstLine="0"/>
        <w:rPr>
          <w:rFonts w:ascii="Segoe UI" w:eastAsia="Segoe UI" w:hAnsi="Segoe UI" w:cs="Segoe UI"/>
          <w:color w:val="0F1115"/>
          <w:sz w:val="16"/>
          <w:szCs w:val="16"/>
        </w:rPr>
      </w:pPr>
      <w:r>
        <w:rPr>
          <w:rFonts w:ascii="Segoe UI" w:eastAsia="Segoe UI" w:hAnsi="Segoe UI" w:cs="Segoe UI"/>
          <w:color w:val="0F1115"/>
          <w:sz w:val="16"/>
          <w:szCs w:val="16"/>
          <w:shd w:val="clear" w:color="auto" w:fill="FFFFFF"/>
        </w:rPr>
        <w:t>兴业基金实现营业收入15.23亿元，同比增长23.15%，净利润5.12亿元，同比增长20.33%，是少有的营收与净利双增超20%的银行系公</w:t>
      </w:r>
      <w:proofErr w:type="gramStart"/>
      <w:r>
        <w:rPr>
          <w:rFonts w:ascii="Segoe UI" w:eastAsia="Segoe UI" w:hAnsi="Segoe UI" w:cs="Segoe UI"/>
          <w:color w:val="0F1115"/>
          <w:sz w:val="16"/>
          <w:szCs w:val="16"/>
          <w:shd w:val="clear" w:color="auto" w:fill="FFFFFF"/>
        </w:rPr>
        <w:t>募</w:t>
      </w:r>
      <w:proofErr w:type="gramEnd"/>
      <w:r>
        <w:rPr>
          <w:rFonts w:ascii="Segoe UI" w:eastAsia="Segoe UI" w:hAnsi="Segoe UI" w:cs="Segoe UI"/>
          <w:color w:val="0F1115"/>
          <w:sz w:val="16"/>
          <w:szCs w:val="16"/>
          <w:shd w:val="clear" w:color="auto" w:fill="FFFFFF"/>
        </w:rPr>
        <w:t>。</w:t>
      </w:r>
      <w:proofErr w:type="gramStart"/>
      <w:r>
        <w:rPr>
          <w:rFonts w:ascii="Segoe UI" w:eastAsia="Segoe UI" w:hAnsi="Segoe UI" w:cs="Segoe UI"/>
          <w:color w:val="0F1115"/>
          <w:sz w:val="16"/>
          <w:szCs w:val="16"/>
          <w:shd w:val="clear" w:color="auto" w:fill="FFFFFF"/>
        </w:rPr>
        <w:t>永赢基金</w:t>
      </w:r>
      <w:proofErr w:type="gramEnd"/>
      <w:r>
        <w:rPr>
          <w:rFonts w:ascii="Segoe UI" w:eastAsia="Segoe UI" w:hAnsi="Segoe UI" w:cs="Segoe UI"/>
          <w:color w:val="0F1115"/>
          <w:sz w:val="16"/>
          <w:szCs w:val="16"/>
          <w:shd w:val="clear" w:color="auto" w:fill="FFFFFF"/>
        </w:rPr>
        <w:t>营收23.75亿元，同比暴增74.25%，净利润6.02亿元，同比暴涨136.08%。建信基金资产管理规模高达1.53</w:t>
      </w:r>
      <w:proofErr w:type="gramStart"/>
      <w:r>
        <w:rPr>
          <w:rFonts w:ascii="Segoe UI" w:eastAsia="Segoe UI" w:hAnsi="Segoe UI" w:cs="Segoe UI"/>
          <w:color w:val="0F1115"/>
          <w:sz w:val="16"/>
          <w:szCs w:val="16"/>
          <w:shd w:val="clear" w:color="auto" w:fill="FFFFFF"/>
        </w:rPr>
        <w:t>万亿</w:t>
      </w:r>
      <w:proofErr w:type="gramEnd"/>
      <w:r>
        <w:rPr>
          <w:rFonts w:ascii="Segoe UI" w:eastAsia="Segoe UI" w:hAnsi="Segoe UI" w:cs="Segoe UI"/>
          <w:color w:val="0F1115"/>
          <w:sz w:val="16"/>
          <w:szCs w:val="16"/>
          <w:shd w:val="clear" w:color="auto" w:fill="FFFFFF"/>
        </w:rPr>
        <w:t>元，但全年净利润仅8.69亿元，同比增长2.96%，盈利效率（净利润/管理规模）仅0.057%，在银行系公募中处于低位。</w:t>
      </w:r>
    </w:p>
    <w:p w14:paraId="4E73DFE0" w14:textId="6BA9725C" w:rsidR="00D45960" w:rsidRDefault="00000000">
      <w:pPr>
        <w:pStyle w:val="a3"/>
        <w:widowControl/>
        <w:shd w:val="clear" w:color="auto" w:fill="FFFFFF"/>
        <w:spacing w:before="160" w:after="160"/>
        <w:ind w:firstLineChars="0" w:firstLine="0"/>
        <w:rPr>
          <w:rFonts w:ascii="Segoe UI" w:eastAsia="Segoe UI" w:hAnsi="Segoe UI" w:cs="Segoe UI"/>
          <w:color w:val="0F1115"/>
          <w:sz w:val="16"/>
          <w:szCs w:val="16"/>
        </w:rPr>
      </w:pPr>
      <w:r>
        <w:rPr>
          <w:rFonts w:ascii="Segoe UI" w:eastAsia="Segoe UI" w:hAnsi="Segoe UI" w:cs="Segoe UI"/>
          <w:color w:val="0F1115"/>
          <w:sz w:val="16"/>
          <w:szCs w:val="16"/>
          <w:shd w:val="clear" w:color="auto" w:fill="FFFFFF"/>
        </w:rPr>
        <w:t>同样是背靠国有大行或头部股份行的渠道和资本优势，同一套母行代销+</w:t>
      </w:r>
      <w:proofErr w:type="gramStart"/>
      <w:r>
        <w:rPr>
          <w:rFonts w:ascii="Segoe UI" w:eastAsia="Segoe UI" w:hAnsi="Segoe UI" w:cs="Segoe UI"/>
          <w:color w:val="0F1115"/>
          <w:sz w:val="16"/>
          <w:szCs w:val="16"/>
          <w:shd w:val="clear" w:color="auto" w:fill="FFFFFF"/>
        </w:rPr>
        <w:t>固收打底</w:t>
      </w:r>
      <w:proofErr w:type="gramEnd"/>
      <w:r>
        <w:rPr>
          <w:rFonts w:ascii="Segoe UI" w:eastAsia="Segoe UI" w:hAnsi="Segoe UI" w:cs="Segoe UI"/>
          <w:color w:val="0F1115"/>
          <w:sz w:val="16"/>
          <w:szCs w:val="16"/>
          <w:shd w:val="clear" w:color="auto" w:fill="FFFFFF"/>
        </w:rPr>
        <w:t>的商业模式，为何净利润增速出现了从+136.08%到12.97%的巨大裂谷？拆开每一家机构的产品结构和盈利模型，差异化路径远比银行系三个字所暗示的统一标签更为复杂。</w:t>
      </w:r>
    </w:p>
    <w:p w14:paraId="4E606FDD" w14:textId="77777777" w:rsidR="00D45960" w:rsidRDefault="00000000">
      <w:pPr>
        <w:pStyle w:val="2"/>
        <w:widowControl/>
        <w:shd w:val="clear" w:color="auto" w:fill="FFFFFF"/>
        <w:spacing w:before="320" w:beforeAutospacing="0" w:after="160" w:afterAutospacing="0" w:line="320" w:lineRule="atLeast"/>
        <w:ind w:firstLineChars="0" w:firstLine="0"/>
        <w:rPr>
          <w:rFonts w:ascii="Segoe UI" w:hAnsi="Segoe UI" w:cs="Segoe UI" w:hint="default"/>
          <w:color w:val="0F1115"/>
          <w:sz w:val="22"/>
          <w:szCs w:val="22"/>
        </w:rPr>
      </w:pPr>
      <w:r>
        <w:rPr>
          <w:rFonts w:ascii="Segoe UI" w:eastAsia="Segoe UI" w:hAnsi="Segoe UI" w:cs="Segoe UI" w:hint="default"/>
          <w:color w:val="0F1115"/>
          <w:sz w:val="22"/>
          <w:szCs w:val="22"/>
          <w:shd w:val="clear" w:color="auto" w:fill="FFFFFF"/>
        </w:rPr>
        <w:t>十家银行系公募的利润金字塔</w:t>
      </w:r>
    </w:p>
    <w:tbl>
      <w:tblPr>
        <w:tblW w:w="0" w:type="auto"/>
        <w:tblCellMar>
          <w:top w:w="15" w:type="dxa"/>
          <w:left w:w="15" w:type="dxa"/>
          <w:bottom w:w="15" w:type="dxa"/>
          <w:right w:w="15" w:type="dxa"/>
        </w:tblCellMar>
        <w:tblLook w:val="04A0" w:firstRow="1" w:lastRow="0" w:firstColumn="1" w:lastColumn="0" w:noHBand="0" w:noVBand="1"/>
      </w:tblPr>
      <w:tblGrid>
        <w:gridCol w:w="1210"/>
        <w:gridCol w:w="920"/>
        <w:gridCol w:w="1884"/>
        <w:gridCol w:w="983"/>
        <w:gridCol w:w="1220"/>
      </w:tblGrid>
      <w:tr w:rsidR="00D45960" w14:paraId="5725FF03" w14:textId="77777777">
        <w:trPr>
          <w:tblHeader/>
        </w:trPr>
        <w:tc>
          <w:tcPr>
            <w:tcW w:w="0" w:type="auto"/>
            <w:tcBorders>
              <w:top w:val="nil"/>
            </w:tcBorders>
            <w:tcMar>
              <w:top w:w="100" w:type="dxa"/>
              <w:left w:w="0" w:type="dxa"/>
              <w:bottom w:w="100" w:type="dxa"/>
              <w:right w:w="160" w:type="dxa"/>
            </w:tcMar>
            <w:vAlign w:val="center"/>
          </w:tcPr>
          <w:p w14:paraId="64B042CE" w14:textId="77777777" w:rsidR="00D45960" w:rsidRDefault="00000000">
            <w:pPr>
              <w:widowControl/>
              <w:spacing w:line="250" w:lineRule="atLeast"/>
              <w:ind w:firstLineChars="0" w:firstLine="0"/>
              <w:jc w:val="left"/>
              <w:rPr>
                <w:rFonts w:ascii="Segoe UI" w:eastAsia="Segoe UI" w:hAnsi="Segoe UI" w:cs="Segoe UI"/>
                <w:sz w:val="15"/>
                <w:szCs w:val="15"/>
              </w:rPr>
            </w:pPr>
            <w:r>
              <w:rPr>
                <w:rFonts w:ascii="Segoe UI" w:eastAsia="Segoe UI" w:hAnsi="Segoe UI" w:cs="Segoe UI"/>
                <w:kern w:val="0"/>
                <w:sz w:val="15"/>
                <w:szCs w:val="15"/>
                <w:lang w:bidi="ar"/>
              </w:rPr>
              <w:t>银行系公募</w:t>
            </w:r>
          </w:p>
        </w:tc>
        <w:tc>
          <w:tcPr>
            <w:tcW w:w="0" w:type="auto"/>
            <w:tcBorders>
              <w:top w:val="nil"/>
            </w:tcBorders>
            <w:tcMar>
              <w:top w:w="100" w:type="dxa"/>
              <w:left w:w="160" w:type="dxa"/>
              <w:bottom w:w="100" w:type="dxa"/>
              <w:right w:w="160" w:type="dxa"/>
            </w:tcMar>
            <w:vAlign w:val="center"/>
          </w:tcPr>
          <w:p w14:paraId="58FFCAA7" w14:textId="77777777" w:rsidR="00D45960" w:rsidRDefault="00000000">
            <w:pPr>
              <w:widowControl/>
              <w:spacing w:line="250" w:lineRule="atLeast"/>
              <w:ind w:firstLineChars="0" w:firstLine="0"/>
              <w:jc w:val="left"/>
              <w:rPr>
                <w:rFonts w:ascii="Segoe UI" w:eastAsia="Segoe UI" w:hAnsi="Segoe UI" w:cs="Segoe UI"/>
                <w:sz w:val="15"/>
                <w:szCs w:val="15"/>
              </w:rPr>
            </w:pPr>
            <w:r>
              <w:rPr>
                <w:rFonts w:ascii="Segoe UI" w:eastAsia="Segoe UI" w:hAnsi="Segoe UI" w:cs="Segoe UI"/>
                <w:kern w:val="0"/>
                <w:sz w:val="15"/>
                <w:szCs w:val="15"/>
                <w:lang w:bidi="ar"/>
              </w:rPr>
              <w:t>股东银行</w:t>
            </w:r>
          </w:p>
        </w:tc>
        <w:tc>
          <w:tcPr>
            <w:tcW w:w="0" w:type="auto"/>
            <w:tcBorders>
              <w:top w:val="nil"/>
            </w:tcBorders>
            <w:tcMar>
              <w:top w:w="100" w:type="dxa"/>
              <w:left w:w="160" w:type="dxa"/>
              <w:bottom w:w="100" w:type="dxa"/>
              <w:right w:w="160" w:type="dxa"/>
            </w:tcMar>
            <w:vAlign w:val="center"/>
          </w:tcPr>
          <w:p w14:paraId="680E3F22" w14:textId="77777777" w:rsidR="00D45960" w:rsidRDefault="00000000">
            <w:pPr>
              <w:widowControl/>
              <w:spacing w:line="250" w:lineRule="atLeast"/>
              <w:ind w:firstLineChars="0" w:firstLine="0"/>
              <w:jc w:val="left"/>
              <w:rPr>
                <w:rFonts w:ascii="Segoe UI" w:eastAsia="Segoe UI" w:hAnsi="Segoe UI" w:cs="Segoe UI"/>
                <w:sz w:val="15"/>
                <w:szCs w:val="15"/>
              </w:rPr>
            </w:pPr>
            <w:r>
              <w:rPr>
                <w:rFonts w:ascii="Segoe UI" w:eastAsia="Segoe UI" w:hAnsi="Segoe UI" w:cs="Segoe UI"/>
                <w:kern w:val="0"/>
                <w:sz w:val="15"/>
                <w:szCs w:val="15"/>
                <w:lang w:bidi="ar"/>
              </w:rPr>
              <w:t>2025年净利润（亿元）</w:t>
            </w:r>
          </w:p>
        </w:tc>
        <w:tc>
          <w:tcPr>
            <w:tcW w:w="0" w:type="auto"/>
            <w:tcBorders>
              <w:top w:val="nil"/>
            </w:tcBorders>
            <w:tcMar>
              <w:top w:w="100" w:type="dxa"/>
              <w:left w:w="160" w:type="dxa"/>
              <w:bottom w:w="100" w:type="dxa"/>
              <w:right w:w="160" w:type="dxa"/>
            </w:tcMar>
            <w:vAlign w:val="center"/>
          </w:tcPr>
          <w:p w14:paraId="0598ECB9" w14:textId="77777777" w:rsidR="00D45960" w:rsidRDefault="00000000">
            <w:pPr>
              <w:widowControl/>
              <w:spacing w:line="250" w:lineRule="atLeast"/>
              <w:ind w:firstLineChars="0" w:firstLine="0"/>
              <w:jc w:val="left"/>
              <w:rPr>
                <w:rFonts w:ascii="Segoe UI" w:eastAsia="Segoe UI" w:hAnsi="Segoe UI" w:cs="Segoe UI"/>
                <w:sz w:val="15"/>
                <w:szCs w:val="15"/>
              </w:rPr>
            </w:pPr>
            <w:r>
              <w:rPr>
                <w:rFonts w:ascii="Segoe UI" w:eastAsia="Segoe UI" w:hAnsi="Segoe UI" w:cs="Segoe UI"/>
                <w:kern w:val="0"/>
                <w:sz w:val="15"/>
                <w:szCs w:val="15"/>
                <w:lang w:bidi="ar"/>
              </w:rPr>
              <w:t>同比增速</w:t>
            </w:r>
          </w:p>
        </w:tc>
        <w:tc>
          <w:tcPr>
            <w:tcW w:w="0" w:type="auto"/>
            <w:tcBorders>
              <w:top w:val="nil"/>
            </w:tcBorders>
            <w:tcMar>
              <w:top w:w="100" w:type="dxa"/>
              <w:left w:w="160" w:type="dxa"/>
              <w:bottom w:w="100" w:type="dxa"/>
              <w:right w:w="160" w:type="dxa"/>
            </w:tcMar>
            <w:vAlign w:val="center"/>
          </w:tcPr>
          <w:p w14:paraId="56BE21DD" w14:textId="77777777" w:rsidR="00D45960" w:rsidRDefault="00000000">
            <w:pPr>
              <w:widowControl/>
              <w:spacing w:line="250" w:lineRule="atLeast"/>
              <w:ind w:firstLineChars="0" w:firstLine="0"/>
              <w:jc w:val="left"/>
              <w:rPr>
                <w:rFonts w:ascii="Segoe UI" w:eastAsia="Segoe UI" w:hAnsi="Segoe UI" w:cs="Segoe UI"/>
                <w:sz w:val="15"/>
                <w:szCs w:val="15"/>
              </w:rPr>
            </w:pPr>
            <w:r>
              <w:rPr>
                <w:rFonts w:ascii="Segoe UI" w:eastAsia="Segoe UI" w:hAnsi="Segoe UI" w:cs="Segoe UI"/>
                <w:kern w:val="0"/>
                <w:sz w:val="15"/>
                <w:szCs w:val="15"/>
                <w:lang w:bidi="ar"/>
              </w:rPr>
              <w:t>公</w:t>
            </w:r>
            <w:proofErr w:type="gramStart"/>
            <w:r>
              <w:rPr>
                <w:rFonts w:ascii="Segoe UI" w:eastAsia="Segoe UI" w:hAnsi="Segoe UI" w:cs="Segoe UI"/>
                <w:kern w:val="0"/>
                <w:sz w:val="15"/>
                <w:szCs w:val="15"/>
                <w:lang w:bidi="ar"/>
              </w:rPr>
              <w:t>募管理</w:t>
            </w:r>
            <w:proofErr w:type="gramEnd"/>
            <w:r>
              <w:rPr>
                <w:rFonts w:ascii="Segoe UI" w:eastAsia="Segoe UI" w:hAnsi="Segoe UI" w:cs="Segoe UI"/>
                <w:kern w:val="0"/>
                <w:sz w:val="15"/>
                <w:szCs w:val="15"/>
                <w:lang w:bidi="ar"/>
              </w:rPr>
              <w:t>规模</w:t>
            </w:r>
          </w:p>
        </w:tc>
      </w:tr>
      <w:tr w:rsidR="00D45960" w14:paraId="5607ECA1" w14:textId="77777777">
        <w:tc>
          <w:tcPr>
            <w:tcW w:w="0" w:type="auto"/>
            <w:tcMar>
              <w:top w:w="100" w:type="dxa"/>
              <w:left w:w="0" w:type="dxa"/>
              <w:bottom w:w="100" w:type="dxa"/>
              <w:right w:w="160" w:type="dxa"/>
            </w:tcMar>
            <w:vAlign w:val="center"/>
          </w:tcPr>
          <w:p w14:paraId="67B50D39" w14:textId="77777777" w:rsidR="00D45960" w:rsidRDefault="00000000">
            <w:pPr>
              <w:widowControl/>
              <w:spacing w:line="250" w:lineRule="atLeast"/>
              <w:ind w:firstLineChars="0" w:firstLine="0"/>
              <w:jc w:val="left"/>
              <w:rPr>
                <w:rFonts w:ascii="Segoe UI" w:eastAsia="Segoe UI" w:hAnsi="Segoe UI" w:cs="Segoe UI"/>
                <w:sz w:val="15"/>
                <w:szCs w:val="15"/>
              </w:rPr>
            </w:pPr>
            <w:proofErr w:type="gramStart"/>
            <w:r>
              <w:rPr>
                <w:rFonts w:ascii="Segoe UI" w:eastAsia="Segoe UI" w:hAnsi="Segoe UI" w:cs="Segoe UI"/>
                <w:kern w:val="0"/>
                <w:sz w:val="15"/>
                <w:szCs w:val="15"/>
                <w:lang w:bidi="ar"/>
              </w:rPr>
              <w:t>工银瑞信</w:t>
            </w:r>
            <w:proofErr w:type="gramEnd"/>
            <w:r>
              <w:rPr>
                <w:rFonts w:ascii="Segoe UI" w:eastAsia="Segoe UI" w:hAnsi="Segoe UI" w:cs="Segoe UI"/>
                <w:kern w:val="0"/>
                <w:sz w:val="15"/>
                <w:szCs w:val="15"/>
                <w:lang w:bidi="ar"/>
              </w:rPr>
              <w:t>基金</w:t>
            </w:r>
          </w:p>
        </w:tc>
        <w:tc>
          <w:tcPr>
            <w:tcW w:w="0" w:type="auto"/>
            <w:tcMar>
              <w:top w:w="100" w:type="dxa"/>
              <w:left w:w="160" w:type="dxa"/>
              <w:bottom w:w="100" w:type="dxa"/>
              <w:right w:w="160" w:type="dxa"/>
            </w:tcMar>
            <w:vAlign w:val="center"/>
          </w:tcPr>
          <w:p w14:paraId="27C93C91" w14:textId="77777777" w:rsidR="00D45960" w:rsidRDefault="00000000">
            <w:pPr>
              <w:widowControl/>
              <w:spacing w:line="250" w:lineRule="atLeast"/>
              <w:ind w:firstLineChars="0" w:firstLine="0"/>
              <w:jc w:val="left"/>
              <w:rPr>
                <w:rFonts w:ascii="Segoe UI" w:eastAsia="Segoe UI" w:hAnsi="Segoe UI" w:cs="Segoe UI"/>
                <w:sz w:val="15"/>
                <w:szCs w:val="15"/>
              </w:rPr>
            </w:pPr>
            <w:r>
              <w:rPr>
                <w:rFonts w:ascii="Segoe UI" w:eastAsia="Segoe UI" w:hAnsi="Segoe UI" w:cs="Segoe UI"/>
                <w:kern w:val="0"/>
                <w:sz w:val="15"/>
                <w:szCs w:val="15"/>
                <w:lang w:bidi="ar"/>
              </w:rPr>
              <w:t>工商银行</w:t>
            </w:r>
          </w:p>
        </w:tc>
        <w:tc>
          <w:tcPr>
            <w:tcW w:w="0" w:type="auto"/>
            <w:tcMar>
              <w:top w:w="100" w:type="dxa"/>
              <w:left w:w="160" w:type="dxa"/>
              <w:bottom w:w="100" w:type="dxa"/>
              <w:right w:w="160" w:type="dxa"/>
            </w:tcMar>
            <w:vAlign w:val="center"/>
          </w:tcPr>
          <w:p w14:paraId="6E255FFD" w14:textId="77777777" w:rsidR="00D45960" w:rsidRDefault="00000000">
            <w:pPr>
              <w:widowControl/>
              <w:spacing w:line="250" w:lineRule="atLeast"/>
              <w:ind w:firstLineChars="0" w:firstLine="0"/>
              <w:jc w:val="left"/>
              <w:rPr>
                <w:rFonts w:ascii="Segoe UI" w:eastAsia="Segoe UI" w:hAnsi="Segoe UI" w:cs="Segoe UI"/>
                <w:sz w:val="15"/>
                <w:szCs w:val="15"/>
              </w:rPr>
            </w:pPr>
            <w:r>
              <w:rPr>
                <w:rFonts w:ascii="Segoe UI" w:eastAsia="Segoe UI" w:hAnsi="Segoe UI" w:cs="Segoe UI"/>
                <w:kern w:val="0"/>
                <w:sz w:val="15"/>
                <w:szCs w:val="15"/>
                <w:lang w:bidi="ar"/>
              </w:rPr>
              <w:t>30.07</w:t>
            </w:r>
          </w:p>
        </w:tc>
        <w:tc>
          <w:tcPr>
            <w:tcW w:w="0" w:type="auto"/>
            <w:tcMar>
              <w:top w:w="100" w:type="dxa"/>
              <w:left w:w="160" w:type="dxa"/>
              <w:bottom w:w="100" w:type="dxa"/>
              <w:right w:w="160" w:type="dxa"/>
            </w:tcMar>
            <w:vAlign w:val="center"/>
          </w:tcPr>
          <w:p w14:paraId="2AE05A88" w14:textId="77777777" w:rsidR="00D45960" w:rsidRDefault="00000000">
            <w:pPr>
              <w:widowControl/>
              <w:spacing w:line="250" w:lineRule="atLeast"/>
              <w:ind w:firstLineChars="0" w:firstLine="0"/>
              <w:jc w:val="left"/>
              <w:rPr>
                <w:rFonts w:ascii="Segoe UI" w:eastAsia="Segoe UI" w:hAnsi="Segoe UI" w:cs="Segoe UI"/>
                <w:sz w:val="15"/>
                <w:szCs w:val="15"/>
              </w:rPr>
            </w:pPr>
            <w:r>
              <w:rPr>
                <w:rFonts w:ascii="Segoe UI" w:eastAsia="Segoe UI" w:hAnsi="Segoe UI" w:cs="Segoe UI"/>
                <w:kern w:val="0"/>
                <w:sz w:val="15"/>
                <w:szCs w:val="15"/>
                <w:lang w:bidi="ar"/>
              </w:rPr>
              <w:t>+42.51%</w:t>
            </w:r>
          </w:p>
        </w:tc>
        <w:tc>
          <w:tcPr>
            <w:tcW w:w="0" w:type="auto"/>
            <w:tcMar>
              <w:top w:w="100" w:type="dxa"/>
              <w:left w:w="160" w:type="dxa"/>
              <w:bottom w:w="100" w:type="dxa"/>
              <w:right w:w="0" w:type="dxa"/>
            </w:tcMar>
            <w:vAlign w:val="center"/>
          </w:tcPr>
          <w:p w14:paraId="7BFDE35A" w14:textId="77777777" w:rsidR="00D45960" w:rsidRDefault="00000000">
            <w:pPr>
              <w:widowControl/>
              <w:spacing w:line="250" w:lineRule="atLeast"/>
              <w:ind w:firstLineChars="0" w:firstLine="0"/>
              <w:jc w:val="left"/>
              <w:rPr>
                <w:rFonts w:ascii="Segoe UI" w:eastAsia="Segoe UI" w:hAnsi="Segoe UI" w:cs="Segoe UI"/>
                <w:sz w:val="15"/>
                <w:szCs w:val="15"/>
              </w:rPr>
            </w:pPr>
            <w:r>
              <w:rPr>
                <w:rFonts w:ascii="Segoe UI" w:eastAsia="Segoe UI" w:hAnsi="Segoe UI" w:cs="Segoe UI"/>
                <w:kern w:val="0"/>
                <w:sz w:val="15"/>
                <w:szCs w:val="15"/>
                <w:lang w:bidi="ar"/>
              </w:rPr>
              <w:t>约9067亿元</w:t>
            </w:r>
          </w:p>
        </w:tc>
      </w:tr>
      <w:tr w:rsidR="00D45960" w14:paraId="6378DA6D" w14:textId="77777777">
        <w:tc>
          <w:tcPr>
            <w:tcW w:w="0" w:type="auto"/>
            <w:tcMar>
              <w:top w:w="100" w:type="dxa"/>
              <w:left w:w="0" w:type="dxa"/>
              <w:bottom w:w="100" w:type="dxa"/>
              <w:right w:w="160" w:type="dxa"/>
            </w:tcMar>
            <w:vAlign w:val="center"/>
          </w:tcPr>
          <w:p w14:paraId="090DBCED" w14:textId="77777777" w:rsidR="00D45960" w:rsidRDefault="00000000">
            <w:pPr>
              <w:widowControl/>
              <w:spacing w:line="250" w:lineRule="atLeast"/>
              <w:ind w:firstLineChars="0" w:firstLine="0"/>
              <w:jc w:val="left"/>
              <w:rPr>
                <w:rFonts w:ascii="Segoe UI" w:eastAsia="Segoe UI" w:hAnsi="Segoe UI" w:cs="Segoe UI"/>
                <w:sz w:val="15"/>
                <w:szCs w:val="15"/>
              </w:rPr>
            </w:pPr>
            <w:r>
              <w:rPr>
                <w:rFonts w:ascii="Segoe UI" w:eastAsia="Segoe UI" w:hAnsi="Segoe UI" w:cs="Segoe UI"/>
                <w:kern w:val="0"/>
                <w:sz w:val="15"/>
                <w:szCs w:val="15"/>
                <w:lang w:bidi="ar"/>
              </w:rPr>
              <w:t>招商基金</w:t>
            </w:r>
          </w:p>
        </w:tc>
        <w:tc>
          <w:tcPr>
            <w:tcW w:w="0" w:type="auto"/>
            <w:tcMar>
              <w:top w:w="100" w:type="dxa"/>
              <w:left w:w="160" w:type="dxa"/>
              <w:bottom w:w="100" w:type="dxa"/>
              <w:right w:w="160" w:type="dxa"/>
            </w:tcMar>
            <w:vAlign w:val="center"/>
          </w:tcPr>
          <w:p w14:paraId="6F157ACE" w14:textId="77777777" w:rsidR="00D45960" w:rsidRDefault="00000000">
            <w:pPr>
              <w:widowControl/>
              <w:spacing w:line="250" w:lineRule="atLeast"/>
              <w:ind w:firstLineChars="0" w:firstLine="0"/>
              <w:jc w:val="left"/>
              <w:rPr>
                <w:rFonts w:ascii="Segoe UI" w:eastAsia="Segoe UI" w:hAnsi="Segoe UI" w:cs="Segoe UI"/>
                <w:sz w:val="15"/>
                <w:szCs w:val="15"/>
              </w:rPr>
            </w:pPr>
            <w:r>
              <w:rPr>
                <w:rFonts w:ascii="Segoe UI" w:eastAsia="Segoe UI" w:hAnsi="Segoe UI" w:cs="Segoe UI"/>
                <w:kern w:val="0"/>
                <w:sz w:val="15"/>
                <w:szCs w:val="15"/>
                <w:lang w:bidi="ar"/>
              </w:rPr>
              <w:t>招商银行</w:t>
            </w:r>
          </w:p>
        </w:tc>
        <w:tc>
          <w:tcPr>
            <w:tcW w:w="0" w:type="auto"/>
            <w:tcMar>
              <w:top w:w="100" w:type="dxa"/>
              <w:left w:w="160" w:type="dxa"/>
              <w:bottom w:w="100" w:type="dxa"/>
              <w:right w:w="160" w:type="dxa"/>
            </w:tcMar>
            <w:vAlign w:val="center"/>
          </w:tcPr>
          <w:p w14:paraId="26151F35" w14:textId="77777777" w:rsidR="00D45960" w:rsidRDefault="00000000">
            <w:pPr>
              <w:widowControl/>
              <w:spacing w:line="250" w:lineRule="atLeast"/>
              <w:ind w:firstLineChars="0" w:firstLine="0"/>
              <w:jc w:val="left"/>
              <w:rPr>
                <w:rFonts w:ascii="Segoe UI" w:eastAsia="Segoe UI" w:hAnsi="Segoe UI" w:cs="Segoe UI"/>
                <w:sz w:val="15"/>
                <w:szCs w:val="15"/>
              </w:rPr>
            </w:pPr>
            <w:r>
              <w:rPr>
                <w:rFonts w:ascii="Segoe UI" w:eastAsia="Segoe UI" w:hAnsi="Segoe UI" w:cs="Segoe UI"/>
                <w:kern w:val="0"/>
                <w:sz w:val="15"/>
                <w:szCs w:val="15"/>
                <w:lang w:bidi="ar"/>
              </w:rPr>
              <w:t>14.38</w:t>
            </w:r>
          </w:p>
        </w:tc>
        <w:tc>
          <w:tcPr>
            <w:tcW w:w="0" w:type="auto"/>
            <w:tcMar>
              <w:top w:w="100" w:type="dxa"/>
              <w:left w:w="160" w:type="dxa"/>
              <w:bottom w:w="100" w:type="dxa"/>
              <w:right w:w="160" w:type="dxa"/>
            </w:tcMar>
            <w:vAlign w:val="center"/>
          </w:tcPr>
          <w:p w14:paraId="135AFD2A" w14:textId="77777777" w:rsidR="00D45960" w:rsidRDefault="00000000">
            <w:pPr>
              <w:widowControl/>
              <w:spacing w:line="250" w:lineRule="atLeast"/>
              <w:ind w:firstLineChars="0" w:firstLine="0"/>
              <w:jc w:val="left"/>
              <w:rPr>
                <w:rFonts w:ascii="Segoe UI" w:eastAsia="Segoe UI" w:hAnsi="Segoe UI" w:cs="Segoe UI"/>
                <w:sz w:val="15"/>
                <w:szCs w:val="15"/>
              </w:rPr>
            </w:pPr>
            <w:r>
              <w:rPr>
                <w:rFonts w:ascii="Segoe UI" w:eastAsia="Segoe UI" w:hAnsi="Segoe UI" w:cs="Segoe UI"/>
                <w:kern w:val="0"/>
                <w:sz w:val="15"/>
                <w:szCs w:val="15"/>
                <w:lang w:bidi="ar"/>
              </w:rPr>
              <w:t>-12.85%</w:t>
            </w:r>
          </w:p>
        </w:tc>
        <w:tc>
          <w:tcPr>
            <w:tcW w:w="0" w:type="auto"/>
            <w:tcMar>
              <w:top w:w="100" w:type="dxa"/>
              <w:left w:w="160" w:type="dxa"/>
              <w:bottom w:w="100" w:type="dxa"/>
              <w:right w:w="0" w:type="dxa"/>
            </w:tcMar>
            <w:vAlign w:val="center"/>
          </w:tcPr>
          <w:p w14:paraId="24AEDD9F" w14:textId="77777777" w:rsidR="00D45960" w:rsidRDefault="00000000">
            <w:pPr>
              <w:widowControl/>
              <w:spacing w:line="250" w:lineRule="atLeast"/>
              <w:ind w:firstLineChars="0" w:firstLine="0"/>
              <w:jc w:val="left"/>
              <w:rPr>
                <w:rFonts w:ascii="Segoe UI" w:eastAsia="Segoe UI" w:hAnsi="Segoe UI" w:cs="Segoe UI"/>
                <w:sz w:val="15"/>
                <w:szCs w:val="15"/>
              </w:rPr>
            </w:pPr>
            <w:r>
              <w:rPr>
                <w:rFonts w:ascii="Segoe UI" w:eastAsia="Segoe UI" w:hAnsi="Segoe UI" w:cs="Segoe UI"/>
                <w:kern w:val="0"/>
                <w:sz w:val="15"/>
                <w:szCs w:val="15"/>
                <w:lang w:bidi="ar"/>
              </w:rPr>
              <w:t>9615亿元</w:t>
            </w:r>
          </w:p>
        </w:tc>
      </w:tr>
      <w:tr w:rsidR="00D45960" w14:paraId="3A880336" w14:textId="77777777">
        <w:tc>
          <w:tcPr>
            <w:tcW w:w="0" w:type="auto"/>
            <w:tcMar>
              <w:top w:w="100" w:type="dxa"/>
              <w:left w:w="0" w:type="dxa"/>
              <w:bottom w:w="100" w:type="dxa"/>
              <w:right w:w="160" w:type="dxa"/>
            </w:tcMar>
            <w:vAlign w:val="center"/>
          </w:tcPr>
          <w:p w14:paraId="2E60743F" w14:textId="77777777" w:rsidR="00D45960" w:rsidRDefault="00000000">
            <w:pPr>
              <w:widowControl/>
              <w:spacing w:line="250" w:lineRule="atLeast"/>
              <w:ind w:firstLineChars="0" w:firstLine="0"/>
              <w:jc w:val="left"/>
              <w:rPr>
                <w:rFonts w:ascii="Segoe UI" w:eastAsia="Segoe UI" w:hAnsi="Segoe UI" w:cs="Segoe UI"/>
                <w:sz w:val="15"/>
                <w:szCs w:val="15"/>
              </w:rPr>
            </w:pPr>
            <w:r>
              <w:rPr>
                <w:rFonts w:ascii="Segoe UI" w:eastAsia="Segoe UI" w:hAnsi="Segoe UI" w:cs="Segoe UI"/>
                <w:kern w:val="0"/>
                <w:sz w:val="15"/>
                <w:szCs w:val="15"/>
                <w:lang w:bidi="ar"/>
              </w:rPr>
              <w:t>中</w:t>
            </w:r>
            <w:proofErr w:type="gramStart"/>
            <w:r>
              <w:rPr>
                <w:rFonts w:ascii="Segoe UI" w:eastAsia="Segoe UI" w:hAnsi="Segoe UI" w:cs="Segoe UI"/>
                <w:kern w:val="0"/>
                <w:sz w:val="15"/>
                <w:szCs w:val="15"/>
                <w:lang w:bidi="ar"/>
              </w:rPr>
              <w:t>银基金</w:t>
            </w:r>
            <w:proofErr w:type="gramEnd"/>
          </w:p>
        </w:tc>
        <w:tc>
          <w:tcPr>
            <w:tcW w:w="0" w:type="auto"/>
            <w:tcMar>
              <w:top w:w="100" w:type="dxa"/>
              <w:left w:w="160" w:type="dxa"/>
              <w:bottom w:w="100" w:type="dxa"/>
              <w:right w:w="160" w:type="dxa"/>
            </w:tcMar>
            <w:vAlign w:val="center"/>
          </w:tcPr>
          <w:p w14:paraId="455856E6" w14:textId="77777777" w:rsidR="00D45960" w:rsidRDefault="00000000">
            <w:pPr>
              <w:widowControl/>
              <w:spacing w:line="250" w:lineRule="atLeast"/>
              <w:ind w:firstLineChars="0" w:firstLine="0"/>
              <w:jc w:val="left"/>
              <w:rPr>
                <w:rFonts w:ascii="Segoe UI" w:eastAsia="Segoe UI" w:hAnsi="Segoe UI" w:cs="Segoe UI"/>
                <w:sz w:val="15"/>
                <w:szCs w:val="15"/>
              </w:rPr>
            </w:pPr>
            <w:r>
              <w:rPr>
                <w:rFonts w:ascii="Segoe UI" w:eastAsia="Segoe UI" w:hAnsi="Segoe UI" w:cs="Segoe UI"/>
                <w:kern w:val="0"/>
                <w:sz w:val="15"/>
                <w:szCs w:val="15"/>
                <w:lang w:bidi="ar"/>
              </w:rPr>
              <w:t>中国银行</w:t>
            </w:r>
          </w:p>
        </w:tc>
        <w:tc>
          <w:tcPr>
            <w:tcW w:w="0" w:type="auto"/>
            <w:tcMar>
              <w:top w:w="100" w:type="dxa"/>
              <w:left w:w="160" w:type="dxa"/>
              <w:bottom w:w="100" w:type="dxa"/>
              <w:right w:w="160" w:type="dxa"/>
            </w:tcMar>
            <w:vAlign w:val="center"/>
          </w:tcPr>
          <w:p w14:paraId="690A905E" w14:textId="77777777" w:rsidR="00D45960" w:rsidRDefault="00000000">
            <w:pPr>
              <w:widowControl/>
              <w:spacing w:line="250" w:lineRule="atLeast"/>
              <w:ind w:firstLineChars="0" w:firstLine="0"/>
              <w:jc w:val="left"/>
              <w:rPr>
                <w:rFonts w:ascii="Segoe UI" w:eastAsia="Segoe UI" w:hAnsi="Segoe UI" w:cs="Segoe UI"/>
                <w:sz w:val="15"/>
                <w:szCs w:val="15"/>
              </w:rPr>
            </w:pPr>
            <w:r>
              <w:rPr>
                <w:rFonts w:ascii="Segoe UI" w:eastAsia="Segoe UI" w:hAnsi="Segoe UI" w:cs="Segoe UI"/>
                <w:kern w:val="0"/>
                <w:sz w:val="15"/>
                <w:szCs w:val="15"/>
                <w:lang w:bidi="ar"/>
              </w:rPr>
              <w:t>8.92</w:t>
            </w:r>
          </w:p>
        </w:tc>
        <w:tc>
          <w:tcPr>
            <w:tcW w:w="0" w:type="auto"/>
            <w:tcMar>
              <w:top w:w="100" w:type="dxa"/>
              <w:left w:w="160" w:type="dxa"/>
              <w:bottom w:w="100" w:type="dxa"/>
              <w:right w:w="160" w:type="dxa"/>
            </w:tcMar>
            <w:vAlign w:val="center"/>
          </w:tcPr>
          <w:p w14:paraId="555145AE" w14:textId="77777777" w:rsidR="00D45960" w:rsidRDefault="00000000">
            <w:pPr>
              <w:widowControl/>
              <w:spacing w:line="250" w:lineRule="atLeast"/>
              <w:ind w:firstLineChars="0" w:firstLine="0"/>
              <w:jc w:val="left"/>
              <w:rPr>
                <w:rFonts w:ascii="Segoe UI" w:eastAsia="Segoe UI" w:hAnsi="Segoe UI" w:cs="Segoe UI"/>
                <w:sz w:val="15"/>
                <w:szCs w:val="15"/>
              </w:rPr>
            </w:pPr>
            <w:r>
              <w:rPr>
                <w:rFonts w:ascii="Segoe UI" w:eastAsia="Segoe UI" w:hAnsi="Segoe UI" w:cs="Segoe UI"/>
                <w:kern w:val="0"/>
                <w:sz w:val="15"/>
                <w:szCs w:val="15"/>
                <w:lang w:bidi="ar"/>
              </w:rPr>
              <w:t>+12.91%</w:t>
            </w:r>
          </w:p>
        </w:tc>
        <w:tc>
          <w:tcPr>
            <w:tcW w:w="0" w:type="auto"/>
            <w:tcMar>
              <w:top w:w="100" w:type="dxa"/>
              <w:left w:w="160" w:type="dxa"/>
              <w:bottom w:w="100" w:type="dxa"/>
              <w:right w:w="0" w:type="dxa"/>
            </w:tcMar>
            <w:vAlign w:val="center"/>
          </w:tcPr>
          <w:p w14:paraId="29EB14C1" w14:textId="77777777" w:rsidR="00D45960" w:rsidRDefault="00000000">
            <w:pPr>
              <w:widowControl/>
              <w:spacing w:line="250" w:lineRule="atLeast"/>
              <w:ind w:firstLineChars="0" w:firstLine="0"/>
              <w:jc w:val="left"/>
              <w:rPr>
                <w:rFonts w:ascii="Segoe UI" w:eastAsia="Segoe UI" w:hAnsi="Segoe UI" w:cs="Segoe UI"/>
                <w:sz w:val="15"/>
                <w:szCs w:val="15"/>
              </w:rPr>
            </w:pPr>
            <w:r>
              <w:rPr>
                <w:rFonts w:ascii="Segoe UI" w:eastAsia="Segoe UI" w:hAnsi="Segoe UI" w:cs="Segoe UI"/>
                <w:kern w:val="0"/>
                <w:sz w:val="15"/>
                <w:szCs w:val="15"/>
                <w:lang w:bidi="ar"/>
              </w:rPr>
              <w:t>7334亿元</w:t>
            </w:r>
          </w:p>
        </w:tc>
      </w:tr>
      <w:tr w:rsidR="00D45960" w14:paraId="41AAB32C" w14:textId="77777777">
        <w:tc>
          <w:tcPr>
            <w:tcW w:w="0" w:type="auto"/>
            <w:tcMar>
              <w:top w:w="100" w:type="dxa"/>
              <w:left w:w="0" w:type="dxa"/>
              <w:bottom w:w="100" w:type="dxa"/>
              <w:right w:w="160" w:type="dxa"/>
            </w:tcMar>
            <w:vAlign w:val="center"/>
          </w:tcPr>
          <w:p w14:paraId="0EEFF2F5" w14:textId="77777777" w:rsidR="00D45960" w:rsidRDefault="00000000">
            <w:pPr>
              <w:widowControl/>
              <w:spacing w:line="250" w:lineRule="atLeast"/>
              <w:ind w:firstLineChars="0" w:firstLine="0"/>
              <w:jc w:val="left"/>
              <w:rPr>
                <w:rFonts w:ascii="Segoe UI" w:eastAsia="Segoe UI" w:hAnsi="Segoe UI" w:cs="Segoe UI"/>
                <w:sz w:val="15"/>
                <w:szCs w:val="15"/>
              </w:rPr>
            </w:pPr>
            <w:r>
              <w:rPr>
                <w:rFonts w:ascii="Segoe UI" w:eastAsia="Segoe UI" w:hAnsi="Segoe UI" w:cs="Segoe UI"/>
                <w:kern w:val="0"/>
                <w:sz w:val="15"/>
                <w:szCs w:val="15"/>
                <w:lang w:bidi="ar"/>
              </w:rPr>
              <w:t>建信基金</w:t>
            </w:r>
          </w:p>
        </w:tc>
        <w:tc>
          <w:tcPr>
            <w:tcW w:w="0" w:type="auto"/>
            <w:tcMar>
              <w:top w:w="100" w:type="dxa"/>
              <w:left w:w="160" w:type="dxa"/>
              <w:bottom w:w="100" w:type="dxa"/>
              <w:right w:w="160" w:type="dxa"/>
            </w:tcMar>
            <w:vAlign w:val="center"/>
          </w:tcPr>
          <w:p w14:paraId="2648474B" w14:textId="77777777" w:rsidR="00D45960" w:rsidRDefault="00000000">
            <w:pPr>
              <w:widowControl/>
              <w:spacing w:line="250" w:lineRule="atLeast"/>
              <w:ind w:firstLineChars="0" w:firstLine="0"/>
              <w:jc w:val="left"/>
              <w:rPr>
                <w:rFonts w:ascii="Segoe UI" w:eastAsia="Segoe UI" w:hAnsi="Segoe UI" w:cs="Segoe UI"/>
                <w:sz w:val="15"/>
                <w:szCs w:val="15"/>
              </w:rPr>
            </w:pPr>
            <w:r>
              <w:rPr>
                <w:rFonts w:ascii="Segoe UI" w:eastAsia="Segoe UI" w:hAnsi="Segoe UI" w:cs="Segoe UI"/>
                <w:kern w:val="0"/>
                <w:sz w:val="15"/>
                <w:szCs w:val="15"/>
                <w:lang w:bidi="ar"/>
              </w:rPr>
              <w:t>建设银行</w:t>
            </w:r>
          </w:p>
        </w:tc>
        <w:tc>
          <w:tcPr>
            <w:tcW w:w="0" w:type="auto"/>
            <w:tcMar>
              <w:top w:w="100" w:type="dxa"/>
              <w:left w:w="160" w:type="dxa"/>
              <w:bottom w:w="100" w:type="dxa"/>
              <w:right w:w="160" w:type="dxa"/>
            </w:tcMar>
            <w:vAlign w:val="center"/>
          </w:tcPr>
          <w:p w14:paraId="3DE3DB1E" w14:textId="77777777" w:rsidR="00D45960" w:rsidRDefault="00000000">
            <w:pPr>
              <w:widowControl/>
              <w:spacing w:line="250" w:lineRule="atLeast"/>
              <w:ind w:firstLineChars="0" w:firstLine="0"/>
              <w:jc w:val="left"/>
              <w:rPr>
                <w:rFonts w:ascii="Segoe UI" w:eastAsia="Segoe UI" w:hAnsi="Segoe UI" w:cs="Segoe UI"/>
                <w:sz w:val="15"/>
                <w:szCs w:val="15"/>
              </w:rPr>
            </w:pPr>
            <w:r>
              <w:rPr>
                <w:rFonts w:ascii="Segoe UI" w:eastAsia="Segoe UI" w:hAnsi="Segoe UI" w:cs="Segoe UI"/>
                <w:kern w:val="0"/>
                <w:sz w:val="15"/>
                <w:szCs w:val="15"/>
                <w:lang w:bidi="ar"/>
              </w:rPr>
              <w:t>8.69</w:t>
            </w:r>
          </w:p>
        </w:tc>
        <w:tc>
          <w:tcPr>
            <w:tcW w:w="0" w:type="auto"/>
            <w:tcMar>
              <w:top w:w="100" w:type="dxa"/>
              <w:left w:w="160" w:type="dxa"/>
              <w:bottom w:w="100" w:type="dxa"/>
              <w:right w:w="160" w:type="dxa"/>
            </w:tcMar>
            <w:vAlign w:val="center"/>
          </w:tcPr>
          <w:p w14:paraId="6959E3B0" w14:textId="77777777" w:rsidR="00D45960" w:rsidRDefault="00000000">
            <w:pPr>
              <w:widowControl/>
              <w:spacing w:line="250" w:lineRule="atLeast"/>
              <w:ind w:firstLineChars="0" w:firstLine="0"/>
              <w:jc w:val="left"/>
              <w:rPr>
                <w:rFonts w:ascii="Segoe UI" w:eastAsia="Segoe UI" w:hAnsi="Segoe UI" w:cs="Segoe UI"/>
                <w:sz w:val="15"/>
                <w:szCs w:val="15"/>
              </w:rPr>
            </w:pPr>
            <w:r>
              <w:rPr>
                <w:rFonts w:ascii="Segoe UI" w:eastAsia="Segoe UI" w:hAnsi="Segoe UI" w:cs="Segoe UI"/>
                <w:kern w:val="0"/>
                <w:sz w:val="15"/>
                <w:szCs w:val="15"/>
                <w:lang w:bidi="ar"/>
              </w:rPr>
              <w:t>+2.96%</w:t>
            </w:r>
          </w:p>
        </w:tc>
        <w:tc>
          <w:tcPr>
            <w:tcW w:w="0" w:type="auto"/>
            <w:tcMar>
              <w:top w:w="100" w:type="dxa"/>
              <w:left w:w="160" w:type="dxa"/>
              <w:bottom w:w="100" w:type="dxa"/>
              <w:right w:w="0" w:type="dxa"/>
            </w:tcMar>
            <w:vAlign w:val="center"/>
          </w:tcPr>
          <w:p w14:paraId="3880D651" w14:textId="77777777" w:rsidR="00D45960" w:rsidRDefault="00000000">
            <w:pPr>
              <w:widowControl/>
              <w:spacing w:line="250" w:lineRule="atLeast"/>
              <w:ind w:firstLineChars="0" w:firstLine="0"/>
              <w:jc w:val="left"/>
              <w:rPr>
                <w:rFonts w:ascii="Segoe UI" w:eastAsia="Segoe UI" w:hAnsi="Segoe UI" w:cs="Segoe UI"/>
                <w:sz w:val="15"/>
                <w:szCs w:val="15"/>
              </w:rPr>
            </w:pPr>
            <w:r>
              <w:rPr>
                <w:rFonts w:ascii="Segoe UI" w:eastAsia="Segoe UI" w:hAnsi="Segoe UI" w:cs="Segoe UI"/>
                <w:kern w:val="0"/>
                <w:sz w:val="15"/>
                <w:szCs w:val="15"/>
                <w:lang w:bidi="ar"/>
              </w:rPr>
              <w:t>9736亿元</w:t>
            </w:r>
          </w:p>
        </w:tc>
      </w:tr>
      <w:tr w:rsidR="00D45960" w14:paraId="5B398134" w14:textId="77777777">
        <w:tc>
          <w:tcPr>
            <w:tcW w:w="0" w:type="auto"/>
            <w:tcMar>
              <w:top w:w="100" w:type="dxa"/>
              <w:left w:w="0" w:type="dxa"/>
              <w:bottom w:w="100" w:type="dxa"/>
              <w:right w:w="160" w:type="dxa"/>
            </w:tcMar>
            <w:vAlign w:val="center"/>
          </w:tcPr>
          <w:p w14:paraId="4CA87F57" w14:textId="77777777" w:rsidR="00D45960" w:rsidRDefault="00000000">
            <w:pPr>
              <w:widowControl/>
              <w:spacing w:line="250" w:lineRule="atLeast"/>
              <w:ind w:firstLineChars="0" w:firstLine="0"/>
              <w:jc w:val="left"/>
              <w:rPr>
                <w:rFonts w:ascii="Segoe UI" w:eastAsia="Segoe UI" w:hAnsi="Segoe UI" w:cs="Segoe UI"/>
                <w:sz w:val="15"/>
                <w:szCs w:val="15"/>
              </w:rPr>
            </w:pPr>
            <w:r>
              <w:rPr>
                <w:rFonts w:ascii="Segoe UI" w:eastAsia="Segoe UI" w:hAnsi="Segoe UI" w:cs="Segoe UI"/>
                <w:kern w:val="0"/>
                <w:sz w:val="15"/>
                <w:szCs w:val="15"/>
                <w:lang w:bidi="ar"/>
              </w:rPr>
              <w:t>交银施罗德基金</w:t>
            </w:r>
          </w:p>
        </w:tc>
        <w:tc>
          <w:tcPr>
            <w:tcW w:w="0" w:type="auto"/>
            <w:tcMar>
              <w:top w:w="100" w:type="dxa"/>
              <w:left w:w="160" w:type="dxa"/>
              <w:bottom w:w="100" w:type="dxa"/>
              <w:right w:w="160" w:type="dxa"/>
            </w:tcMar>
            <w:vAlign w:val="center"/>
          </w:tcPr>
          <w:p w14:paraId="772A1D12" w14:textId="77777777" w:rsidR="00D45960" w:rsidRDefault="00000000">
            <w:pPr>
              <w:widowControl/>
              <w:spacing w:line="250" w:lineRule="atLeast"/>
              <w:ind w:firstLineChars="0" w:firstLine="0"/>
              <w:jc w:val="left"/>
              <w:rPr>
                <w:rFonts w:ascii="Segoe UI" w:eastAsia="Segoe UI" w:hAnsi="Segoe UI" w:cs="Segoe UI"/>
                <w:sz w:val="15"/>
                <w:szCs w:val="15"/>
              </w:rPr>
            </w:pPr>
            <w:r>
              <w:rPr>
                <w:rFonts w:ascii="Segoe UI" w:eastAsia="Segoe UI" w:hAnsi="Segoe UI" w:cs="Segoe UI"/>
                <w:kern w:val="0"/>
                <w:sz w:val="15"/>
                <w:szCs w:val="15"/>
                <w:lang w:bidi="ar"/>
              </w:rPr>
              <w:t>交通银行</w:t>
            </w:r>
          </w:p>
        </w:tc>
        <w:tc>
          <w:tcPr>
            <w:tcW w:w="0" w:type="auto"/>
            <w:tcMar>
              <w:top w:w="100" w:type="dxa"/>
              <w:left w:w="160" w:type="dxa"/>
              <w:bottom w:w="100" w:type="dxa"/>
              <w:right w:w="160" w:type="dxa"/>
            </w:tcMar>
            <w:vAlign w:val="center"/>
          </w:tcPr>
          <w:p w14:paraId="25AA2E08" w14:textId="77777777" w:rsidR="00D45960" w:rsidRDefault="00000000">
            <w:pPr>
              <w:widowControl/>
              <w:spacing w:line="250" w:lineRule="atLeast"/>
              <w:ind w:firstLineChars="0" w:firstLine="0"/>
              <w:jc w:val="left"/>
              <w:rPr>
                <w:rFonts w:ascii="Segoe UI" w:eastAsia="Segoe UI" w:hAnsi="Segoe UI" w:cs="Segoe UI"/>
                <w:sz w:val="15"/>
                <w:szCs w:val="15"/>
              </w:rPr>
            </w:pPr>
            <w:r>
              <w:rPr>
                <w:rFonts w:ascii="Segoe UI" w:eastAsia="Segoe UI" w:hAnsi="Segoe UI" w:cs="Segoe UI"/>
                <w:kern w:val="0"/>
                <w:sz w:val="15"/>
                <w:szCs w:val="15"/>
                <w:lang w:bidi="ar"/>
              </w:rPr>
              <w:t>7.65</w:t>
            </w:r>
          </w:p>
        </w:tc>
        <w:tc>
          <w:tcPr>
            <w:tcW w:w="0" w:type="auto"/>
            <w:tcMar>
              <w:top w:w="100" w:type="dxa"/>
              <w:left w:w="160" w:type="dxa"/>
              <w:bottom w:w="100" w:type="dxa"/>
              <w:right w:w="160" w:type="dxa"/>
            </w:tcMar>
            <w:vAlign w:val="center"/>
          </w:tcPr>
          <w:p w14:paraId="0CB4B15E" w14:textId="77777777" w:rsidR="00D45960" w:rsidRDefault="00000000">
            <w:pPr>
              <w:widowControl/>
              <w:spacing w:line="250" w:lineRule="atLeast"/>
              <w:ind w:firstLineChars="0" w:firstLine="0"/>
              <w:jc w:val="left"/>
              <w:rPr>
                <w:rFonts w:ascii="Segoe UI" w:eastAsia="Segoe UI" w:hAnsi="Segoe UI" w:cs="Segoe UI"/>
                <w:sz w:val="15"/>
                <w:szCs w:val="15"/>
              </w:rPr>
            </w:pPr>
            <w:r>
              <w:rPr>
                <w:rFonts w:ascii="Segoe UI" w:eastAsia="Segoe UI" w:hAnsi="Segoe UI" w:cs="Segoe UI"/>
                <w:kern w:val="0"/>
                <w:sz w:val="15"/>
                <w:szCs w:val="15"/>
                <w:lang w:bidi="ar"/>
              </w:rPr>
              <w:t>-12.97%</w:t>
            </w:r>
          </w:p>
        </w:tc>
        <w:tc>
          <w:tcPr>
            <w:tcW w:w="0" w:type="auto"/>
            <w:tcMar>
              <w:top w:w="100" w:type="dxa"/>
              <w:left w:w="160" w:type="dxa"/>
              <w:bottom w:w="100" w:type="dxa"/>
              <w:right w:w="0" w:type="dxa"/>
            </w:tcMar>
            <w:vAlign w:val="center"/>
          </w:tcPr>
          <w:p w14:paraId="0B050911" w14:textId="77777777" w:rsidR="00D45960" w:rsidRDefault="00000000">
            <w:pPr>
              <w:widowControl/>
              <w:spacing w:line="250" w:lineRule="atLeast"/>
              <w:ind w:firstLineChars="0" w:firstLine="0"/>
              <w:jc w:val="left"/>
              <w:rPr>
                <w:rFonts w:ascii="Segoe UI" w:eastAsia="Segoe UI" w:hAnsi="Segoe UI" w:cs="Segoe UI"/>
                <w:sz w:val="15"/>
                <w:szCs w:val="15"/>
              </w:rPr>
            </w:pPr>
            <w:r>
              <w:rPr>
                <w:rFonts w:ascii="Segoe UI" w:eastAsia="Segoe UI" w:hAnsi="Segoe UI" w:cs="Segoe UI"/>
                <w:kern w:val="0"/>
                <w:sz w:val="15"/>
                <w:szCs w:val="15"/>
                <w:lang w:bidi="ar"/>
              </w:rPr>
              <w:t>5029亿元</w:t>
            </w:r>
          </w:p>
        </w:tc>
      </w:tr>
      <w:tr w:rsidR="00D45960" w14:paraId="31412573" w14:textId="77777777">
        <w:tc>
          <w:tcPr>
            <w:tcW w:w="0" w:type="auto"/>
            <w:tcMar>
              <w:top w:w="100" w:type="dxa"/>
              <w:left w:w="0" w:type="dxa"/>
              <w:bottom w:w="100" w:type="dxa"/>
              <w:right w:w="160" w:type="dxa"/>
            </w:tcMar>
            <w:vAlign w:val="center"/>
          </w:tcPr>
          <w:p w14:paraId="481E924A" w14:textId="77777777" w:rsidR="00D45960" w:rsidRDefault="00000000">
            <w:pPr>
              <w:widowControl/>
              <w:spacing w:line="250" w:lineRule="atLeast"/>
              <w:ind w:firstLineChars="0" w:firstLine="0"/>
              <w:jc w:val="left"/>
              <w:rPr>
                <w:rFonts w:ascii="Segoe UI" w:eastAsia="Segoe UI" w:hAnsi="Segoe UI" w:cs="Segoe UI"/>
                <w:sz w:val="15"/>
                <w:szCs w:val="15"/>
              </w:rPr>
            </w:pPr>
            <w:proofErr w:type="gramStart"/>
            <w:r>
              <w:rPr>
                <w:rFonts w:ascii="Segoe UI" w:eastAsia="Segoe UI" w:hAnsi="Segoe UI" w:cs="Segoe UI"/>
                <w:kern w:val="0"/>
                <w:sz w:val="15"/>
                <w:szCs w:val="15"/>
                <w:lang w:bidi="ar"/>
              </w:rPr>
              <w:t>永赢基金</w:t>
            </w:r>
            <w:proofErr w:type="gramEnd"/>
          </w:p>
        </w:tc>
        <w:tc>
          <w:tcPr>
            <w:tcW w:w="0" w:type="auto"/>
            <w:tcMar>
              <w:top w:w="100" w:type="dxa"/>
              <w:left w:w="160" w:type="dxa"/>
              <w:bottom w:w="100" w:type="dxa"/>
              <w:right w:w="160" w:type="dxa"/>
            </w:tcMar>
            <w:vAlign w:val="center"/>
          </w:tcPr>
          <w:p w14:paraId="57DEF806" w14:textId="77777777" w:rsidR="00D45960" w:rsidRDefault="00000000">
            <w:pPr>
              <w:widowControl/>
              <w:spacing w:line="250" w:lineRule="atLeast"/>
              <w:ind w:firstLineChars="0" w:firstLine="0"/>
              <w:jc w:val="left"/>
              <w:rPr>
                <w:rFonts w:ascii="Segoe UI" w:eastAsia="Segoe UI" w:hAnsi="Segoe UI" w:cs="Segoe UI"/>
                <w:sz w:val="15"/>
                <w:szCs w:val="15"/>
              </w:rPr>
            </w:pPr>
            <w:r>
              <w:rPr>
                <w:rFonts w:ascii="Segoe UI" w:eastAsia="Segoe UI" w:hAnsi="Segoe UI" w:cs="Segoe UI"/>
                <w:kern w:val="0"/>
                <w:sz w:val="15"/>
                <w:szCs w:val="15"/>
                <w:lang w:bidi="ar"/>
              </w:rPr>
              <w:t>宁波银行</w:t>
            </w:r>
          </w:p>
        </w:tc>
        <w:tc>
          <w:tcPr>
            <w:tcW w:w="0" w:type="auto"/>
            <w:tcMar>
              <w:top w:w="100" w:type="dxa"/>
              <w:left w:w="160" w:type="dxa"/>
              <w:bottom w:w="100" w:type="dxa"/>
              <w:right w:w="160" w:type="dxa"/>
            </w:tcMar>
            <w:vAlign w:val="center"/>
          </w:tcPr>
          <w:p w14:paraId="1FDDE189" w14:textId="77777777" w:rsidR="00D45960" w:rsidRDefault="00000000">
            <w:pPr>
              <w:widowControl/>
              <w:spacing w:line="250" w:lineRule="atLeast"/>
              <w:ind w:firstLineChars="0" w:firstLine="0"/>
              <w:jc w:val="left"/>
              <w:rPr>
                <w:rFonts w:ascii="Segoe UI" w:eastAsia="Segoe UI" w:hAnsi="Segoe UI" w:cs="Segoe UI"/>
                <w:sz w:val="15"/>
                <w:szCs w:val="15"/>
              </w:rPr>
            </w:pPr>
            <w:r>
              <w:rPr>
                <w:rFonts w:ascii="Segoe UI" w:eastAsia="Segoe UI" w:hAnsi="Segoe UI" w:cs="Segoe UI"/>
                <w:kern w:val="0"/>
                <w:sz w:val="15"/>
                <w:szCs w:val="15"/>
                <w:lang w:bidi="ar"/>
              </w:rPr>
              <w:t>6.02</w:t>
            </w:r>
          </w:p>
        </w:tc>
        <w:tc>
          <w:tcPr>
            <w:tcW w:w="0" w:type="auto"/>
            <w:tcMar>
              <w:top w:w="100" w:type="dxa"/>
              <w:left w:w="160" w:type="dxa"/>
              <w:bottom w:w="100" w:type="dxa"/>
              <w:right w:w="160" w:type="dxa"/>
            </w:tcMar>
            <w:vAlign w:val="center"/>
          </w:tcPr>
          <w:p w14:paraId="1E221911" w14:textId="77777777" w:rsidR="00D45960" w:rsidRDefault="00000000">
            <w:pPr>
              <w:widowControl/>
              <w:spacing w:line="250" w:lineRule="atLeast"/>
              <w:ind w:firstLineChars="0" w:firstLine="0"/>
              <w:jc w:val="left"/>
              <w:rPr>
                <w:rFonts w:ascii="Segoe UI" w:eastAsia="Segoe UI" w:hAnsi="Segoe UI" w:cs="Segoe UI"/>
                <w:sz w:val="15"/>
                <w:szCs w:val="15"/>
              </w:rPr>
            </w:pPr>
            <w:r>
              <w:rPr>
                <w:rFonts w:ascii="Segoe UI" w:eastAsia="Segoe UI" w:hAnsi="Segoe UI" w:cs="Segoe UI"/>
                <w:kern w:val="0"/>
                <w:sz w:val="15"/>
                <w:szCs w:val="15"/>
                <w:lang w:bidi="ar"/>
              </w:rPr>
              <w:t>+136.08%</w:t>
            </w:r>
          </w:p>
        </w:tc>
        <w:tc>
          <w:tcPr>
            <w:tcW w:w="0" w:type="auto"/>
            <w:tcMar>
              <w:top w:w="100" w:type="dxa"/>
              <w:left w:w="160" w:type="dxa"/>
              <w:bottom w:w="100" w:type="dxa"/>
              <w:right w:w="0" w:type="dxa"/>
            </w:tcMar>
            <w:vAlign w:val="center"/>
          </w:tcPr>
          <w:p w14:paraId="1D2861EB" w14:textId="77777777" w:rsidR="00D45960" w:rsidRDefault="00000000">
            <w:pPr>
              <w:widowControl/>
              <w:spacing w:line="250" w:lineRule="atLeast"/>
              <w:ind w:firstLineChars="0" w:firstLine="0"/>
              <w:jc w:val="left"/>
              <w:rPr>
                <w:rFonts w:ascii="Segoe UI" w:eastAsia="Segoe UI" w:hAnsi="Segoe UI" w:cs="Segoe UI"/>
                <w:sz w:val="15"/>
                <w:szCs w:val="15"/>
              </w:rPr>
            </w:pPr>
            <w:r>
              <w:rPr>
                <w:rFonts w:ascii="Segoe UI" w:eastAsia="Segoe UI" w:hAnsi="Segoe UI" w:cs="Segoe UI"/>
                <w:kern w:val="0"/>
                <w:sz w:val="15"/>
                <w:szCs w:val="15"/>
                <w:lang w:bidi="ar"/>
              </w:rPr>
              <w:t>6342亿元</w:t>
            </w:r>
          </w:p>
        </w:tc>
      </w:tr>
      <w:tr w:rsidR="00D45960" w14:paraId="28B537A5" w14:textId="77777777">
        <w:tc>
          <w:tcPr>
            <w:tcW w:w="0" w:type="auto"/>
            <w:tcMar>
              <w:top w:w="100" w:type="dxa"/>
              <w:left w:w="0" w:type="dxa"/>
              <w:bottom w:w="100" w:type="dxa"/>
              <w:right w:w="160" w:type="dxa"/>
            </w:tcMar>
            <w:vAlign w:val="center"/>
          </w:tcPr>
          <w:p w14:paraId="2B4685A5" w14:textId="77777777" w:rsidR="00D45960" w:rsidRDefault="00000000">
            <w:pPr>
              <w:widowControl/>
              <w:spacing w:line="250" w:lineRule="atLeast"/>
              <w:ind w:firstLineChars="0" w:firstLine="0"/>
              <w:jc w:val="left"/>
              <w:rPr>
                <w:rFonts w:ascii="Segoe UI" w:eastAsia="Segoe UI" w:hAnsi="Segoe UI" w:cs="Segoe UI"/>
                <w:sz w:val="15"/>
                <w:szCs w:val="15"/>
              </w:rPr>
            </w:pPr>
            <w:r>
              <w:rPr>
                <w:rFonts w:ascii="Segoe UI" w:eastAsia="Segoe UI" w:hAnsi="Segoe UI" w:cs="Segoe UI"/>
                <w:kern w:val="0"/>
                <w:sz w:val="15"/>
                <w:szCs w:val="15"/>
                <w:lang w:bidi="ar"/>
              </w:rPr>
              <w:t>兴业基金</w:t>
            </w:r>
          </w:p>
        </w:tc>
        <w:tc>
          <w:tcPr>
            <w:tcW w:w="0" w:type="auto"/>
            <w:tcMar>
              <w:top w:w="100" w:type="dxa"/>
              <w:left w:w="160" w:type="dxa"/>
              <w:bottom w:w="100" w:type="dxa"/>
              <w:right w:w="160" w:type="dxa"/>
            </w:tcMar>
            <w:vAlign w:val="center"/>
          </w:tcPr>
          <w:p w14:paraId="4B81CEC0" w14:textId="77777777" w:rsidR="00D45960" w:rsidRDefault="00000000">
            <w:pPr>
              <w:widowControl/>
              <w:spacing w:line="250" w:lineRule="atLeast"/>
              <w:ind w:firstLineChars="0" w:firstLine="0"/>
              <w:jc w:val="left"/>
              <w:rPr>
                <w:rFonts w:ascii="Segoe UI" w:eastAsia="Segoe UI" w:hAnsi="Segoe UI" w:cs="Segoe UI"/>
                <w:sz w:val="15"/>
                <w:szCs w:val="15"/>
              </w:rPr>
            </w:pPr>
            <w:r>
              <w:rPr>
                <w:rFonts w:ascii="Segoe UI" w:eastAsia="Segoe UI" w:hAnsi="Segoe UI" w:cs="Segoe UI"/>
                <w:kern w:val="0"/>
                <w:sz w:val="15"/>
                <w:szCs w:val="15"/>
                <w:lang w:bidi="ar"/>
              </w:rPr>
              <w:t>兴业银行</w:t>
            </w:r>
          </w:p>
        </w:tc>
        <w:tc>
          <w:tcPr>
            <w:tcW w:w="0" w:type="auto"/>
            <w:tcMar>
              <w:top w:w="100" w:type="dxa"/>
              <w:left w:w="160" w:type="dxa"/>
              <w:bottom w:w="100" w:type="dxa"/>
              <w:right w:w="160" w:type="dxa"/>
            </w:tcMar>
            <w:vAlign w:val="center"/>
          </w:tcPr>
          <w:p w14:paraId="4DE58459" w14:textId="77777777" w:rsidR="00D45960" w:rsidRDefault="00000000">
            <w:pPr>
              <w:widowControl/>
              <w:spacing w:line="250" w:lineRule="atLeast"/>
              <w:ind w:firstLineChars="0" w:firstLine="0"/>
              <w:jc w:val="left"/>
              <w:rPr>
                <w:rFonts w:ascii="Segoe UI" w:eastAsia="Segoe UI" w:hAnsi="Segoe UI" w:cs="Segoe UI"/>
                <w:sz w:val="15"/>
                <w:szCs w:val="15"/>
              </w:rPr>
            </w:pPr>
            <w:r>
              <w:rPr>
                <w:rFonts w:ascii="Segoe UI" w:eastAsia="Segoe UI" w:hAnsi="Segoe UI" w:cs="Segoe UI"/>
                <w:kern w:val="0"/>
                <w:sz w:val="15"/>
                <w:szCs w:val="15"/>
                <w:lang w:bidi="ar"/>
              </w:rPr>
              <w:t>5.12</w:t>
            </w:r>
          </w:p>
        </w:tc>
        <w:tc>
          <w:tcPr>
            <w:tcW w:w="0" w:type="auto"/>
            <w:tcMar>
              <w:top w:w="100" w:type="dxa"/>
              <w:left w:w="160" w:type="dxa"/>
              <w:bottom w:w="100" w:type="dxa"/>
              <w:right w:w="160" w:type="dxa"/>
            </w:tcMar>
            <w:vAlign w:val="center"/>
          </w:tcPr>
          <w:p w14:paraId="79133A0C" w14:textId="77777777" w:rsidR="00D45960" w:rsidRDefault="00000000">
            <w:pPr>
              <w:widowControl/>
              <w:spacing w:line="250" w:lineRule="atLeast"/>
              <w:ind w:firstLineChars="0" w:firstLine="0"/>
              <w:jc w:val="left"/>
              <w:rPr>
                <w:rFonts w:ascii="Segoe UI" w:eastAsia="Segoe UI" w:hAnsi="Segoe UI" w:cs="Segoe UI"/>
                <w:sz w:val="15"/>
                <w:szCs w:val="15"/>
              </w:rPr>
            </w:pPr>
            <w:r>
              <w:rPr>
                <w:rFonts w:ascii="Segoe UI" w:eastAsia="Segoe UI" w:hAnsi="Segoe UI" w:cs="Segoe UI"/>
                <w:kern w:val="0"/>
                <w:sz w:val="15"/>
                <w:szCs w:val="15"/>
                <w:lang w:bidi="ar"/>
              </w:rPr>
              <w:t>+20.33%</w:t>
            </w:r>
          </w:p>
        </w:tc>
        <w:tc>
          <w:tcPr>
            <w:tcW w:w="0" w:type="auto"/>
            <w:tcMar>
              <w:top w:w="100" w:type="dxa"/>
              <w:left w:w="160" w:type="dxa"/>
              <w:bottom w:w="100" w:type="dxa"/>
              <w:right w:w="0" w:type="dxa"/>
            </w:tcMar>
            <w:vAlign w:val="center"/>
          </w:tcPr>
          <w:p w14:paraId="71A6D7E4" w14:textId="77777777" w:rsidR="00D45960" w:rsidRDefault="00000000">
            <w:pPr>
              <w:widowControl/>
              <w:spacing w:line="250" w:lineRule="atLeast"/>
              <w:ind w:firstLineChars="0" w:firstLine="0"/>
              <w:jc w:val="left"/>
              <w:rPr>
                <w:rFonts w:ascii="Segoe UI" w:eastAsia="Segoe UI" w:hAnsi="Segoe UI" w:cs="Segoe UI"/>
                <w:sz w:val="15"/>
                <w:szCs w:val="15"/>
              </w:rPr>
            </w:pPr>
            <w:r>
              <w:rPr>
                <w:rFonts w:ascii="Segoe UI" w:eastAsia="Segoe UI" w:hAnsi="Segoe UI" w:cs="Segoe UI"/>
                <w:kern w:val="0"/>
                <w:sz w:val="15"/>
                <w:szCs w:val="15"/>
                <w:lang w:bidi="ar"/>
              </w:rPr>
              <w:t>4624亿元</w:t>
            </w:r>
          </w:p>
        </w:tc>
      </w:tr>
      <w:tr w:rsidR="00D45960" w14:paraId="296B8447" w14:textId="77777777">
        <w:tc>
          <w:tcPr>
            <w:tcW w:w="0" w:type="auto"/>
            <w:tcMar>
              <w:top w:w="100" w:type="dxa"/>
              <w:left w:w="0" w:type="dxa"/>
              <w:bottom w:w="100" w:type="dxa"/>
              <w:right w:w="160" w:type="dxa"/>
            </w:tcMar>
            <w:vAlign w:val="center"/>
          </w:tcPr>
          <w:p w14:paraId="4B248B7C" w14:textId="77777777" w:rsidR="00D45960" w:rsidRDefault="00000000">
            <w:pPr>
              <w:widowControl/>
              <w:spacing w:line="250" w:lineRule="atLeast"/>
              <w:ind w:firstLineChars="0" w:firstLine="0"/>
              <w:jc w:val="left"/>
              <w:rPr>
                <w:rFonts w:ascii="Segoe UI" w:eastAsia="Segoe UI" w:hAnsi="Segoe UI" w:cs="Segoe UI"/>
                <w:sz w:val="15"/>
                <w:szCs w:val="15"/>
              </w:rPr>
            </w:pPr>
            <w:r>
              <w:rPr>
                <w:rFonts w:ascii="Segoe UI" w:eastAsia="Segoe UI" w:hAnsi="Segoe UI" w:cs="Segoe UI"/>
                <w:kern w:val="0"/>
                <w:sz w:val="15"/>
                <w:szCs w:val="15"/>
                <w:lang w:bidi="ar"/>
              </w:rPr>
              <w:t>博时基金</w:t>
            </w:r>
          </w:p>
        </w:tc>
        <w:tc>
          <w:tcPr>
            <w:tcW w:w="0" w:type="auto"/>
            <w:tcMar>
              <w:top w:w="100" w:type="dxa"/>
              <w:left w:w="160" w:type="dxa"/>
              <w:bottom w:w="100" w:type="dxa"/>
              <w:right w:w="160" w:type="dxa"/>
            </w:tcMar>
            <w:vAlign w:val="center"/>
          </w:tcPr>
          <w:p w14:paraId="5407E604" w14:textId="77777777" w:rsidR="00D45960" w:rsidRDefault="00000000">
            <w:pPr>
              <w:widowControl/>
              <w:spacing w:line="250" w:lineRule="atLeast"/>
              <w:ind w:firstLineChars="0" w:firstLine="0"/>
              <w:jc w:val="left"/>
              <w:rPr>
                <w:rFonts w:ascii="Segoe UI" w:eastAsia="Segoe UI" w:hAnsi="Segoe UI" w:cs="Segoe UI"/>
                <w:sz w:val="15"/>
                <w:szCs w:val="15"/>
              </w:rPr>
            </w:pPr>
            <w:r>
              <w:rPr>
                <w:rFonts w:ascii="Segoe UI" w:eastAsia="Segoe UI" w:hAnsi="Segoe UI" w:cs="Segoe UI"/>
                <w:kern w:val="0"/>
                <w:sz w:val="15"/>
                <w:szCs w:val="15"/>
                <w:lang w:bidi="ar"/>
              </w:rPr>
              <w:t>招商银行</w:t>
            </w:r>
          </w:p>
        </w:tc>
        <w:tc>
          <w:tcPr>
            <w:tcW w:w="0" w:type="auto"/>
            <w:tcMar>
              <w:top w:w="100" w:type="dxa"/>
              <w:left w:w="160" w:type="dxa"/>
              <w:bottom w:w="100" w:type="dxa"/>
              <w:right w:w="160" w:type="dxa"/>
            </w:tcMar>
            <w:vAlign w:val="center"/>
          </w:tcPr>
          <w:p w14:paraId="4E101CB7" w14:textId="77777777" w:rsidR="00D45960" w:rsidRDefault="00000000">
            <w:pPr>
              <w:widowControl/>
              <w:spacing w:line="250" w:lineRule="atLeast"/>
              <w:ind w:firstLineChars="0" w:firstLine="0"/>
              <w:jc w:val="left"/>
              <w:rPr>
                <w:rFonts w:ascii="Segoe UI" w:eastAsia="Segoe UI" w:hAnsi="Segoe UI" w:cs="Segoe UI"/>
                <w:sz w:val="15"/>
                <w:szCs w:val="15"/>
              </w:rPr>
            </w:pPr>
            <w:r>
              <w:rPr>
                <w:rFonts w:ascii="Segoe UI" w:eastAsia="Segoe UI" w:hAnsi="Segoe UI" w:cs="Segoe UI"/>
                <w:kern w:val="0"/>
                <w:sz w:val="15"/>
                <w:szCs w:val="15"/>
                <w:lang w:bidi="ar"/>
              </w:rPr>
              <w:t>15.31</w:t>
            </w:r>
          </w:p>
        </w:tc>
        <w:tc>
          <w:tcPr>
            <w:tcW w:w="0" w:type="auto"/>
            <w:tcMar>
              <w:top w:w="100" w:type="dxa"/>
              <w:left w:w="160" w:type="dxa"/>
              <w:bottom w:w="100" w:type="dxa"/>
              <w:right w:w="160" w:type="dxa"/>
            </w:tcMar>
            <w:vAlign w:val="center"/>
          </w:tcPr>
          <w:p w14:paraId="5B2A7C95" w14:textId="77777777" w:rsidR="00D45960" w:rsidRDefault="00000000">
            <w:pPr>
              <w:widowControl/>
              <w:spacing w:line="250" w:lineRule="atLeast"/>
              <w:ind w:firstLineChars="0" w:firstLine="0"/>
              <w:jc w:val="left"/>
              <w:rPr>
                <w:rFonts w:ascii="Segoe UI" w:eastAsia="Segoe UI" w:hAnsi="Segoe UI" w:cs="Segoe UI"/>
                <w:sz w:val="15"/>
                <w:szCs w:val="15"/>
              </w:rPr>
            </w:pPr>
            <w:r>
              <w:rPr>
                <w:rFonts w:ascii="Segoe UI" w:eastAsia="Segoe UI" w:hAnsi="Segoe UI" w:cs="Segoe UI"/>
                <w:kern w:val="0"/>
                <w:sz w:val="15"/>
                <w:szCs w:val="15"/>
                <w:lang w:bidi="ar"/>
              </w:rPr>
              <w:t>+0.21%</w:t>
            </w:r>
          </w:p>
        </w:tc>
        <w:tc>
          <w:tcPr>
            <w:tcW w:w="0" w:type="auto"/>
            <w:tcMar>
              <w:top w:w="100" w:type="dxa"/>
              <w:left w:w="160" w:type="dxa"/>
              <w:bottom w:w="100" w:type="dxa"/>
              <w:right w:w="0" w:type="dxa"/>
            </w:tcMar>
            <w:vAlign w:val="center"/>
          </w:tcPr>
          <w:p w14:paraId="07FA53BF" w14:textId="77777777" w:rsidR="00D45960" w:rsidRDefault="00000000">
            <w:pPr>
              <w:widowControl/>
              <w:spacing w:line="250" w:lineRule="atLeast"/>
              <w:ind w:firstLineChars="0" w:firstLine="0"/>
              <w:jc w:val="left"/>
              <w:rPr>
                <w:rFonts w:ascii="Segoe UI" w:eastAsia="Segoe UI" w:hAnsi="Segoe UI" w:cs="Segoe UI"/>
                <w:sz w:val="15"/>
                <w:szCs w:val="15"/>
              </w:rPr>
            </w:pPr>
            <w:r>
              <w:rPr>
                <w:rFonts w:ascii="Segoe UI" w:eastAsia="Segoe UI" w:hAnsi="Segoe UI" w:cs="Segoe UI"/>
                <w:kern w:val="0"/>
                <w:sz w:val="15"/>
                <w:szCs w:val="15"/>
                <w:lang w:bidi="ar"/>
              </w:rPr>
              <w:t>—</w:t>
            </w:r>
          </w:p>
        </w:tc>
      </w:tr>
    </w:tbl>
    <w:p w14:paraId="1CBE72FC" w14:textId="5E952529" w:rsidR="00D45960" w:rsidRDefault="00000000">
      <w:pPr>
        <w:pStyle w:val="a3"/>
        <w:widowControl/>
        <w:shd w:val="clear" w:color="auto" w:fill="FFFFFF"/>
        <w:spacing w:before="160" w:after="160"/>
        <w:ind w:firstLineChars="0" w:firstLine="0"/>
        <w:rPr>
          <w:rFonts w:ascii="Segoe UI" w:eastAsia="Segoe UI" w:hAnsi="Segoe UI" w:cs="Segoe UI"/>
          <w:color w:val="0F1115"/>
          <w:sz w:val="16"/>
          <w:szCs w:val="16"/>
        </w:rPr>
      </w:pPr>
      <w:r>
        <w:rPr>
          <w:rFonts w:ascii="Segoe UI" w:eastAsia="Segoe UI" w:hAnsi="Segoe UI" w:cs="Segoe UI"/>
          <w:color w:val="0F1115"/>
          <w:sz w:val="16"/>
          <w:szCs w:val="16"/>
          <w:shd w:val="clear" w:color="auto" w:fill="FFFFFF"/>
        </w:rPr>
        <w:t>按净利润绝对值，可切割出三个梯队。第一梯队只有</w:t>
      </w:r>
      <w:proofErr w:type="gramStart"/>
      <w:r>
        <w:rPr>
          <w:rFonts w:ascii="Segoe UI" w:eastAsia="Segoe UI" w:hAnsi="Segoe UI" w:cs="Segoe UI"/>
          <w:color w:val="0F1115"/>
          <w:sz w:val="16"/>
          <w:szCs w:val="16"/>
          <w:shd w:val="clear" w:color="auto" w:fill="FFFFFF"/>
        </w:rPr>
        <w:t>工银瑞信</w:t>
      </w:r>
      <w:proofErr w:type="gramEnd"/>
      <w:r>
        <w:rPr>
          <w:rFonts w:ascii="Segoe UI" w:eastAsia="Segoe UI" w:hAnsi="Segoe UI" w:cs="Segoe UI"/>
          <w:color w:val="0F1115"/>
          <w:sz w:val="16"/>
          <w:szCs w:val="16"/>
          <w:shd w:val="clear" w:color="auto" w:fill="FFFFFF"/>
        </w:rPr>
        <w:t>一家，30亿元净利润是第二梯队招商基金的两倍以上，与全行业净利润第一的易方达基金（超38亿元）的差距已大幅收窄。</w:t>
      </w:r>
    </w:p>
    <w:p w14:paraId="514DE332" w14:textId="77777777" w:rsidR="00D45960" w:rsidRDefault="00000000">
      <w:pPr>
        <w:pStyle w:val="a3"/>
        <w:widowControl/>
        <w:shd w:val="clear" w:color="auto" w:fill="FFFFFF"/>
        <w:spacing w:before="160" w:after="160"/>
        <w:ind w:firstLineChars="0" w:firstLine="0"/>
        <w:rPr>
          <w:rFonts w:ascii="Segoe UI" w:eastAsia="Segoe UI" w:hAnsi="Segoe UI" w:cs="Segoe UI"/>
          <w:color w:val="0F1115"/>
          <w:sz w:val="16"/>
          <w:szCs w:val="16"/>
        </w:rPr>
      </w:pPr>
      <w:r>
        <w:rPr>
          <w:rFonts w:ascii="Segoe UI" w:eastAsia="Segoe UI" w:hAnsi="Segoe UI" w:cs="Segoe UI"/>
          <w:color w:val="0F1115"/>
          <w:sz w:val="16"/>
          <w:szCs w:val="16"/>
          <w:shd w:val="clear" w:color="auto" w:fill="FFFFFF"/>
        </w:rPr>
        <w:lastRenderedPageBreak/>
        <w:t>第二梯队由招商基金、中银基金、建信基金和交银施罗德基金四家构成，净利润集中在7.65亿元至15.31亿元区间。但这一梯队的内部增速分化最为剧烈</w:t>
      </w:r>
      <w:r>
        <w:rPr>
          <w:rFonts w:ascii="Segoe UI" w:hAnsi="Segoe UI" w:cs="Segoe UI" w:hint="eastAsia"/>
          <w:color w:val="0F1115"/>
          <w:sz w:val="16"/>
          <w:szCs w:val="16"/>
          <w:shd w:val="clear" w:color="auto" w:fill="FFFFFF"/>
        </w:rPr>
        <w:t>，</w:t>
      </w:r>
      <w:r>
        <w:rPr>
          <w:rFonts w:ascii="Segoe UI" w:eastAsia="Segoe UI" w:hAnsi="Segoe UI" w:cs="Segoe UI"/>
          <w:color w:val="0F1115"/>
          <w:sz w:val="16"/>
          <w:szCs w:val="16"/>
          <w:shd w:val="clear" w:color="auto" w:fill="FFFFFF"/>
        </w:rPr>
        <w:t>招商基金-12.85%、交银施罗德-12.97%在降，中</w:t>
      </w:r>
      <w:proofErr w:type="gramStart"/>
      <w:r>
        <w:rPr>
          <w:rFonts w:ascii="Segoe UI" w:eastAsia="Segoe UI" w:hAnsi="Segoe UI" w:cs="Segoe UI"/>
          <w:color w:val="0F1115"/>
          <w:sz w:val="16"/>
          <w:szCs w:val="16"/>
          <w:shd w:val="clear" w:color="auto" w:fill="FFFFFF"/>
        </w:rPr>
        <w:t>银基金</w:t>
      </w:r>
      <w:proofErr w:type="gramEnd"/>
      <w:r>
        <w:rPr>
          <w:rFonts w:ascii="Segoe UI" w:eastAsia="Segoe UI" w:hAnsi="Segoe UI" w:cs="Segoe UI"/>
          <w:color w:val="0F1115"/>
          <w:sz w:val="16"/>
          <w:szCs w:val="16"/>
          <w:shd w:val="clear" w:color="auto" w:fill="FFFFFF"/>
        </w:rPr>
        <w:t>+12.91%在涨，建信基金+2.96%在停滞</w:t>
      </w:r>
      <w:r>
        <w:rPr>
          <w:rFonts w:ascii="Segoe UI" w:hAnsi="Segoe UI" w:cs="Segoe UI" w:hint="eastAsia"/>
          <w:color w:val="0F1115"/>
          <w:sz w:val="16"/>
          <w:szCs w:val="16"/>
          <w:shd w:val="clear" w:color="auto" w:fill="FFFFFF"/>
        </w:rPr>
        <w:t>，</w:t>
      </w:r>
      <w:r>
        <w:rPr>
          <w:rFonts w:ascii="Segoe UI" w:eastAsia="Segoe UI" w:hAnsi="Segoe UI" w:cs="Segoe UI"/>
          <w:color w:val="0F1115"/>
          <w:sz w:val="16"/>
          <w:szCs w:val="16"/>
          <w:shd w:val="clear" w:color="auto" w:fill="FFFFFF"/>
        </w:rPr>
        <w:t>同一个梯队，截然不同的方向。</w:t>
      </w:r>
    </w:p>
    <w:p w14:paraId="3411D11A" w14:textId="77777777" w:rsidR="00D45960" w:rsidRDefault="00000000">
      <w:pPr>
        <w:pStyle w:val="a3"/>
        <w:widowControl/>
        <w:shd w:val="clear" w:color="auto" w:fill="FFFFFF"/>
        <w:spacing w:before="160" w:after="160"/>
        <w:ind w:firstLineChars="0" w:firstLine="0"/>
        <w:rPr>
          <w:rFonts w:ascii="Segoe UI" w:eastAsia="Segoe UI" w:hAnsi="Segoe UI" w:cs="Segoe UI"/>
          <w:color w:val="0F1115"/>
          <w:sz w:val="16"/>
          <w:szCs w:val="16"/>
        </w:rPr>
      </w:pPr>
      <w:r>
        <w:rPr>
          <w:rFonts w:ascii="Segoe UI" w:eastAsia="Segoe UI" w:hAnsi="Segoe UI" w:cs="Segoe UI"/>
          <w:color w:val="0F1115"/>
          <w:sz w:val="16"/>
          <w:szCs w:val="16"/>
          <w:shd w:val="clear" w:color="auto" w:fill="FFFFFF"/>
        </w:rPr>
        <w:t>第三梯队的</w:t>
      </w:r>
      <w:proofErr w:type="gramStart"/>
      <w:r>
        <w:rPr>
          <w:rFonts w:ascii="Segoe UI" w:eastAsia="Segoe UI" w:hAnsi="Segoe UI" w:cs="Segoe UI"/>
          <w:color w:val="0F1115"/>
          <w:sz w:val="16"/>
          <w:szCs w:val="16"/>
          <w:shd w:val="clear" w:color="auto" w:fill="FFFFFF"/>
        </w:rPr>
        <w:t>永赢基金</w:t>
      </w:r>
      <w:proofErr w:type="gramEnd"/>
      <w:r>
        <w:rPr>
          <w:rFonts w:ascii="Segoe UI" w:eastAsia="Segoe UI" w:hAnsi="Segoe UI" w:cs="Segoe UI"/>
          <w:color w:val="0F1115"/>
          <w:sz w:val="16"/>
          <w:szCs w:val="16"/>
          <w:shd w:val="clear" w:color="auto" w:fill="FFFFFF"/>
        </w:rPr>
        <w:t>和兴业基金虽然利润绝对值不占优，但增速均高居两位数甚至三位数。</w:t>
      </w:r>
      <w:proofErr w:type="gramStart"/>
      <w:r>
        <w:rPr>
          <w:rFonts w:ascii="Segoe UI" w:eastAsia="Segoe UI" w:hAnsi="Segoe UI" w:cs="Segoe UI"/>
          <w:color w:val="0F1115"/>
          <w:sz w:val="16"/>
          <w:szCs w:val="16"/>
          <w:shd w:val="clear" w:color="auto" w:fill="FFFFFF"/>
        </w:rPr>
        <w:t>永赢基金</w:t>
      </w:r>
      <w:proofErr w:type="gramEnd"/>
      <w:r>
        <w:rPr>
          <w:rFonts w:ascii="Segoe UI" w:eastAsia="Segoe UI" w:hAnsi="Segoe UI" w:cs="Segoe UI"/>
          <w:color w:val="0F1115"/>
          <w:sz w:val="16"/>
          <w:szCs w:val="16"/>
          <w:shd w:val="clear" w:color="auto" w:fill="FFFFFF"/>
        </w:rPr>
        <w:t>136.08%的增幅在行业已披露数据的机构中位居前列，兴业基金20.33%的增幅同样远超行业均值。</w:t>
      </w:r>
    </w:p>
    <w:p w14:paraId="2A8FA76A" w14:textId="77777777" w:rsidR="00D45960" w:rsidRDefault="00000000">
      <w:pPr>
        <w:pStyle w:val="2"/>
        <w:widowControl/>
        <w:shd w:val="clear" w:color="auto" w:fill="FFFFFF"/>
        <w:spacing w:before="320" w:beforeAutospacing="0" w:after="160" w:afterAutospacing="0" w:line="320" w:lineRule="atLeast"/>
        <w:ind w:firstLineChars="0" w:firstLine="0"/>
        <w:rPr>
          <w:rFonts w:ascii="Segoe UI" w:eastAsia="Segoe UI" w:hAnsi="Segoe UI" w:cs="Segoe UI" w:hint="default"/>
          <w:color w:val="0F1115"/>
          <w:sz w:val="22"/>
          <w:szCs w:val="22"/>
        </w:rPr>
      </w:pPr>
      <w:proofErr w:type="gramStart"/>
      <w:r>
        <w:rPr>
          <w:rFonts w:ascii="Segoe UI" w:eastAsia="Segoe UI" w:hAnsi="Segoe UI" w:cs="Segoe UI" w:hint="default"/>
          <w:color w:val="0F1115"/>
          <w:sz w:val="22"/>
          <w:szCs w:val="22"/>
          <w:shd w:val="clear" w:color="auto" w:fill="FFFFFF"/>
        </w:rPr>
        <w:t>工银瑞信</w:t>
      </w:r>
      <w:proofErr w:type="gramEnd"/>
      <w:r>
        <w:rPr>
          <w:rFonts w:ascii="Segoe UI" w:eastAsia="Segoe UI" w:hAnsi="Segoe UI" w:cs="Segoe UI" w:hint="default"/>
          <w:color w:val="0F1115"/>
          <w:sz w:val="22"/>
          <w:szCs w:val="22"/>
          <w:shd w:val="clear" w:color="auto" w:fill="FFFFFF"/>
        </w:rPr>
        <w:t>42.51%的高增密码</w:t>
      </w:r>
      <w:r>
        <w:rPr>
          <w:rFonts w:ascii="Segoe UI" w:hAnsi="Segoe UI" w:cs="Segoe UI"/>
          <w:color w:val="0F1115"/>
          <w:sz w:val="22"/>
          <w:szCs w:val="22"/>
          <w:shd w:val="clear" w:color="auto" w:fill="FFFFFF"/>
        </w:rPr>
        <w:t>，</w:t>
      </w:r>
      <w:proofErr w:type="gramStart"/>
      <w:r>
        <w:rPr>
          <w:rFonts w:ascii="Segoe UI" w:eastAsia="Segoe UI" w:hAnsi="Segoe UI" w:cs="Segoe UI" w:hint="default"/>
          <w:color w:val="0F1115"/>
          <w:sz w:val="22"/>
          <w:szCs w:val="22"/>
          <w:shd w:val="clear" w:color="auto" w:fill="FFFFFF"/>
        </w:rPr>
        <w:t>固收底仓</w:t>
      </w:r>
      <w:proofErr w:type="gramEnd"/>
      <w:r>
        <w:rPr>
          <w:rFonts w:ascii="Segoe UI" w:eastAsia="Segoe UI" w:hAnsi="Segoe UI" w:cs="Segoe UI" w:hint="default"/>
          <w:color w:val="0F1115"/>
          <w:sz w:val="22"/>
          <w:szCs w:val="22"/>
          <w:shd w:val="clear" w:color="auto" w:fill="FFFFFF"/>
        </w:rPr>
        <w:t>×万亿母行渠道</w:t>
      </w:r>
    </w:p>
    <w:p w14:paraId="64166698" w14:textId="77777777" w:rsidR="00D45960" w:rsidRDefault="00000000">
      <w:pPr>
        <w:pStyle w:val="a3"/>
        <w:widowControl/>
        <w:shd w:val="clear" w:color="auto" w:fill="FFFFFF"/>
        <w:spacing w:before="160" w:after="160"/>
        <w:ind w:firstLineChars="0" w:firstLine="0"/>
        <w:rPr>
          <w:rFonts w:ascii="Segoe UI" w:eastAsia="Segoe UI" w:hAnsi="Segoe UI" w:cs="Segoe UI"/>
          <w:color w:val="0F1115"/>
          <w:sz w:val="16"/>
          <w:szCs w:val="16"/>
        </w:rPr>
      </w:pPr>
      <w:proofErr w:type="gramStart"/>
      <w:r>
        <w:rPr>
          <w:rFonts w:ascii="Segoe UI" w:eastAsia="Segoe UI" w:hAnsi="Segoe UI" w:cs="Segoe UI"/>
          <w:color w:val="0F1115"/>
          <w:sz w:val="16"/>
          <w:szCs w:val="16"/>
          <w:shd w:val="clear" w:color="auto" w:fill="FFFFFF"/>
        </w:rPr>
        <w:t>工银瑞信</w:t>
      </w:r>
      <w:proofErr w:type="gramEnd"/>
      <w:r>
        <w:rPr>
          <w:rFonts w:ascii="Segoe UI" w:eastAsia="Segoe UI" w:hAnsi="Segoe UI" w:cs="Segoe UI"/>
          <w:color w:val="0F1115"/>
          <w:sz w:val="16"/>
          <w:szCs w:val="16"/>
          <w:shd w:val="clear" w:color="auto" w:fill="FFFFFF"/>
        </w:rPr>
        <w:t>2025年的年报拆开来看，有几个关键数据支撑着其利润暴增。</w:t>
      </w:r>
    </w:p>
    <w:p w14:paraId="4A6AD44C" w14:textId="2B842DA5" w:rsidR="00D45960" w:rsidRDefault="00000000">
      <w:pPr>
        <w:pStyle w:val="a3"/>
        <w:widowControl/>
        <w:shd w:val="clear" w:color="auto" w:fill="FFFFFF"/>
        <w:spacing w:before="160" w:after="160"/>
        <w:ind w:firstLineChars="0" w:firstLine="0"/>
        <w:rPr>
          <w:rFonts w:ascii="Segoe UI" w:eastAsia="Segoe UI" w:hAnsi="Segoe UI" w:cs="Segoe UI"/>
          <w:color w:val="0F1115"/>
          <w:sz w:val="16"/>
          <w:szCs w:val="16"/>
        </w:rPr>
      </w:pPr>
      <w:r>
        <w:rPr>
          <w:rFonts w:ascii="Segoe UI" w:eastAsia="Segoe UI" w:hAnsi="Segoe UI" w:cs="Segoe UI"/>
          <w:color w:val="0F1115"/>
          <w:sz w:val="16"/>
          <w:szCs w:val="16"/>
          <w:shd w:val="clear" w:color="auto" w:fill="FFFFFF"/>
        </w:rPr>
        <w:t>从管理规模看，截至2025年末，</w:t>
      </w:r>
      <w:proofErr w:type="gramStart"/>
      <w:r>
        <w:rPr>
          <w:rFonts w:ascii="Segoe UI" w:eastAsia="Segoe UI" w:hAnsi="Segoe UI" w:cs="Segoe UI"/>
          <w:color w:val="0F1115"/>
          <w:sz w:val="16"/>
          <w:szCs w:val="16"/>
          <w:shd w:val="clear" w:color="auto" w:fill="FFFFFF"/>
        </w:rPr>
        <w:t>工银瑞信</w:t>
      </w:r>
      <w:proofErr w:type="gramEnd"/>
      <w:r>
        <w:rPr>
          <w:rFonts w:ascii="Segoe UI" w:eastAsia="Segoe UI" w:hAnsi="Segoe UI" w:cs="Segoe UI"/>
          <w:color w:val="0F1115"/>
          <w:sz w:val="16"/>
          <w:szCs w:val="16"/>
          <w:shd w:val="clear" w:color="auto" w:fill="FFFFFF"/>
        </w:rPr>
        <w:t>基金管理公</w:t>
      </w:r>
      <w:proofErr w:type="gramStart"/>
      <w:r>
        <w:rPr>
          <w:rFonts w:ascii="Segoe UI" w:eastAsia="Segoe UI" w:hAnsi="Segoe UI" w:cs="Segoe UI"/>
          <w:color w:val="0F1115"/>
          <w:sz w:val="16"/>
          <w:szCs w:val="16"/>
          <w:shd w:val="clear" w:color="auto" w:fill="FFFFFF"/>
        </w:rPr>
        <w:t>募基金</w:t>
      </w:r>
      <w:proofErr w:type="gramEnd"/>
      <w:r>
        <w:rPr>
          <w:rFonts w:ascii="Segoe UI" w:eastAsia="Segoe UI" w:hAnsi="Segoe UI" w:cs="Segoe UI"/>
          <w:color w:val="0F1115"/>
          <w:sz w:val="16"/>
          <w:szCs w:val="16"/>
          <w:shd w:val="clear" w:color="auto" w:fill="FFFFFF"/>
        </w:rPr>
        <w:t>272只，管理年金、专户、专项组合653个，公</w:t>
      </w:r>
      <w:proofErr w:type="gramStart"/>
      <w:r>
        <w:rPr>
          <w:rFonts w:ascii="Segoe UI" w:eastAsia="Segoe UI" w:hAnsi="Segoe UI" w:cs="Segoe UI"/>
          <w:color w:val="0F1115"/>
          <w:sz w:val="16"/>
          <w:szCs w:val="16"/>
          <w:shd w:val="clear" w:color="auto" w:fill="FFFFFF"/>
        </w:rPr>
        <w:t>募管理</w:t>
      </w:r>
      <w:proofErr w:type="gramEnd"/>
      <w:r>
        <w:rPr>
          <w:rFonts w:ascii="Segoe UI" w:eastAsia="Segoe UI" w:hAnsi="Segoe UI" w:cs="Segoe UI"/>
          <w:color w:val="0F1115"/>
          <w:sz w:val="16"/>
          <w:szCs w:val="16"/>
          <w:shd w:val="clear" w:color="auto" w:fill="FFFFFF"/>
        </w:rPr>
        <w:t>规模约9067亿元，行业排名稳居第13位。在进入百只基金俱乐部的超大型公募中，</w:t>
      </w:r>
      <w:proofErr w:type="gramStart"/>
      <w:r>
        <w:rPr>
          <w:rFonts w:ascii="Segoe UI" w:eastAsia="Segoe UI" w:hAnsi="Segoe UI" w:cs="Segoe UI"/>
          <w:color w:val="0F1115"/>
          <w:sz w:val="16"/>
          <w:szCs w:val="16"/>
          <w:shd w:val="clear" w:color="auto" w:fill="FFFFFF"/>
        </w:rPr>
        <w:t>工银瑞信</w:t>
      </w:r>
      <w:proofErr w:type="gramEnd"/>
      <w:r>
        <w:rPr>
          <w:rFonts w:ascii="Segoe UI" w:eastAsia="Segoe UI" w:hAnsi="Segoe UI" w:cs="Segoe UI"/>
          <w:color w:val="0F1115"/>
          <w:sz w:val="16"/>
          <w:szCs w:val="16"/>
          <w:shd w:val="clear" w:color="auto" w:fill="FFFFFF"/>
        </w:rPr>
        <w:t>是用相对较小的规模创造了远超同体的利润</w:t>
      </w:r>
      <w:r>
        <w:rPr>
          <w:rFonts w:ascii="Segoe UI" w:hAnsi="Segoe UI" w:cs="Segoe UI" w:hint="eastAsia"/>
          <w:color w:val="0F1115"/>
          <w:sz w:val="16"/>
          <w:szCs w:val="16"/>
          <w:shd w:val="clear" w:color="auto" w:fill="FFFFFF"/>
        </w:rPr>
        <w:t>，</w:t>
      </w:r>
      <w:r>
        <w:rPr>
          <w:rFonts w:ascii="Segoe UI" w:eastAsia="Segoe UI" w:hAnsi="Segoe UI" w:cs="Segoe UI"/>
          <w:color w:val="0F1115"/>
          <w:sz w:val="16"/>
          <w:szCs w:val="16"/>
          <w:shd w:val="clear" w:color="auto" w:fill="FFFFFF"/>
        </w:rPr>
        <w:t>同为银行系公募的建信基金公</w:t>
      </w:r>
      <w:proofErr w:type="gramStart"/>
      <w:r>
        <w:rPr>
          <w:rFonts w:ascii="Segoe UI" w:eastAsia="Segoe UI" w:hAnsi="Segoe UI" w:cs="Segoe UI"/>
          <w:color w:val="0F1115"/>
          <w:sz w:val="16"/>
          <w:szCs w:val="16"/>
          <w:shd w:val="clear" w:color="auto" w:fill="FFFFFF"/>
        </w:rPr>
        <w:t>募规模</w:t>
      </w:r>
      <w:proofErr w:type="gramEnd"/>
      <w:r>
        <w:rPr>
          <w:rFonts w:ascii="Segoe UI" w:eastAsia="Segoe UI" w:hAnsi="Segoe UI" w:cs="Segoe UI"/>
          <w:color w:val="0F1115"/>
          <w:sz w:val="16"/>
          <w:szCs w:val="16"/>
          <w:shd w:val="clear" w:color="auto" w:fill="FFFFFF"/>
        </w:rPr>
        <w:t>9736亿元超出</w:t>
      </w:r>
      <w:proofErr w:type="gramStart"/>
      <w:r>
        <w:rPr>
          <w:rFonts w:ascii="Segoe UI" w:eastAsia="Segoe UI" w:hAnsi="Segoe UI" w:cs="Segoe UI"/>
          <w:color w:val="0F1115"/>
          <w:sz w:val="16"/>
          <w:szCs w:val="16"/>
          <w:shd w:val="clear" w:color="auto" w:fill="FFFFFF"/>
        </w:rPr>
        <w:t>工银瑞信</w:t>
      </w:r>
      <w:proofErr w:type="gramEnd"/>
      <w:r>
        <w:rPr>
          <w:rFonts w:ascii="Segoe UI" w:eastAsia="Segoe UI" w:hAnsi="Segoe UI" w:cs="Segoe UI"/>
          <w:color w:val="0F1115"/>
          <w:sz w:val="16"/>
          <w:szCs w:val="16"/>
          <w:shd w:val="clear" w:color="auto" w:fill="FFFFFF"/>
        </w:rPr>
        <w:t>近700亿元，但净利润仅</w:t>
      </w:r>
      <w:proofErr w:type="gramStart"/>
      <w:r>
        <w:rPr>
          <w:rFonts w:ascii="Segoe UI" w:eastAsia="Segoe UI" w:hAnsi="Segoe UI" w:cs="Segoe UI"/>
          <w:color w:val="0F1115"/>
          <w:sz w:val="16"/>
          <w:szCs w:val="16"/>
          <w:shd w:val="clear" w:color="auto" w:fill="FFFFFF"/>
        </w:rPr>
        <w:t>为工银瑞信</w:t>
      </w:r>
      <w:proofErr w:type="gramEnd"/>
      <w:r>
        <w:rPr>
          <w:rFonts w:ascii="Segoe UI" w:eastAsia="Segoe UI" w:hAnsi="Segoe UI" w:cs="Segoe UI"/>
          <w:color w:val="0F1115"/>
          <w:sz w:val="16"/>
          <w:szCs w:val="16"/>
          <w:shd w:val="clear" w:color="auto" w:fill="FFFFFF"/>
        </w:rPr>
        <w:t>的不到三分之一。</w:t>
      </w:r>
    </w:p>
    <w:p w14:paraId="7F5F43D8" w14:textId="08D7D63B" w:rsidR="00D45960" w:rsidRDefault="00000000">
      <w:pPr>
        <w:pStyle w:val="a3"/>
        <w:widowControl/>
        <w:shd w:val="clear" w:color="auto" w:fill="FFFFFF"/>
        <w:spacing w:before="160" w:after="160"/>
        <w:ind w:firstLineChars="0" w:firstLine="0"/>
        <w:rPr>
          <w:rFonts w:ascii="Segoe UI" w:eastAsia="Segoe UI" w:hAnsi="Segoe UI" w:cs="Segoe UI"/>
          <w:color w:val="0F1115"/>
          <w:sz w:val="16"/>
          <w:szCs w:val="16"/>
        </w:rPr>
      </w:pPr>
      <w:r>
        <w:rPr>
          <w:rFonts w:ascii="Segoe UI" w:eastAsia="Segoe UI" w:hAnsi="Segoe UI" w:cs="Segoe UI"/>
          <w:color w:val="0F1115"/>
          <w:sz w:val="16"/>
          <w:szCs w:val="16"/>
          <w:shd w:val="clear" w:color="auto" w:fill="FFFFFF"/>
        </w:rPr>
        <w:t>利润结构差异的核心在于产品组合。</w:t>
      </w:r>
      <w:proofErr w:type="gramStart"/>
      <w:r>
        <w:rPr>
          <w:rFonts w:ascii="Segoe UI" w:eastAsia="Segoe UI" w:hAnsi="Segoe UI" w:cs="Segoe UI"/>
          <w:color w:val="0F1115"/>
          <w:sz w:val="16"/>
          <w:szCs w:val="16"/>
          <w:shd w:val="clear" w:color="auto" w:fill="FFFFFF"/>
        </w:rPr>
        <w:t>工银瑞信</w:t>
      </w:r>
      <w:proofErr w:type="gramEnd"/>
      <w:r>
        <w:rPr>
          <w:rFonts w:ascii="Segoe UI" w:eastAsia="Segoe UI" w:hAnsi="Segoe UI" w:cs="Segoe UI"/>
          <w:color w:val="0F1115"/>
          <w:sz w:val="16"/>
          <w:szCs w:val="16"/>
          <w:shd w:val="clear" w:color="auto" w:fill="FFFFFF"/>
        </w:rPr>
        <w:t>并未披露公募管理费的详细结构，但从其社保、年金、个人养老金等三大支柱养老金投资管理业务的持续发力可以推知</w:t>
      </w:r>
      <w:r>
        <w:rPr>
          <w:rFonts w:ascii="Segoe UI" w:hAnsi="Segoe UI" w:cs="Segoe UI" w:hint="eastAsia"/>
          <w:color w:val="0F1115"/>
          <w:sz w:val="16"/>
          <w:szCs w:val="16"/>
          <w:shd w:val="clear" w:color="auto" w:fill="FFFFFF"/>
        </w:rPr>
        <w:t>，</w:t>
      </w:r>
      <w:r>
        <w:rPr>
          <w:rFonts w:ascii="Segoe UI" w:eastAsia="Segoe UI" w:hAnsi="Segoe UI" w:cs="Segoe UI"/>
          <w:color w:val="0F1115"/>
          <w:sz w:val="16"/>
          <w:szCs w:val="16"/>
          <w:shd w:val="clear" w:color="auto" w:fill="FFFFFF"/>
        </w:rPr>
        <w:t>工</w:t>
      </w:r>
      <w:proofErr w:type="gramStart"/>
      <w:r>
        <w:rPr>
          <w:rFonts w:ascii="Segoe UI" w:eastAsia="Segoe UI" w:hAnsi="Segoe UI" w:cs="Segoe UI"/>
          <w:color w:val="0F1115"/>
          <w:sz w:val="16"/>
          <w:szCs w:val="16"/>
          <w:shd w:val="clear" w:color="auto" w:fill="FFFFFF"/>
        </w:rPr>
        <w:t>银瑞信全资格</w:t>
      </w:r>
      <w:proofErr w:type="gramEnd"/>
      <w:r>
        <w:rPr>
          <w:rFonts w:ascii="Segoe UI" w:eastAsia="Segoe UI" w:hAnsi="Segoe UI" w:cs="Segoe UI"/>
          <w:color w:val="0F1115"/>
          <w:sz w:val="16"/>
          <w:szCs w:val="16"/>
          <w:shd w:val="clear" w:color="auto" w:fill="FFFFFF"/>
        </w:rPr>
        <w:t>基金公司的牌照红利正在转化为真实的利润溢价。工商银行2025年年报明确提到，</w:t>
      </w:r>
      <w:proofErr w:type="gramStart"/>
      <w:r>
        <w:rPr>
          <w:rFonts w:ascii="Segoe UI" w:eastAsia="Segoe UI" w:hAnsi="Segoe UI" w:cs="Segoe UI"/>
          <w:color w:val="0F1115"/>
          <w:sz w:val="16"/>
          <w:szCs w:val="16"/>
          <w:shd w:val="clear" w:color="auto" w:fill="FFFFFF"/>
        </w:rPr>
        <w:t>工银瑞信</w:t>
      </w:r>
      <w:proofErr w:type="gramEnd"/>
      <w:r>
        <w:rPr>
          <w:rFonts w:ascii="Segoe UI" w:eastAsia="Segoe UI" w:hAnsi="Segoe UI" w:cs="Segoe UI"/>
          <w:color w:val="0F1115"/>
          <w:sz w:val="16"/>
          <w:szCs w:val="16"/>
          <w:shd w:val="clear" w:color="auto" w:fill="FFFFFF"/>
        </w:rPr>
        <w:t>强化了社保、年金、个人养老金等三大支柱养老金投资管理业务发展，提升养老金客户服务能力，</w:t>
      </w:r>
      <w:proofErr w:type="gramStart"/>
      <w:r>
        <w:rPr>
          <w:rFonts w:ascii="Segoe UI" w:eastAsia="Segoe UI" w:hAnsi="Segoe UI" w:cs="Segoe UI"/>
          <w:color w:val="0F1115"/>
          <w:sz w:val="16"/>
          <w:szCs w:val="16"/>
          <w:shd w:val="clear" w:color="auto" w:fill="FFFFFF"/>
        </w:rPr>
        <w:t>做优投资</w:t>
      </w:r>
      <w:proofErr w:type="gramEnd"/>
      <w:r>
        <w:rPr>
          <w:rFonts w:ascii="Segoe UI" w:eastAsia="Segoe UI" w:hAnsi="Segoe UI" w:cs="Segoe UI"/>
          <w:color w:val="0F1115"/>
          <w:sz w:val="16"/>
          <w:szCs w:val="16"/>
          <w:shd w:val="clear" w:color="auto" w:fill="FFFFFF"/>
        </w:rPr>
        <w:t>业绩，这部分管理费率较高的机构业务贡献了相当比例的利润增量。</w:t>
      </w:r>
    </w:p>
    <w:p w14:paraId="04BAA651" w14:textId="77777777" w:rsidR="00D45960" w:rsidRDefault="00000000">
      <w:pPr>
        <w:pStyle w:val="a3"/>
        <w:widowControl/>
        <w:shd w:val="clear" w:color="auto" w:fill="FFFFFF"/>
        <w:spacing w:before="160" w:after="160"/>
        <w:ind w:firstLineChars="0" w:firstLine="0"/>
        <w:rPr>
          <w:rFonts w:ascii="Segoe UI" w:eastAsia="Segoe UI" w:hAnsi="Segoe UI" w:cs="Segoe UI"/>
          <w:color w:val="0F1115"/>
          <w:sz w:val="16"/>
          <w:szCs w:val="16"/>
        </w:rPr>
      </w:pPr>
      <w:r>
        <w:rPr>
          <w:rFonts w:ascii="Segoe UI" w:eastAsia="Segoe UI" w:hAnsi="Segoe UI" w:cs="Segoe UI"/>
          <w:color w:val="0F1115"/>
          <w:sz w:val="16"/>
          <w:szCs w:val="16"/>
          <w:shd w:val="clear" w:color="auto" w:fill="FFFFFF"/>
        </w:rPr>
        <w:t>工商银行6.5亿个人客户和庞大的对公结算体系，</w:t>
      </w:r>
      <w:proofErr w:type="gramStart"/>
      <w:r>
        <w:rPr>
          <w:rFonts w:ascii="Segoe UI" w:eastAsia="Segoe UI" w:hAnsi="Segoe UI" w:cs="Segoe UI"/>
          <w:color w:val="0F1115"/>
          <w:sz w:val="16"/>
          <w:szCs w:val="16"/>
          <w:shd w:val="clear" w:color="auto" w:fill="FFFFFF"/>
        </w:rPr>
        <w:t>为工银瑞信</w:t>
      </w:r>
      <w:proofErr w:type="gramEnd"/>
      <w:r>
        <w:rPr>
          <w:rFonts w:ascii="Segoe UI" w:eastAsia="Segoe UI" w:hAnsi="Segoe UI" w:cs="Segoe UI"/>
          <w:color w:val="0F1115"/>
          <w:sz w:val="16"/>
          <w:szCs w:val="16"/>
          <w:shd w:val="clear" w:color="auto" w:fill="FFFFFF"/>
        </w:rPr>
        <w:t>提供的渠道优势难以被非银行</w:t>
      </w:r>
      <w:proofErr w:type="gramStart"/>
      <w:r>
        <w:rPr>
          <w:rFonts w:ascii="Segoe UI" w:eastAsia="Segoe UI" w:hAnsi="Segoe UI" w:cs="Segoe UI"/>
          <w:color w:val="0F1115"/>
          <w:sz w:val="16"/>
          <w:szCs w:val="16"/>
          <w:shd w:val="clear" w:color="auto" w:fill="FFFFFF"/>
        </w:rPr>
        <w:t>系基金</w:t>
      </w:r>
      <w:proofErr w:type="gramEnd"/>
      <w:r>
        <w:rPr>
          <w:rFonts w:ascii="Segoe UI" w:eastAsia="Segoe UI" w:hAnsi="Segoe UI" w:cs="Segoe UI"/>
          <w:color w:val="0F1115"/>
          <w:sz w:val="16"/>
          <w:szCs w:val="16"/>
          <w:shd w:val="clear" w:color="auto" w:fill="FFFFFF"/>
        </w:rPr>
        <w:t>复制。母</w:t>
      </w:r>
      <w:proofErr w:type="gramStart"/>
      <w:r>
        <w:rPr>
          <w:rFonts w:ascii="Segoe UI" w:eastAsia="Segoe UI" w:hAnsi="Segoe UI" w:cs="Segoe UI"/>
          <w:color w:val="0F1115"/>
          <w:sz w:val="16"/>
          <w:szCs w:val="16"/>
          <w:shd w:val="clear" w:color="auto" w:fill="FFFFFF"/>
        </w:rPr>
        <w:t>行渠道卖固收类</w:t>
      </w:r>
      <w:proofErr w:type="gramEnd"/>
      <w:r>
        <w:rPr>
          <w:rFonts w:ascii="Segoe UI" w:eastAsia="Segoe UI" w:hAnsi="Segoe UI" w:cs="Segoe UI"/>
          <w:color w:val="0F1115"/>
          <w:sz w:val="16"/>
          <w:szCs w:val="16"/>
          <w:shd w:val="clear" w:color="auto" w:fill="FFFFFF"/>
        </w:rPr>
        <w:t>产品天然具备转化效率，而在养老金这样高度依赖银行账户体系的领域，母</w:t>
      </w:r>
      <w:proofErr w:type="gramStart"/>
      <w:r>
        <w:rPr>
          <w:rFonts w:ascii="Segoe UI" w:eastAsia="Segoe UI" w:hAnsi="Segoe UI" w:cs="Segoe UI"/>
          <w:color w:val="0F1115"/>
          <w:sz w:val="16"/>
          <w:szCs w:val="16"/>
          <w:shd w:val="clear" w:color="auto" w:fill="FFFFFF"/>
        </w:rPr>
        <w:t>行渠道</w:t>
      </w:r>
      <w:proofErr w:type="gramEnd"/>
      <w:r>
        <w:rPr>
          <w:rFonts w:ascii="Segoe UI" w:eastAsia="Segoe UI" w:hAnsi="Segoe UI" w:cs="Segoe UI"/>
          <w:color w:val="0F1115"/>
          <w:sz w:val="16"/>
          <w:szCs w:val="16"/>
          <w:shd w:val="clear" w:color="auto" w:fill="FFFFFF"/>
        </w:rPr>
        <w:t>更是构成了事实上的准入壁垒。</w:t>
      </w:r>
      <w:proofErr w:type="gramStart"/>
      <w:r>
        <w:rPr>
          <w:rFonts w:ascii="Segoe UI" w:eastAsia="Segoe UI" w:hAnsi="Segoe UI" w:cs="Segoe UI"/>
          <w:color w:val="0F1115"/>
          <w:sz w:val="16"/>
          <w:szCs w:val="16"/>
          <w:shd w:val="clear" w:color="auto" w:fill="FFFFFF"/>
        </w:rPr>
        <w:t>工银瑞信</w:t>
      </w:r>
      <w:proofErr w:type="gramEnd"/>
      <w:r>
        <w:rPr>
          <w:rFonts w:ascii="Segoe UI" w:eastAsia="Segoe UI" w:hAnsi="Segoe UI" w:cs="Segoe UI"/>
          <w:color w:val="0F1115"/>
          <w:sz w:val="16"/>
          <w:szCs w:val="16"/>
          <w:shd w:val="clear" w:color="auto" w:fill="FFFFFF"/>
        </w:rPr>
        <w:t>30亿俱乐部的入门</w:t>
      </w:r>
      <w:proofErr w:type="gramStart"/>
      <w:r>
        <w:rPr>
          <w:rFonts w:ascii="Segoe UI" w:eastAsia="Segoe UI" w:hAnsi="Segoe UI" w:cs="Segoe UI"/>
          <w:color w:val="0F1115"/>
          <w:sz w:val="16"/>
          <w:szCs w:val="16"/>
          <w:shd w:val="clear" w:color="auto" w:fill="FFFFFF"/>
        </w:rPr>
        <w:t>券</w:t>
      </w:r>
      <w:proofErr w:type="gramEnd"/>
      <w:r>
        <w:rPr>
          <w:rFonts w:ascii="Segoe UI" w:eastAsia="Segoe UI" w:hAnsi="Segoe UI" w:cs="Segoe UI"/>
          <w:color w:val="0F1115"/>
          <w:sz w:val="16"/>
          <w:szCs w:val="16"/>
          <w:shd w:val="clear" w:color="auto" w:fill="FFFFFF"/>
        </w:rPr>
        <w:t>，不是靠单一品类的爆发，而是</w:t>
      </w:r>
      <w:proofErr w:type="gramStart"/>
      <w:r>
        <w:rPr>
          <w:rFonts w:ascii="Segoe UI" w:eastAsia="Segoe UI" w:hAnsi="Segoe UI" w:cs="Segoe UI"/>
          <w:color w:val="0F1115"/>
          <w:sz w:val="16"/>
          <w:szCs w:val="16"/>
          <w:shd w:val="clear" w:color="auto" w:fill="FFFFFF"/>
        </w:rPr>
        <w:t>靠固收</w:t>
      </w:r>
      <w:proofErr w:type="gramEnd"/>
      <w:r>
        <w:rPr>
          <w:rFonts w:ascii="Segoe UI" w:eastAsia="Segoe UI" w:hAnsi="Segoe UI" w:cs="Segoe UI"/>
          <w:color w:val="0F1115"/>
          <w:sz w:val="16"/>
          <w:szCs w:val="16"/>
          <w:shd w:val="clear" w:color="auto" w:fill="FFFFFF"/>
        </w:rPr>
        <w:t>底座、养老金管理费溢价和母</w:t>
      </w:r>
      <w:proofErr w:type="gramStart"/>
      <w:r>
        <w:rPr>
          <w:rFonts w:ascii="Segoe UI" w:eastAsia="Segoe UI" w:hAnsi="Segoe UI" w:cs="Segoe UI"/>
          <w:color w:val="0F1115"/>
          <w:sz w:val="16"/>
          <w:szCs w:val="16"/>
          <w:shd w:val="clear" w:color="auto" w:fill="FFFFFF"/>
        </w:rPr>
        <w:t>行渠道</w:t>
      </w:r>
      <w:proofErr w:type="gramEnd"/>
      <w:r>
        <w:rPr>
          <w:rFonts w:ascii="Segoe UI" w:eastAsia="Segoe UI" w:hAnsi="Segoe UI" w:cs="Segoe UI"/>
          <w:color w:val="0F1115"/>
          <w:sz w:val="16"/>
          <w:szCs w:val="16"/>
          <w:shd w:val="clear" w:color="auto" w:fill="FFFFFF"/>
        </w:rPr>
        <w:t>三位一体的合力推动。</w:t>
      </w:r>
    </w:p>
    <w:p w14:paraId="078B13D2" w14:textId="77777777" w:rsidR="00D45960" w:rsidRDefault="00000000">
      <w:pPr>
        <w:pStyle w:val="2"/>
        <w:widowControl/>
        <w:shd w:val="clear" w:color="auto" w:fill="FFFFFF"/>
        <w:spacing w:before="320" w:beforeAutospacing="0" w:after="160" w:afterAutospacing="0" w:line="320" w:lineRule="atLeast"/>
        <w:ind w:firstLineChars="0" w:firstLine="0"/>
        <w:rPr>
          <w:rFonts w:ascii="Segoe UI" w:eastAsia="Segoe UI" w:hAnsi="Segoe UI" w:cs="Segoe UI" w:hint="default"/>
          <w:color w:val="0F1115"/>
          <w:sz w:val="22"/>
          <w:szCs w:val="22"/>
        </w:rPr>
      </w:pPr>
      <w:r>
        <w:rPr>
          <w:rFonts w:ascii="Segoe UI" w:eastAsia="Segoe UI" w:hAnsi="Segoe UI" w:cs="Segoe UI" w:hint="default"/>
          <w:color w:val="0F1115"/>
          <w:sz w:val="22"/>
          <w:szCs w:val="22"/>
          <w:shd w:val="clear" w:color="auto" w:fill="FFFFFF"/>
        </w:rPr>
        <w:t>招商基金与交银施罗德的滑坡</w:t>
      </w:r>
      <w:r>
        <w:rPr>
          <w:rFonts w:ascii="Segoe UI" w:hAnsi="Segoe UI" w:cs="Segoe UI"/>
          <w:color w:val="0F1115"/>
          <w:sz w:val="22"/>
          <w:szCs w:val="22"/>
          <w:shd w:val="clear" w:color="auto" w:fill="FFFFFF"/>
        </w:rPr>
        <w:t>，</w:t>
      </w:r>
      <w:r>
        <w:rPr>
          <w:rFonts w:ascii="Segoe UI" w:eastAsia="Segoe UI" w:hAnsi="Segoe UI" w:cs="Segoe UI" w:hint="default"/>
          <w:color w:val="0F1115"/>
          <w:sz w:val="22"/>
          <w:szCs w:val="22"/>
          <w:shd w:val="clear" w:color="auto" w:fill="FFFFFF"/>
        </w:rPr>
        <w:t>同样连续下滑，不同的病灶</w:t>
      </w:r>
    </w:p>
    <w:p w14:paraId="7D842113" w14:textId="77777777" w:rsidR="00D45960" w:rsidRDefault="00000000">
      <w:pPr>
        <w:pStyle w:val="a3"/>
        <w:widowControl/>
        <w:shd w:val="clear" w:color="auto" w:fill="FFFFFF"/>
        <w:spacing w:before="160" w:after="160"/>
        <w:ind w:firstLineChars="0" w:firstLine="0"/>
        <w:rPr>
          <w:rFonts w:ascii="Segoe UI" w:eastAsia="Segoe UI" w:hAnsi="Segoe UI" w:cs="Segoe UI"/>
          <w:color w:val="0F1115"/>
          <w:sz w:val="16"/>
          <w:szCs w:val="16"/>
        </w:rPr>
      </w:pPr>
      <w:r>
        <w:rPr>
          <w:rFonts w:ascii="Segoe UI" w:eastAsia="Segoe UI" w:hAnsi="Segoe UI" w:cs="Segoe UI"/>
          <w:color w:val="0F1115"/>
          <w:sz w:val="16"/>
          <w:szCs w:val="16"/>
          <w:shd w:val="clear" w:color="auto" w:fill="FFFFFF"/>
        </w:rPr>
        <w:t>招商基金和交银施罗德都是净利润连续多年下滑的银行系公募，但两者的病灶截然不同。</w:t>
      </w:r>
    </w:p>
    <w:p w14:paraId="50F5C22C" w14:textId="199A9CD1" w:rsidR="00D45960" w:rsidRDefault="00000000">
      <w:pPr>
        <w:pStyle w:val="a3"/>
        <w:widowControl/>
        <w:shd w:val="clear" w:color="auto" w:fill="FFFFFF"/>
        <w:spacing w:before="160" w:after="160"/>
        <w:ind w:firstLineChars="0" w:firstLine="0"/>
        <w:rPr>
          <w:rFonts w:ascii="Segoe UI" w:eastAsia="Segoe UI" w:hAnsi="Segoe UI" w:cs="Segoe UI"/>
          <w:color w:val="0F1115"/>
          <w:sz w:val="16"/>
          <w:szCs w:val="16"/>
        </w:rPr>
      </w:pPr>
      <w:r>
        <w:rPr>
          <w:rFonts w:ascii="Segoe UI" w:eastAsia="Segoe UI" w:hAnsi="Segoe UI" w:cs="Segoe UI"/>
          <w:color w:val="0F1115"/>
          <w:sz w:val="16"/>
          <w:szCs w:val="16"/>
          <w:shd w:val="clear" w:color="auto" w:fill="FFFFFF"/>
        </w:rPr>
        <w:t>招商基金2025年净利润14.38亿元，同比下降12.85%，自2022年净利润登顶18.13亿元后已连续第三年下滑，较峰值累计缩水超3.75亿元。资产管理总规模（含子公司）15,944亿元，较上年增长1.63%；公</w:t>
      </w:r>
      <w:proofErr w:type="gramStart"/>
      <w:r>
        <w:rPr>
          <w:rFonts w:ascii="Segoe UI" w:eastAsia="Segoe UI" w:hAnsi="Segoe UI" w:cs="Segoe UI"/>
          <w:color w:val="0F1115"/>
          <w:sz w:val="16"/>
          <w:szCs w:val="16"/>
          <w:shd w:val="clear" w:color="auto" w:fill="FFFFFF"/>
        </w:rPr>
        <w:t>募基金</w:t>
      </w:r>
      <w:proofErr w:type="gramEnd"/>
      <w:r>
        <w:rPr>
          <w:rFonts w:ascii="Segoe UI" w:eastAsia="Segoe UI" w:hAnsi="Segoe UI" w:cs="Segoe UI"/>
          <w:color w:val="0F1115"/>
          <w:sz w:val="16"/>
          <w:szCs w:val="16"/>
          <w:shd w:val="clear" w:color="auto" w:fill="FFFFFF"/>
        </w:rPr>
        <w:t>管理规模（剔除联接基金）9,615亿元，非货币公</w:t>
      </w:r>
      <w:proofErr w:type="gramStart"/>
      <w:r>
        <w:rPr>
          <w:rFonts w:ascii="Segoe UI" w:eastAsia="Segoe UI" w:hAnsi="Segoe UI" w:cs="Segoe UI"/>
          <w:color w:val="0F1115"/>
          <w:sz w:val="16"/>
          <w:szCs w:val="16"/>
          <w:shd w:val="clear" w:color="auto" w:fill="FFFFFF"/>
        </w:rPr>
        <w:t>募基金</w:t>
      </w:r>
      <w:proofErr w:type="gramEnd"/>
      <w:r>
        <w:rPr>
          <w:rFonts w:ascii="Segoe UI" w:eastAsia="Segoe UI" w:hAnsi="Segoe UI" w:cs="Segoe UI"/>
          <w:color w:val="0F1115"/>
          <w:sz w:val="16"/>
          <w:szCs w:val="16"/>
          <w:shd w:val="clear" w:color="auto" w:fill="FFFFFF"/>
        </w:rPr>
        <w:t>管理规模5,891亿元。</w:t>
      </w:r>
    </w:p>
    <w:p w14:paraId="7F26FDF4" w14:textId="77777777" w:rsidR="00D45960" w:rsidRDefault="00000000">
      <w:pPr>
        <w:pStyle w:val="a3"/>
        <w:widowControl/>
        <w:shd w:val="clear" w:color="auto" w:fill="FFFFFF"/>
        <w:spacing w:before="160" w:after="160"/>
        <w:ind w:firstLineChars="0" w:firstLine="0"/>
        <w:rPr>
          <w:rFonts w:ascii="Segoe UI" w:eastAsia="Segoe UI" w:hAnsi="Segoe UI" w:cs="Segoe UI"/>
          <w:color w:val="0F1115"/>
          <w:sz w:val="16"/>
          <w:szCs w:val="16"/>
        </w:rPr>
      </w:pPr>
      <w:r>
        <w:rPr>
          <w:rFonts w:ascii="Segoe UI" w:eastAsia="Segoe UI" w:hAnsi="Segoe UI" w:cs="Segoe UI"/>
          <w:color w:val="0F1115"/>
          <w:sz w:val="16"/>
          <w:szCs w:val="16"/>
          <w:shd w:val="clear" w:color="auto" w:fill="FFFFFF"/>
        </w:rPr>
        <w:t>招商基金的问题，不在于规模不增长，而在于规模增长几乎换不来利润增长。9615亿元的公</w:t>
      </w:r>
      <w:proofErr w:type="gramStart"/>
      <w:r>
        <w:rPr>
          <w:rFonts w:ascii="Segoe UI" w:eastAsia="Segoe UI" w:hAnsi="Segoe UI" w:cs="Segoe UI"/>
          <w:color w:val="0F1115"/>
          <w:sz w:val="16"/>
          <w:szCs w:val="16"/>
          <w:shd w:val="clear" w:color="auto" w:fill="FFFFFF"/>
        </w:rPr>
        <w:t>募规模</w:t>
      </w:r>
      <w:proofErr w:type="gramEnd"/>
      <w:r>
        <w:rPr>
          <w:rFonts w:ascii="Segoe UI" w:eastAsia="Segoe UI" w:hAnsi="Segoe UI" w:cs="Segoe UI"/>
          <w:color w:val="0F1115"/>
          <w:sz w:val="16"/>
          <w:szCs w:val="16"/>
          <w:shd w:val="clear" w:color="auto" w:fill="FFFFFF"/>
        </w:rPr>
        <w:t>产生了14.38亿元净利润，而</w:t>
      </w:r>
      <w:proofErr w:type="gramStart"/>
      <w:r>
        <w:rPr>
          <w:rFonts w:ascii="Segoe UI" w:eastAsia="Segoe UI" w:hAnsi="Segoe UI" w:cs="Segoe UI"/>
          <w:color w:val="0F1115"/>
          <w:sz w:val="16"/>
          <w:szCs w:val="16"/>
          <w:shd w:val="clear" w:color="auto" w:fill="FFFFFF"/>
        </w:rPr>
        <w:t>工银瑞信</w:t>
      </w:r>
      <w:proofErr w:type="gramEnd"/>
      <w:r>
        <w:rPr>
          <w:rFonts w:ascii="Segoe UI" w:eastAsia="Segoe UI" w:hAnsi="Segoe UI" w:cs="Segoe UI"/>
          <w:color w:val="0F1115"/>
          <w:sz w:val="16"/>
          <w:szCs w:val="16"/>
          <w:shd w:val="clear" w:color="auto" w:fill="FFFFFF"/>
        </w:rPr>
        <w:t>以9067亿元规模创造了30.07亿元</w:t>
      </w:r>
      <w:r>
        <w:rPr>
          <w:rFonts w:ascii="Segoe UI" w:hAnsi="Segoe UI" w:cs="Segoe UI" w:hint="eastAsia"/>
          <w:color w:val="0F1115"/>
          <w:sz w:val="16"/>
          <w:szCs w:val="16"/>
          <w:shd w:val="clear" w:color="auto" w:fill="FFFFFF"/>
        </w:rPr>
        <w:t>，</w:t>
      </w:r>
      <w:r>
        <w:rPr>
          <w:rFonts w:ascii="Segoe UI" w:eastAsia="Segoe UI" w:hAnsi="Segoe UI" w:cs="Segoe UI"/>
          <w:color w:val="0F1115"/>
          <w:sz w:val="16"/>
          <w:szCs w:val="16"/>
          <w:shd w:val="clear" w:color="auto" w:fill="FFFFFF"/>
        </w:rPr>
        <w:t>两者公</w:t>
      </w:r>
      <w:proofErr w:type="gramStart"/>
      <w:r>
        <w:rPr>
          <w:rFonts w:ascii="Segoe UI" w:eastAsia="Segoe UI" w:hAnsi="Segoe UI" w:cs="Segoe UI"/>
          <w:color w:val="0F1115"/>
          <w:sz w:val="16"/>
          <w:szCs w:val="16"/>
          <w:shd w:val="clear" w:color="auto" w:fill="FFFFFF"/>
        </w:rPr>
        <w:t>募规模差</w:t>
      </w:r>
      <w:proofErr w:type="gramEnd"/>
      <w:r>
        <w:rPr>
          <w:rFonts w:ascii="Segoe UI" w:eastAsia="Segoe UI" w:hAnsi="Segoe UI" w:cs="Segoe UI"/>
          <w:color w:val="0F1115"/>
          <w:sz w:val="16"/>
          <w:szCs w:val="16"/>
          <w:shd w:val="clear" w:color="auto" w:fill="FFFFFF"/>
        </w:rPr>
        <w:t>不到600亿元，净利润差距超过一倍。招商基</w:t>
      </w:r>
      <w:r>
        <w:rPr>
          <w:rFonts w:ascii="Segoe UI" w:eastAsia="Segoe UI" w:hAnsi="Segoe UI" w:cs="Segoe UI"/>
          <w:color w:val="0F1115"/>
          <w:sz w:val="16"/>
          <w:szCs w:val="16"/>
          <w:shd w:val="clear" w:color="auto" w:fill="FFFFFF"/>
        </w:rPr>
        <w:lastRenderedPageBreak/>
        <w:t>金并非不盈利，而是在</w:t>
      </w:r>
      <w:proofErr w:type="gramStart"/>
      <w:r>
        <w:rPr>
          <w:rFonts w:ascii="Segoe UI" w:eastAsia="Segoe UI" w:hAnsi="Segoe UI" w:cs="Segoe UI"/>
          <w:color w:val="0F1115"/>
          <w:sz w:val="16"/>
          <w:szCs w:val="16"/>
          <w:shd w:val="clear" w:color="auto" w:fill="FFFFFF"/>
        </w:rPr>
        <w:t>固收产品</w:t>
      </w:r>
      <w:proofErr w:type="gramEnd"/>
      <w:r>
        <w:rPr>
          <w:rFonts w:ascii="Segoe UI" w:eastAsia="Segoe UI" w:hAnsi="Segoe UI" w:cs="Segoe UI"/>
          <w:color w:val="0F1115"/>
          <w:sz w:val="16"/>
          <w:szCs w:val="16"/>
          <w:shd w:val="clear" w:color="auto" w:fill="FFFFFF"/>
        </w:rPr>
        <w:t>费率被压降后，主动管理权益类产品的高费率收入增幅跟不上低费率</w:t>
      </w:r>
      <w:proofErr w:type="gramStart"/>
      <w:r>
        <w:rPr>
          <w:rFonts w:ascii="Segoe UI" w:eastAsia="Segoe UI" w:hAnsi="Segoe UI" w:cs="Segoe UI"/>
          <w:color w:val="0F1115"/>
          <w:sz w:val="16"/>
          <w:szCs w:val="16"/>
          <w:shd w:val="clear" w:color="auto" w:fill="FFFFFF"/>
        </w:rPr>
        <w:t>固收产品</w:t>
      </w:r>
      <w:proofErr w:type="gramEnd"/>
      <w:r>
        <w:rPr>
          <w:rFonts w:ascii="Segoe UI" w:eastAsia="Segoe UI" w:hAnsi="Segoe UI" w:cs="Segoe UI"/>
          <w:color w:val="0F1115"/>
          <w:sz w:val="16"/>
          <w:szCs w:val="16"/>
          <w:shd w:val="clear" w:color="auto" w:fill="FFFFFF"/>
        </w:rPr>
        <w:t>的规模扩张速度。本质上是规模驱动的虚胖</w:t>
      </w:r>
      <w:r>
        <w:rPr>
          <w:rFonts w:ascii="Segoe UI" w:hAnsi="Segoe UI" w:cs="Segoe UI" w:hint="eastAsia"/>
          <w:color w:val="0F1115"/>
          <w:sz w:val="16"/>
          <w:szCs w:val="16"/>
          <w:shd w:val="clear" w:color="auto" w:fill="FFFFFF"/>
        </w:rPr>
        <w:t>，</w:t>
      </w:r>
      <w:r>
        <w:rPr>
          <w:rFonts w:ascii="Segoe UI" w:eastAsia="Segoe UI" w:hAnsi="Segoe UI" w:cs="Segoe UI"/>
          <w:color w:val="0F1115"/>
          <w:sz w:val="16"/>
          <w:szCs w:val="16"/>
          <w:shd w:val="clear" w:color="auto" w:fill="FFFFFF"/>
        </w:rPr>
        <w:t>看似逼近万亿门槛，实际每多增加1元管理规模，带来的边际利润远低于</w:t>
      </w:r>
      <w:proofErr w:type="gramStart"/>
      <w:r>
        <w:rPr>
          <w:rFonts w:ascii="Segoe UI" w:eastAsia="Segoe UI" w:hAnsi="Segoe UI" w:cs="Segoe UI"/>
          <w:color w:val="0F1115"/>
          <w:sz w:val="16"/>
          <w:szCs w:val="16"/>
          <w:shd w:val="clear" w:color="auto" w:fill="FFFFFF"/>
        </w:rPr>
        <w:t>工银瑞信</w:t>
      </w:r>
      <w:proofErr w:type="gramEnd"/>
      <w:r>
        <w:rPr>
          <w:rFonts w:ascii="Segoe UI" w:eastAsia="Segoe UI" w:hAnsi="Segoe UI" w:cs="Segoe UI"/>
          <w:color w:val="0F1115"/>
          <w:sz w:val="16"/>
          <w:szCs w:val="16"/>
          <w:shd w:val="clear" w:color="auto" w:fill="FFFFFF"/>
        </w:rPr>
        <w:t>。</w:t>
      </w:r>
    </w:p>
    <w:p w14:paraId="15E97008" w14:textId="2AC3DBEA" w:rsidR="00D45960" w:rsidRDefault="00000000">
      <w:pPr>
        <w:pStyle w:val="a3"/>
        <w:widowControl/>
        <w:shd w:val="clear" w:color="auto" w:fill="FFFFFF"/>
        <w:spacing w:before="160" w:after="160"/>
        <w:ind w:firstLineChars="0" w:firstLine="0"/>
        <w:rPr>
          <w:rFonts w:ascii="Segoe UI" w:eastAsia="Segoe UI" w:hAnsi="Segoe UI" w:cs="Segoe UI"/>
          <w:color w:val="0F1115"/>
          <w:sz w:val="16"/>
          <w:szCs w:val="16"/>
        </w:rPr>
      </w:pPr>
      <w:r>
        <w:rPr>
          <w:rFonts w:ascii="Segoe UI" w:eastAsia="Segoe UI" w:hAnsi="Segoe UI" w:cs="Segoe UI"/>
          <w:color w:val="0F1115"/>
          <w:sz w:val="16"/>
          <w:szCs w:val="16"/>
          <w:shd w:val="clear" w:color="auto" w:fill="FFFFFF"/>
        </w:rPr>
        <w:t>交银施罗德则是另一种困境</w:t>
      </w:r>
      <w:r>
        <w:rPr>
          <w:rFonts w:ascii="Segoe UI" w:hAnsi="Segoe UI" w:cs="Segoe UI" w:hint="eastAsia"/>
          <w:color w:val="0F1115"/>
          <w:sz w:val="16"/>
          <w:szCs w:val="16"/>
          <w:shd w:val="clear" w:color="auto" w:fill="FFFFFF"/>
        </w:rPr>
        <w:t>，</w:t>
      </w:r>
      <w:r>
        <w:rPr>
          <w:rFonts w:ascii="Segoe UI" w:eastAsia="Segoe UI" w:hAnsi="Segoe UI" w:cs="Segoe UI"/>
          <w:color w:val="0F1115"/>
          <w:sz w:val="16"/>
          <w:szCs w:val="16"/>
          <w:shd w:val="clear" w:color="auto" w:fill="FFFFFF"/>
        </w:rPr>
        <w:t>规模与利润的双杀。2025年末，交银施罗德公</w:t>
      </w:r>
      <w:proofErr w:type="gramStart"/>
      <w:r>
        <w:rPr>
          <w:rFonts w:ascii="Segoe UI" w:eastAsia="Segoe UI" w:hAnsi="Segoe UI" w:cs="Segoe UI"/>
          <w:color w:val="0F1115"/>
          <w:sz w:val="16"/>
          <w:szCs w:val="16"/>
          <w:shd w:val="clear" w:color="auto" w:fill="FFFFFF"/>
        </w:rPr>
        <w:t>募管理</w:t>
      </w:r>
      <w:proofErr w:type="gramEnd"/>
      <w:r>
        <w:rPr>
          <w:rFonts w:ascii="Segoe UI" w:eastAsia="Segoe UI" w:hAnsi="Segoe UI" w:cs="Segoe UI"/>
          <w:color w:val="0F1115"/>
          <w:sz w:val="16"/>
          <w:szCs w:val="16"/>
          <w:shd w:val="clear" w:color="auto" w:fill="FFFFFF"/>
        </w:rPr>
        <w:t>规模为5029亿元，同比下降4.4%，较2024年缩水超200亿元。这已经是连续第二年规模萎缩</w:t>
      </w:r>
      <w:r>
        <w:rPr>
          <w:rFonts w:ascii="Segoe UI" w:hAnsi="Segoe UI" w:cs="Segoe UI" w:hint="eastAsia"/>
          <w:color w:val="0F1115"/>
          <w:sz w:val="16"/>
          <w:szCs w:val="16"/>
          <w:shd w:val="clear" w:color="auto" w:fill="FFFFFF"/>
        </w:rPr>
        <w:t>，</w:t>
      </w:r>
      <w:r>
        <w:rPr>
          <w:rFonts w:ascii="Segoe UI" w:eastAsia="Segoe UI" w:hAnsi="Segoe UI" w:cs="Segoe UI"/>
          <w:color w:val="0F1115"/>
          <w:sz w:val="16"/>
          <w:szCs w:val="16"/>
          <w:shd w:val="clear" w:color="auto" w:fill="FFFFFF"/>
        </w:rPr>
        <w:t>2022年与2023年，公司管理规模分别同比下滑3.54%与7.76%；2024年虽短暂回升逾10%，2025年再度掉头向下。利润端同样在持续失血</w:t>
      </w:r>
      <w:r>
        <w:rPr>
          <w:rFonts w:ascii="Segoe UI" w:hAnsi="Segoe UI" w:cs="Segoe UI" w:hint="eastAsia"/>
          <w:color w:val="0F1115"/>
          <w:sz w:val="16"/>
          <w:szCs w:val="16"/>
          <w:shd w:val="clear" w:color="auto" w:fill="FFFFFF"/>
        </w:rPr>
        <w:t>，</w:t>
      </w:r>
      <w:r>
        <w:rPr>
          <w:rFonts w:ascii="Segoe UI" w:eastAsia="Segoe UI" w:hAnsi="Segoe UI" w:cs="Segoe UI"/>
          <w:color w:val="0F1115"/>
          <w:sz w:val="16"/>
          <w:szCs w:val="16"/>
          <w:shd w:val="clear" w:color="auto" w:fill="FFFFFF"/>
        </w:rPr>
        <w:t>2022年至2025年四年间，净利润从超过10亿元一路下滑至7.65亿元。</w:t>
      </w:r>
    </w:p>
    <w:p w14:paraId="377B9615" w14:textId="77777777" w:rsidR="00D45960" w:rsidRDefault="00000000">
      <w:pPr>
        <w:pStyle w:val="a3"/>
        <w:widowControl/>
        <w:shd w:val="clear" w:color="auto" w:fill="FFFFFF"/>
        <w:spacing w:before="160" w:after="160"/>
        <w:ind w:firstLineChars="0" w:firstLine="0"/>
        <w:rPr>
          <w:rFonts w:ascii="Segoe UI" w:eastAsia="Segoe UI" w:hAnsi="Segoe UI" w:cs="Segoe UI"/>
          <w:color w:val="0F1115"/>
          <w:sz w:val="16"/>
          <w:szCs w:val="16"/>
        </w:rPr>
      </w:pPr>
      <w:r>
        <w:rPr>
          <w:rFonts w:ascii="Segoe UI" w:eastAsia="Segoe UI" w:hAnsi="Segoe UI" w:cs="Segoe UI"/>
          <w:color w:val="0F1115"/>
          <w:sz w:val="16"/>
          <w:szCs w:val="16"/>
          <w:shd w:val="clear" w:color="auto" w:fill="FFFFFF"/>
        </w:rPr>
        <w:t>交银施罗德的核心问题是管理规模对核心基金经理的高度依赖以及产品结构的单薄。在头部基金经理业绩疲软</w:t>
      </w:r>
      <w:proofErr w:type="gramStart"/>
      <w:r>
        <w:rPr>
          <w:rFonts w:ascii="Segoe UI" w:eastAsia="Segoe UI" w:hAnsi="Segoe UI" w:cs="Segoe UI"/>
          <w:color w:val="0F1115"/>
          <w:sz w:val="16"/>
          <w:szCs w:val="16"/>
          <w:shd w:val="clear" w:color="auto" w:fill="FFFFFF"/>
        </w:rPr>
        <w:t>与调仓失误</w:t>
      </w:r>
      <w:proofErr w:type="gramEnd"/>
      <w:r>
        <w:rPr>
          <w:rFonts w:ascii="Segoe UI" w:eastAsia="Segoe UI" w:hAnsi="Segoe UI" w:cs="Segoe UI"/>
          <w:color w:val="0F1115"/>
          <w:sz w:val="16"/>
          <w:szCs w:val="16"/>
          <w:shd w:val="clear" w:color="auto" w:fill="FFFFFF"/>
        </w:rPr>
        <w:t>引发资金集中流出后，挽留客户和净值修复的双重压力持续挤压管理费收入。公</w:t>
      </w:r>
      <w:proofErr w:type="gramStart"/>
      <w:r>
        <w:rPr>
          <w:rFonts w:ascii="Segoe UI" w:eastAsia="Segoe UI" w:hAnsi="Segoe UI" w:cs="Segoe UI"/>
          <w:color w:val="0F1115"/>
          <w:sz w:val="16"/>
          <w:szCs w:val="16"/>
          <w:shd w:val="clear" w:color="auto" w:fill="FFFFFF"/>
        </w:rPr>
        <w:t>募管理</w:t>
      </w:r>
      <w:proofErr w:type="gramEnd"/>
      <w:r>
        <w:rPr>
          <w:rFonts w:ascii="Segoe UI" w:eastAsia="Segoe UI" w:hAnsi="Segoe UI" w:cs="Segoe UI"/>
          <w:color w:val="0F1115"/>
          <w:sz w:val="16"/>
          <w:szCs w:val="16"/>
          <w:shd w:val="clear" w:color="auto" w:fill="FFFFFF"/>
        </w:rPr>
        <w:t>规模尤其是主动管理产品规模的萎缩，直接导致管理费收入的刚性收缩</w:t>
      </w:r>
      <w:r>
        <w:rPr>
          <w:rFonts w:ascii="Segoe UI" w:hAnsi="Segoe UI" w:cs="Segoe UI" w:hint="eastAsia"/>
          <w:color w:val="0F1115"/>
          <w:sz w:val="16"/>
          <w:szCs w:val="16"/>
          <w:shd w:val="clear" w:color="auto" w:fill="FFFFFF"/>
        </w:rPr>
        <w:t>，</w:t>
      </w:r>
      <w:r>
        <w:rPr>
          <w:rFonts w:ascii="Segoe UI" w:eastAsia="Segoe UI" w:hAnsi="Segoe UI" w:cs="Segoe UI"/>
          <w:color w:val="0F1115"/>
          <w:sz w:val="16"/>
          <w:szCs w:val="16"/>
          <w:shd w:val="clear" w:color="auto" w:fill="FFFFFF"/>
        </w:rPr>
        <w:t>这是利润连降四年的根本。</w:t>
      </w:r>
    </w:p>
    <w:p w14:paraId="1B397FCB" w14:textId="77777777" w:rsidR="00D45960" w:rsidRDefault="00000000">
      <w:pPr>
        <w:pStyle w:val="2"/>
        <w:widowControl/>
        <w:shd w:val="clear" w:color="auto" w:fill="FFFFFF"/>
        <w:spacing w:before="320" w:beforeAutospacing="0" w:after="160" w:afterAutospacing="0" w:line="320" w:lineRule="atLeast"/>
        <w:ind w:firstLineChars="0" w:firstLine="0"/>
        <w:rPr>
          <w:rFonts w:ascii="Segoe UI" w:hAnsi="Segoe UI" w:cs="Segoe UI" w:hint="default"/>
          <w:color w:val="0F1115"/>
          <w:sz w:val="22"/>
          <w:szCs w:val="22"/>
        </w:rPr>
      </w:pPr>
      <w:proofErr w:type="gramStart"/>
      <w:r>
        <w:rPr>
          <w:rFonts w:ascii="Segoe UI" w:eastAsia="Segoe UI" w:hAnsi="Segoe UI" w:cs="Segoe UI" w:hint="default"/>
          <w:color w:val="0F1115"/>
          <w:sz w:val="22"/>
          <w:szCs w:val="22"/>
          <w:shd w:val="clear" w:color="auto" w:fill="FFFFFF"/>
        </w:rPr>
        <w:t>永赢基金</w:t>
      </w:r>
      <w:proofErr w:type="gramEnd"/>
      <w:r>
        <w:rPr>
          <w:rFonts w:ascii="Segoe UI" w:eastAsia="Segoe UI" w:hAnsi="Segoe UI" w:cs="Segoe UI" w:hint="default"/>
          <w:color w:val="0F1115"/>
          <w:sz w:val="22"/>
          <w:szCs w:val="22"/>
          <w:shd w:val="clear" w:color="auto" w:fill="FFFFFF"/>
        </w:rPr>
        <w:t>136%与兴业基金20%</w:t>
      </w:r>
      <w:r>
        <w:rPr>
          <w:rFonts w:ascii="Segoe UI" w:hAnsi="Segoe UI" w:cs="Segoe UI"/>
          <w:color w:val="0F1115"/>
          <w:sz w:val="22"/>
          <w:szCs w:val="22"/>
          <w:shd w:val="clear" w:color="auto" w:fill="FFFFFF"/>
        </w:rPr>
        <w:t>，</w:t>
      </w:r>
      <w:r>
        <w:rPr>
          <w:rFonts w:ascii="Segoe UI" w:eastAsia="Segoe UI" w:hAnsi="Segoe UI" w:cs="Segoe UI" w:hint="default"/>
          <w:color w:val="0F1115"/>
          <w:sz w:val="22"/>
          <w:szCs w:val="22"/>
          <w:shd w:val="clear" w:color="auto" w:fill="FFFFFF"/>
        </w:rPr>
        <w:t>腰部阵营的两个意外</w:t>
      </w:r>
    </w:p>
    <w:p w14:paraId="07E85243" w14:textId="36D85F53" w:rsidR="00D45960" w:rsidRDefault="00000000">
      <w:pPr>
        <w:pStyle w:val="a3"/>
        <w:widowControl/>
        <w:shd w:val="clear" w:color="auto" w:fill="FFFFFF"/>
        <w:spacing w:before="160" w:after="160"/>
        <w:ind w:firstLineChars="0" w:firstLine="0"/>
        <w:rPr>
          <w:rFonts w:ascii="Segoe UI" w:eastAsia="Segoe UI" w:hAnsi="Segoe UI" w:cs="Segoe UI"/>
          <w:color w:val="0F1115"/>
          <w:sz w:val="16"/>
          <w:szCs w:val="16"/>
        </w:rPr>
      </w:pPr>
      <w:proofErr w:type="gramStart"/>
      <w:r>
        <w:rPr>
          <w:rFonts w:ascii="Segoe UI" w:eastAsia="Segoe UI" w:hAnsi="Segoe UI" w:cs="Segoe UI"/>
          <w:color w:val="0F1115"/>
          <w:sz w:val="16"/>
          <w:szCs w:val="16"/>
          <w:shd w:val="clear" w:color="auto" w:fill="FFFFFF"/>
        </w:rPr>
        <w:t>永赢基金</w:t>
      </w:r>
      <w:proofErr w:type="gramEnd"/>
      <w:r>
        <w:rPr>
          <w:rFonts w:ascii="Segoe UI" w:eastAsia="Segoe UI" w:hAnsi="Segoe UI" w:cs="Segoe UI"/>
          <w:color w:val="0F1115"/>
          <w:sz w:val="16"/>
          <w:szCs w:val="16"/>
          <w:shd w:val="clear" w:color="auto" w:fill="FFFFFF"/>
        </w:rPr>
        <w:t>是2025年银行系公募中最大的黑马。全年实现营业收入23.75亿元，同比增长74.25%；净利润6.02亿元，同比增长136.08%；资产管理规模6342亿元，同比增长19.76%。净利润</w:t>
      </w:r>
      <w:proofErr w:type="gramStart"/>
      <w:r>
        <w:rPr>
          <w:rFonts w:ascii="Segoe UI" w:eastAsia="Segoe UI" w:hAnsi="Segoe UI" w:cs="Segoe UI"/>
          <w:color w:val="0F1115"/>
          <w:sz w:val="16"/>
          <w:szCs w:val="16"/>
          <w:shd w:val="clear" w:color="auto" w:fill="FFFFFF"/>
        </w:rPr>
        <w:t>增速跑</w:t>
      </w:r>
      <w:proofErr w:type="gramEnd"/>
      <w:r>
        <w:rPr>
          <w:rFonts w:ascii="Segoe UI" w:eastAsia="Segoe UI" w:hAnsi="Segoe UI" w:cs="Segoe UI"/>
          <w:color w:val="0F1115"/>
          <w:sz w:val="16"/>
          <w:szCs w:val="16"/>
          <w:shd w:val="clear" w:color="auto" w:fill="FFFFFF"/>
        </w:rPr>
        <w:t>赢营收增速，营收增速又跑</w:t>
      </w:r>
      <w:proofErr w:type="gramStart"/>
      <w:r>
        <w:rPr>
          <w:rFonts w:ascii="Segoe UI" w:eastAsia="Segoe UI" w:hAnsi="Segoe UI" w:cs="Segoe UI"/>
          <w:color w:val="0F1115"/>
          <w:sz w:val="16"/>
          <w:szCs w:val="16"/>
          <w:shd w:val="clear" w:color="auto" w:fill="FFFFFF"/>
        </w:rPr>
        <w:t>赢规模增速</w:t>
      </w:r>
      <w:proofErr w:type="gramEnd"/>
      <w:r>
        <w:rPr>
          <w:rFonts w:ascii="Segoe UI" w:hAnsi="Segoe UI" w:cs="Segoe UI" w:hint="eastAsia"/>
          <w:color w:val="0F1115"/>
          <w:sz w:val="16"/>
          <w:szCs w:val="16"/>
          <w:shd w:val="clear" w:color="auto" w:fill="FFFFFF"/>
        </w:rPr>
        <w:t>，</w:t>
      </w:r>
      <w:r>
        <w:rPr>
          <w:rFonts w:ascii="Segoe UI" w:eastAsia="Segoe UI" w:hAnsi="Segoe UI" w:cs="Segoe UI"/>
          <w:color w:val="0F1115"/>
          <w:sz w:val="16"/>
          <w:szCs w:val="16"/>
          <w:shd w:val="clear" w:color="auto" w:fill="FFFFFF"/>
        </w:rPr>
        <w:t>这不是粗放的规模驱动型增长，而是在规模扩张的同时实现了利润率的系统性提升。</w:t>
      </w:r>
    </w:p>
    <w:p w14:paraId="76A87AB3" w14:textId="25CDB94A" w:rsidR="00D45960" w:rsidRDefault="00000000">
      <w:pPr>
        <w:pStyle w:val="a3"/>
        <w:widowControl/>
        <w:shd w:val="clear" w:color="auto" w:fill="FFFFFF"/>
        <w:spacing w:before="160" w:after="160"/>
        <w:ind w:firstLineChars="0" w:firstLine="0"/>
        <w:rPr>
          <w:rFonts w:ascii="Segoe UI" w:eastAsia="Segoe UI" w:hAnsi="Segoe UI" w:cs="Segoe UI"/>
          <w:color w:val="0F1115"/>
          <w:sz w:val="16"/>
          <w:szCs w:val="16"/>
        </w:rPr>
      </w:pPr>
      <w:proofErr w:type="gramStart"/>
      <w:r>
        <w:rPr>
          <w:rFonts w:ascii="Segoe UI" w:eastAsia="Segoe UI" w:hAnsi="Segoe UI" w:cs="Segoe UI"/>
          <w:color w:val="0F1115"/>
          <w:sz w:val="16"/>
          <w:szCs w:val="16"/>
          <w:shd w:val="clear" w:color="auto" w:fill="FFFFFF"/>
        </w:rPr>
        <w:t>永赢基金</w:t>
      </w:r>
      <w:proofErr w:type="gramEnd"/>
      <w:r>
        <w:rPr>
          <w:rFonts w:ascii="Segoe UI" w:eastAsia="Segoe UI" w:hAnsi="Segoe UI" w:cs="Segoe UI"/>
          <w:color w:val="0F1115"/>
          <w:sz w:val="16"/>
          <w:szCs w:val="16"/>
          <w:shd w:val="clear" w:color="auto" w:fill="FFFFFF"/>
        </w:rPr>
        <w:t>的结构性优势在于主动权益产品的集中爆发。其智选系列产品线在2025年实现了极致增长</w:t>
      </w:r>
      <w:r>
        <w:rPr>
          <w:rFonts w:ascii="Segoe UI" w:hAnsi="Segoe UI" w:cs="Segoe UI" w:hint="eastAsia"/>
          <w:color w:val="0F1115"/>
          <w:sz w:val="16"/>
          <w:szCs w:val="16"/>
          <w:shd w:val="clear" w:color="auto" w:fill="FFFFFF"/>
        </w:rPr>
        <w:t>，</w:t>
      </w:r>
      <w:r>
        <w:rPr>
          <w:rFonts w:ascii="Segoe UI" w:eastAsia="Segoe UI" w:hAnsi="Segoe UI" w:cs="Segoe UI"/>
          <w:color w:val="0F1115"/>
          <w:sz w:val="16"/>
          <w:szCs w:val="16"/>
          <w:shd w:val="clear" w:color="auto" w:fill="FFFFFF"/>
        </w:rPr>
        <w:t>截至2025年末，该系列有16只产品（含6只新发产品），全年合计吸金741亿元，主动权益产品规模从年初的不足200亿元飙升至三季度末的934.64亿元，年内规模激增766亿元，增量高居市场第一。主动权益类产品的管理费率远</w:t>
      </w:r>
      <w:proofErr w:type="gramStart"/>
      <w:r>
        <w:rPr>
          <w:rFonts w:ascii="Segoe UI" w:eastAsia="Segoe UI" w:hAnsi="Segoe UI" w:cs="Segoe UI"/>
          <w:color w:val="0F1115"/>
          <w:sz w:val="16"/>
          <w:szCs w:val="16"/>
          <w:shd w:val="clear" w:color="auto" w:fill="FFFFFF"/>
        </w:rPr>
        <w:t>高于固收和</w:t>
      </w:r>
      <w:proofErr w:type="gramEnd"/>
      <w:r>
        <w:rPr>
          <w:rFonts w:ascii="Segoe UI" w:eastAsia="Segoe UI" w:hAnsi="Segoe UI" w:cs="Segoe UI"/>
          <w:color w:val="0F1115"/>
          <w:sz w:val="16"/>
          <w:szCs w:val="16"/>
          <w:shd w:val="clear" w:color="auto" w:fill="FFFFFF"/>
        </w:rPr>
        <w:t>指数产品，规模膨胀带来的是高费率收入的成倍扩张，利润增速136%远超规模增速19.76%正是这一杠杆效应的体现。</w:t>
      </w:r>
    </w:p>
    <w:p w14:paraId="3878253B" w14:textId="554C473C" w:rsidR="00D45960" w:rsidRDefault="00000000">
      <w:pPr>
        <w:pStyle w:val="a3"/>
        <w:widowControl/>
        <w:shd w:val="clear" w:color="auto" w:fill="FFFFFF"/>
        <w:spacing w:before="160" w:after="160"/>
        <w:ind w:firstLineChars="0" w:firstLine="0"/>
        <w:rPr>
          <w:rFonts w:ascii="Segoe UI" w:eastAsia="Segoe UI" w:hAnsi="Segoe UI" w:cs="Segoe UI"/>
          <w:color w:val="0F1115"/>
          <w:sz w:val="16"/>
          <w:szCs w:val="16"/>
        </w:rPr>
      </w:pPr>
      <w:r>
        <w:rPr>
          <w:rFonts w:ascii="Segoe UI" w:eastAsia="Segoe UI" w:hAnsi="Segoe UI" w:cs="Segoe UI"/>
          <w:color w:val="0F1115"/>
          <w:sz w:val="16"/>
          <w:szCs w:val="16"/>
          <w:shd w:val="clear" w:color="auto" w:fill="FFFFFF"/>
        </w:rPr>
        <w:t>兴业基金则是另一种稳健样本。全年实现营业收入15.23亿元，同比增长23.15%；净利润5.12亿元，同比增长20.33%。资产管理规模5147.73亿元，较上年末增长25.30%；其中公</w:t>
      </w:r>
      <w:proofErr w:type="gramStart"/>
      <w:r>
        <w:rPr>
          <w:rFonts w:ascii="Segoe UI" w:eastAsia="Segoe UI" w:hAnsi="Segoe UI" w:cs="Segoe UI"/>
          <w:color w:val="0F1115"/>
          <w:sz w:val="16"/>
          <w:szCs w:val="16"/>
          <w:shd w:val="clear" w:color="auto" w:fill="FFFFFF"/>
        </w:rPr>
        <w:t>募基金</w:t>
      </w:r>
      <w:proofErr w:type="gramEnd"/>
      <w:r>
        <w:rPr>
          <w:rFonts w:ascii="Segoe UI" w:eastAsia="Segoe UI" w:hAnsi="Segoe UI" w:cs="Segoe UI"/>
          <w:color w:val="0F1115"/>
          <w:sz w:val="16"/>
          <w:szCs w:val="16"/>
          <w:shd w:val="clear" w:color="auto" w:fill="FFFFFF"/>
        </w:rPr>
        <w:t>管理规模4624.48亿元，较上年末增长33.08%，</w:t>
      </w:r>
      <w:proofErr w:type="gramStart"/>
      <w:r>
        <w:rPr>
          <w:rFonts w:ascii="Segoe UI" w:eastAsia="Segoe UI" w:hAnsi="Segoe UI" w:cs="Segoe UI"/>
          <w:color w:val="0F1115"/>
          <w:sz w:val="16"/>
          <w:szCs w:val="16"/>
          <w:shd w:val="clear" w:color="auto" w:fill="FFFFFF"/>
        </w:rPr>
        <w:t>非货基金</w:t>
      </w:r>
      <w:proofErr w:type="gramEnd"/>
      <w:r>
        <w:rPr>
          <w:rFonts w:ascii="Segoe UI" w:eastAsia="Segoe UI" w:hAnsi="Segoe UI" w:cs="Segoe UI"/>
          <w:color w:val="0F1115"/>
          <w:sz w:val="16"/>
          <w:szCs w:val="16"/>
          <w:shd w:val="clear" w:color="auto" w:fill="FFFFFF"/>
        </w:rPr>
        <w:t>管理规模2684.55亿元，较上年末增长20.78%。兴业基金管理公</w:t>
      </w:r>
      <w:proofErr w:type="gramStart"/>
      <w:r>
        <w:rPr>
          <w:rFonts w:ascii="Segoe UI" w:eastAsia="Segoe UI" w:hAnsi="Segoe UI" w:cs="Segoe UI"/>
          <w:color w:val="0F1115"/>
          <w:sz w:val="16"/>
          <w:szCs w:val="16"/>
          <w:shd w:val="clear" w:color="auto" w:fill="FFFFFF"/>
        </w:rPr>
        <w:t>募基金</w:t>
      </w:r>
      <w:proofErr w:type="gramEnd"/>
      <w:r>
        <w:rPr>
          <w:rFonts w:ascii="Segoe UI" w:eastAsia="Segoe UI" w:hAnsi="Segoe UI" w:cs="Segoe UI"/>
          <w:color w:val="0F1115"/>
          <w:sz w:val="16"/>
          <w:szCs w:val="16"/>
          <w:shd w:val="clear" w:color="auto" w:fill="FFFFFF"/>
        </w:rPr>
        <w:t>规模从2022年末的2618.6亿元增长至2025年中的4480.2亿元，不足三年累计增长71%。尽管产品结构仍以固收为底座，但</w:t>
      </w:r>
      <w:proofErr w:type="gramStart"/>
      <w:r>
        <w:rPr>
          <w:rFonts w:ascii="Segoe UI" w:eastAsia="Segoe UI" w:hAnsi="Segoe UI" w:cs="Segoe UI"/>
          <w:color w:val="0F1115"/>
          <w:sz w:val="16"/>
          <w:szCs w:val="16"/>
          <w:shd w:val="clear" w:color="auto" w:fill="FFFFFF"/>
        </w:rPr>
        <w:t>非货规模</w:t>
      </w:r>
      <w:proofErr w:type="gramEnd"/>
      <w:r>
        <w:rPr>
          <w:rFonts w:ascii="Segoe UI" w:eastAsia="Segoe UI" w:hAnsi="Segoe UI" w:cs="Segoe UI"/>
          <w:color w:val="0F1115"/>
          <w:sz w:val="16"/>
          <w:szCs w:val="16"/>
          <w:shd w:val="clear" w:color="auto" w:fill="FFFFFF"/>
        </w:rPr>
        <w:t>三年多来保持相对较快的持续攀升速度，净利润与营收双双协同上行。</w:t>
      </w:r>
    </w:p>
    <w:p w14:paraId="74391A2D" w14:textId="77777777" w:rsidR="00D45960" w:rsidRDefault="00000000">
      <w:pPr>
        <w:pStyle w:val="a3"/>
        <w:widowControl/>
        <w:shd w:val="clear" w:color="auto" w:fill="FFFFFF"/>
        <w:spacing w:before="160" w:after="160"/>
        <w:ind w:firstLineChars="0" w:firstLine="0"/>
        <w:rPr>
          <w:rFonts w:ascii="Segoe UI" w:eastAsia="Segoe UI" w:hAnsi="Segoe UI" w:cs="Segoe UI"/>
          <w:color w:val="0F1115"/>
          <w:sz w:val="16"/>
          <w:szCs w:val="16"/>
        </w:rPr>
      </w:pPr>
      <w:proofErr w:type="gramStart"/>
      <w:r>
        <w:rPr>
          <w:rFonts w:ascii="Segoe UI" w:eastAsia="Segoe UI" w:hAnsi="Segoe UI" w:cs="Segoe UI"/>
          <w:color w:val="0F1115"/>
          <w:sz w:val="16"/>
          <w:szCs w:val="16"/>
          <w:shd w:val="clear" w:color="auto" w:fill="FFFFFF"/>
        </w:rPr>
        <w:t>永赢的</w:t>
      </w:r>
      <w:proofErr w:type="gramEnd"/>
      <w:r>
        <w:rPr>
          <w:rFonts w:ascii="Segoe UI" w:eastAsia="Segoe UI" w:hAnsi="Segoe UI" w:cs="Segoe UI"/>
          <w:color w:val="0F1115"/>
          <w:sz w:val="16"/>
          <w:szCs w:val="16"/>
          <w:shd w:val="clear" w:color="auto" w:fill="FFFFFF"/>
        </w:rPr>
        <w:t>狼性和兴业的韧性，恰好代表了银行系公募腰部阵营中两种可行的突围策略</w:t>
      </w:r>
      <w:r>
        <w:rPr>
          <w:rFonts w:ascii="Segoe UI" w:hAnsi="Segoe UI" w:cs="Segoe UI" w:hint="eastAsia"/>
          <w:color w:val="0F1115"/>
          <w:sz w:val="16"/>
          <w:szCs w:val="16"/>
          <w:shd w:val="clear" w:color="auto" w:fill="FFFFFF"/>
        </w:rPr>
        <w:t>，</w:t>
      </w:r>
      <w:r>
        <w:rPr>
          <w:rFonts w:ascii="Segoe UI" w:eastAsia="Segoe UI" w:hAnsi="Segoe UI" w:cs="Segoe UI"/>
          <w:color w:val="0F1115"/>
          <w:sz w:val="16"/>
          <w:szCs w:val="16"/>
          <w:shd w:val="clear" w:color="auto" w:fill="FFFFFF"/>
        </w:rPr>
        <w:t>前者押</w:t>
      </w:r>
      <w:proofErr w:type="gramStart"/>
      <w:r>
        <w:rPr>
          <w:rFonts w:ascii="Segoe UI" w:eastAsia="Segoe UI" w:hAnsi="Segoe UI" w:cs="Segoe UI"/>
          <w:color w:val="0F1115"/>
          <w:sz w:val="16"/>
          <w:szCs w:val="16"/>
          <w:shd w:val="clear" w:color="auto" w:fill="FFFFFF"/>
        </w:rPr>
        <w:t>注主动</w:t>
      </w:r>
      <w:proofErr w:type="gramEnd"/>
      <w:r>
        <w:rPr>
          <w:rFonts w:ascii="Segoe UI" w:eastAsia="Segoe UI" w:hAnsi="Segoe UI" w:cs="Segoe UI"/>
          <w:color w:val="0F1115"/>
          <w:sz w:val="16"/>
          <w:szCs w:val="16"/>
          <w:shd w:val="clear" w:color="auto" w:fill="FFFFFF"/>
        </w:rPr>
        <w:t>权益赛道的高收益弹性，后者用公</w:t>
      </w:r>
      <w:proofErr w:type="gramStart"/>
      <w:r>
        <w:rPr>
          <w:rFonts w:ascii="Segoe UI" w:eastAsia="Segoe UI" w:hAnsi="Segoe UI" w:cs="Segoe UI"/>
          <w:color w:val="0F1115"/>
          <w:sz w:val="16"/>
          <w:szCs w:val="16"/>
          <w:shd w:val="clear" w:color="auto" w:fill="FFFFFF"/>
        </w:rPr>
        <w:t>募规模</w:t>
      </w:r>
      <w:proofErr w:type="gramEnd"/>
      <w:r>
        <w:rPr>
          <w:rFonts w:ascii="Segoe UI" w:eastAsia="Segoe UI" w:hAnsi="Segoe UI" w:cs="Segoe UI"/>
          <w:color w:val="0F1115"/>
          <w:sz w:val="16"/>
          <w:szCs w:val="16"/>
          <w:shd w:val="clear" w:color="auto" w:fill="FFFFFF"/>
        </w:rPr>
        <w:t>快速扩张制胜。</w:t>
      </w:r>
    </w:p>
    <w:p w14:paraId="4DAE3711" w14:textId="77777777" w:rsidR="00D45960" w:rsidRDefault="00000000">
      <w:pPr>
        <w:pStyle w:val="2"/>
        <w:widowControl/>
        <w:shd w:val="clear" w:color="auto" w:fill="FFFFFF"/>
        <w:spacing w:before="320" w:beforeAutospacing="0" w:after="160" w:afterAutospacing="0" w:line="320" w:lineRule="atLeast"/>
        <w:ind w:firstLineChars="0" w:firstLine="0"/>
        <w:rPr>
          <w:rFonts w:ascii="Segoe UI" w:eastAsia="Segoe UI" w:hAnsi="Segoe UI" w:cs="Segoe UI" w:hint="default"/>
          <w:color w:val="0F1115"/>
          <w:sz w:val="22"/>
          <w:szCs w:val="22"/>
        </w:rPr>
      </w:pPr>
      <w:r>
        <w:rPr>
          <w:rFonts w:ascii="Segoe UI" w:eastAsia="Segoe UI" w:hAnsi="Segoe UI" w:cs="Segoe UI" w:hint="default"/>
          <w:color w:val="0F1115"/>
          <w:sz w:val="22"/>
          <w:szCs w:val="22"/>
          <w:shd w:val="clear" w:color="auto" w:fill="FFFFFF"/>
        </w:rPr>
        <w:t>建信基金1.53</w:t>
      </w:r>
      <w:proofErr w:type="gramStart"/>
      <w:r>
        <w:rPr>
          <w:rFonts w:ascii="Segoe UI" w:eastAsia="Segoe UI" w:hAnsi="Segoe UI" w:cs="Segoe UI" w:hint="default"/>
          <w:color w:val="0F1115"/>
          <w:sz w:val="22"/>
          <w:szCs w:val="22"/>
          <w:shd w:val="clear" w:color="auto" w:fill="FFFFFF"/>
        </w:rPr>
        <w:t>万亿</w:t>
      </w:r>
      <w:proofErr w:type="gramEnd"/>
      <w:r>
        <w:rPr>
          <w:rFonts w:ascii="Segoe UI" w:eastAsia="Segoe UI" w:hAnsi="Segoe UI" w:cs="Segoe UI" w:hint="default"/>
          <w:color w:val="0F1115"/>
          <w:sz w:val="22"/>
          <w:szCs w:val="22"/>
          <w:shd w:val="clear" w:color="auto" w:fill="FFFFFF"/>
        </w:rPr>
        <w:t>仅赚8.69亿</w:t>
      </w:r>
      <w:r>
        <w:rPr>
          <w:rFonts w:ascii="Segoe UI" w:hAnsi="Segoe UI" w:cs="Segoe UI"/>
          <w:color w:val="0F1115"/>
          <w:sz w:val="22"/>
          <w:szCs w:val="22"/>
          <w:shd w:val="clear" w:color="auto" w:fill="FFFFFF"/>
        </w:rPr>
        <w:t>，</w:t>
      </w:r>
      <w:r>
        <w:rPr>
          <w:rFonts w:ascii="Segoe UI" w:eastAsia="Segoe UI" w:hAnsi="Segoe UI" w:cs="Segoe UI" w:hint="default"/>
          <w:color w:val="0F1115"/>
          <w:sz w:val="22"/>
          <w:szCs w:val="22"/>
          <w:shd w:val="clear" w:color="auto" w:fill="FFFFFF"/>
        </w:rPr>
        <w:t>规模最大的银行系公募，盈利效率最低</w:t>
      </w:r>
    </w:p>
    <w:p w14:paraId="2F8377CB" w14:textId="77777777" w:rsidR="00D45960" w:rsidRDefault="00000000">
      <w:pPr>
        <w:pStyle w:val="a3"/>
        <w:widowControl/>
        <w:shd w:val="clear" w:color="auto" w:fill="FFFFFF"/>
        <w:spacing w:before="160" w:after="160"/>
        <w:ind w:firstLineChars="0" w:firstLine="0"/>
        <w:rPr>
          <w:rFonts w:ascii="Segoe UI" w:eastAsia="Segoe UI" w:hAnsi="Segoe UI" w:cs="Segoe UI"/>
          <w:color w:val="0F1115"/>
          <w:sz w:val="16"/>
          <w:szCs w:val="16"/>
        </w:rPr>
      </w:pPr>
      <w:r>
        <w:rPr>
          <w:rFonts w:ascii="Segoe UI" w:eastAsia="Segoe UI" w:hAnsi="Segoe UI" w:cs="Segoe UI"/>
          <w:color w:val="0F1115"/>
          <w:sz w:val="16"/>
          <w:szCs w:val="16"/>
          <w:shd w:val="clear" w:color="auto" w:fill="FFFFFF"/>
        </w:rPr>
        <w:t>建信基金是银行系公募中规模最大、但盈利效率最低的代表。</w:t>
      </w:r>
    </w:p>
    <w:p w14:paraId="619780CF" w14:textId="710287C2" w:rsidR="00D45960" w:rsidRDefault="00000000">
      <w:pPr>
        <w:pStyle w:val="a3"/>
        <w:widowControl/>
        <w:shd w:val="clear" w:color="auto" w:fill="FFFFFF"/>
        <w:spacing w:before="160" w:after="160"/>
        <w:ind w:firstLineChars="0" w:firstLine="0"/>
        <w:rPr>
          <w:rFonts w:ascii="Segoe UI" w:eastAsia="Segoe UI" w:hAnsi="Segoe UI" w:cs="Segoe UI"/>
          <w:color w:val="0F1115"/>
          <w:sz w:val="16"/>
          <w:szCs w:val="16"/>
        </w:rPr>
      </w:pPr>
      <w:r>
        <w:rPr>
          <w:rFonts w:ascii="Segoe UI" w:eastAsia="Segoe UI" w:hAnsi="Segoe UI" w:cs="Segoe UI"/>
          <w:color w:val="0F1115"/>
          <w:sz w:val="16"/>
          <w:szCs w:val="16"/>
          <w:shd w:val="clear" w:color="auto" w:fill="FFFFFF"/>
        </w:rPr>
        <w:lastRenderedPageBreak/>
        <w:t>2025年末，建信基金资产管理规模1.53</w:t>
      </w:r>
      <w:proofErr w:type="gramStart"/>
      <w:r>
        <w:rPr>
          <w:rFonts w:ascii="Segoe UI" w:eastAsia="Segoe UI" w:hAnsi="Segoe UI" w:cs="Segoe UI"/>
          <w:color w:val="0F1115"/>
          <w:sz w:val="16"/>
          <w:szCs w:val="16"/>
          <w:shd w:val="clear" w:color="auto" w:fill="FFFFFF"/>
        </w:rPr>
        <w:t>万亿</w:t>
      </w:r>
      <w:proofErr w:type="gramEnd"/>
      <w:r>
        <w:rPr>
          <w:rFonts w:ascii="Segoe UI" w:eastAsia="Segoe UI" w:hAnsi="Segoe UI" w:cs="Segoe UI"/>
          <w:color w:val="0F1115"/>
          <w:sz w:val="16"/>
          <w:szCs w:val="16"/>
          <w:shd w:val="clear" w:color="auto" w:fill="FFFFFF"/>
        </w:rPr>
        <w:t>元，其中公</w:t>
      </w:r>
      <w:proofErr w:type="gramStart"/>
      <w:r>
        <w:rPr>
          <w:rFonts w:ascii="Segoe UI" w:eastAsia="Segoe UI" w:hAnsi="Segoe UI" w:cs="Segoe UI"/>
          <w:color w:val="0F1115"/>
          <w:sz w:val="16"/>
          <w:szCs w:val="16"/>
          <w:shd w:val="clear" w:color="auto" w:fill="FFFFFF"/>
        </w:rPr>
        <w:t>募基金</w:t>
      </w:r>
      <w:proofErr w:type="gramEnd"/>
      <w:r>
        <w:rPr>
          <w:rFonts w:ascii="Segoe UI" w:eastAsia="Segoe UI" w:hAnsi="Segoe UI" w:cs="Segoe UI"/>
          <w:color w:val="0F1115"/>
          <w:sz w:val="16"/>
          <w:szCs w:val="16"/>
          <w:shd w:val="clear" w:color="auto" w:fill="FFFFFF"/>
        </w:rPr>
        <w:t>管理规模9736.27亿元，在行业内保持前列。资产总额114.10亿元，净资产97.32亿元；全年实现净利润8.69亿元，较2024年的8.44亿元仅增长2.96%。</w:t>
      </w:r>
    </w:p>
    <w:p w14:paraId="0C356BC8" w14:textId="77777777" w:rsidR="00D45960" w:rsidRDefault="00000000">
      <w:pPr>
        <w:pStyle w:val="a3"/>
        <w:widowControl/>
        <w:shd w:val="clear" w:color="auto" w:fill="FFFFFF"/>
        <w:spacing w:before="160" w:after="160"/>
        <w:ind w:firstLineChars="0" w:firstLine="0"/>
        <w:rPr>
          <w:rFonts w:ascii="Segoe UI" w:eastAsia="Segoe UI" w:hAnsi="Segoe UI" w:cs="Segoe UI"/>
          <w:color w:val="0F1115"/>
          <w:sz w:val="16"/>
          <w:szCs w:val="16"/>
        </w:rPr>
      </w:pPr>
      <w:r>
        <w:rPr>
          <w:rFonts w:ascii="Segoe UI" w:eastAsia="Segoe UI" w:hAnsi="Segoe UI" w:cs="Segoe UI"/>
          <w:color w:val="0F1115"/>
          <w:sz w:val="16"/>
          <w:szCs w:val="16"/>
          <w:shd w:val="clear" w:color="auto" w:fill="FFFFFF"/>
        </w:rPr>
        <w:t>盈利效率的极低转化</w:t>
      </w:r>
      <w:r>
        <w:rPr>
          <w:rFonts w:ascii="Segoe UI" w:hAnsi="Segoe UI" w:cs="Segoe UI" w:hint="eastAsia"/>
          <w:color w:val="0F1115"/>
          <w:sz w:val="16"/>
          <w:szCs w:val="16"/>
          <w:shd w:val="clear" w:color="auto" w:fill="FFFFFF"/>
        </w:rPr>
        <w:t>，</w:t>
      </w:r>
      <w:r>
        <w:rPr>
          <w:rFonts w:ascii="Segoe UI" w:eastAsia="Segoe UI" w:hAnsi="Segoe UI" w:cs="Segoe UI"/>
          <w:color w:val="0F1115"/>
          <w:sz w:val="16"/>
          <w:szCs w:val="16"/>
          <w:shd w:val="clear" w:color="auto" w:fill="FFFFFF"/>
        </w:rPr>
        <w:t>1.53</w:t>
      </w:r>
      <w:proofErr w:type="gramStart"/>
      <w:r>
        <w:rPr>
          <w:rFonts w:ascii="Segoe UI" w:eastAsia="Segoe UI" w:hAnsi="Segoe UI" w:cs="Segoe UI"/>
          <w:color w:val="0F1115"/>
          <w:sz w:val="16"/>
          <w:szCs w:val="16"/>
          <w:shd w:val="clear" w:color="auto" w:fill="FFFFFF"/>
        </w:rPr>
        <w:t>万亿</w:t>
      </w:r>
      <w:proofErr w:type="gramEnd"/>
      <w:r>
        <w:rPr>
          <w:rFonts w:ascii="Segoe UI" w:eastAsia="Segoe UI" w:hAnsi="Segoe UI" w:cs="Segoe UI"/>
          <w:color w:val="0F1115"/>
          <w:sz w:val="16"/>
          <w:szCs w:val="16"/>
          <w:shd w:val="clear" w:color="auto" w:fill="FFFFFF"/>
        </w:rPr>
        <w:t>元的总管</w:t>
      </w:r>
      <w:proofErr w:type="gramStart"/>
      <w:r>
        <w:rPr>
          <w:rFonts w:ascii="Segoe UI" w:eastAsia="Segoe UI" w:hAnsi="Segoe UI" w:cs="Segoe UI"/>
          <w:color w:val="0F1115"/>
          <w:sz w:val="16"/>
          <w:szCs w:val="16"/>
          <w:shd w:val="clear" w:color="auto" w:fill="FFFFFF"/>
        </w:rPr>
        <w:t>理规模</w:t>
      </w:r>
      <w:proofErr w:type="gramEnd"/>
      <w:r>
        <w:rPr>
          <w:rFonts w:ascii="Segoe UI" w:eastAsia="Segoe UI" w:hAnsi="Segoe UI" w:cs="Segoe UI"/>
          <w:color w:val="0F1115"/>
          <w:sz w:val="16"/>
          <w:szCs w:val="16"/>
          <w:shd w:val="clear" w:color="auto" w:fill="FFFFFF"/>
        </w:rPr>
        <w:t>产生8.69亿元净利润，利润率约为0.057%。与之对照，</w:t>
      </w:r>
      <w:proofErr w:type="gramStart"/>
      <w:r>
        <w:rPr>
          <w:rFonts w:ascii="Segoe UI" w:eastAsia="Segoe UI" w:hAnsi="Segoe UI" w:cs="Segoe UI"/>
          <w:color w:val="0F1115"/>
          <w:sz w:val="16"/>
          <w:szCs w:val="16"/>
          <w:shd w:val="clear" w:color="auto" w:fill="FFFFFF"/>
        </w:rPr>
        <w:t>工银瑞信</w:t>
      </w:r>
      <w:proofErr w:type="gramEnd"/>
      <w:r>
        <w:rPr>
          <w:rFonts w:ascii="Segoe UI" w:eastAsia="Segoe UI" w:hAnsi="Segoe UI" w:cs="Segoe UI"/>
          <w:color w:val="0F1115"/>
          <w:sz w:val="16"/>
          <w:szCs w:val="16"/>
          <w:shd w:val="clear" w:color="auto" w:fill="FFFFFF"/>
        </w:rPr>
        <w:t>以约2.37</w:t>
      </w:r>
      <w:proofErr w:type="gramStart"/>
      <w:r>
        <w:rPr>
          <w:rFonts w:ascii="Segoe UI" w:eastAsia="Segoe UI" w:hAnsi="Segoe UI" w:cs="Segoe UI"/>
          <w:color w:val="0F1115"/>
          <w:sz w:val="16"/>
          <w:szCs w:val="16"/>
          <w:shd w:val="clear" w:color="auto" w:fill="FFFFFF"/>
        </w:rPr>
        <w:t>万亿</w:t>
      </w:r>
      <w:proofErr w:type="gramEnd"/>
      <w:r>
        <w:rPr>
          <w:rFonts w:ascii="Segoe UI" w:eastAsia="Segoe UI" w:hAnsi="Segoe UI" w:cs="Segoe UI"/>
          <w:color w:val="0F1115"/>
          <w:sz w:val="16"/>
          <w:szCs w:val="16"/>
          <w:shd w:val="clear" w:color="auto" w:fill="FFFFFF"/>
        </w:rPr>
        <w:t>元的总资产规模产生了30.07亿元净利润，利润率约为0.127%</w:t>
      </w:r>
      <w:r>
        <w:rPr>
          <w:rFonts w:ascii="Segoe UI" w:hAnsi="Segoe UI" w:cs="Segoe UI" w:hint="eastAsia"/>
          <w:color w:val="0F1115"/>
          <w:sz w:val="16"/>
          <w:szCs w:val="16"/>
          <w:shd w:val="clear" w:color="auto" w:fill="FFFFFF"/>
        </w:rPr>
        <w:t>，</w:t>
      </w:r>
      <w:r>
        <w:rPr>
          <w:rFonts w:ascii="Segoe UI" w:eastAsia="Segoe UI" w:hAnsi="Segoe UI" w:cs="Segoe UI"/>
          <w:color w:val="0F1115"/>
          <w:sz w:val="16"/>
          <w:szCs w:val="16"/>
          <w:shd w:val="clear" w:color="auto" w:fill="FFFFFF"/>
        </w:rPr>
        <w:t>两者相差超过一倍。即便剔除养老金业务的费率溢价，建信基金的利润转化能力依然在银行系公募中垫底。</w:t>
      </w:r>
    </w:p>
    <w:p w14:paraId="78747E51" w14:textId="091F046F" w:rsidR="00D45960" w:rsidRDefault="00000000">
      <w:pPr>
        <w:pStyle w:val="a3"/>
        <w:widowControl/>
        <w:shd w:val="clear" w:color="auto" w:fill="FFFFFF"/>
        <w:spacing w:before="160" w:after="160"/>
        <w:ind w:firstLineChars="0" w:firstLine="0"/>
        <w:rPr>
          <w:rFonts w:ascii="Segoe UI" w:eastAsia="Segoe UI" w:hAnsi="Segoe UI" w:cs="Segoe UI"/>
          <w:color w:val="0F1115"/>
          <w:sz w:val="16"/>
          <w:szCs w:val="16"/>
        </w:rPr>
      </w:pPr>
      <w:r>
        <w:rPr>
          <w:rFonts w:ascii="Segoe UI" w:eastAsia="Segoe UI" w:hAnsi="Segoe UI" w:cs="Segoe UI"/>
          <w:color w:val="0F1115"/>
          <w:sz w:val="16"/>
          <w:szCs w:val="16"/>
          <w:shd w:val="clear" w:color="auto" w:fill="FFFFFF"/>
        </w:rPr>
        <w:t>问题出在规模结构上。建信基金的超万亿规模中，货币基金和</w:t>
      </w:r>
      <w:proofErr w:type="gramStart"/>
      <w:r>
        <w:rPr>
          <w:rFonts w:ascii="Segoe UI" w:eastAsia="Segoe UI" w:hAnsi="Segoe UI" w:cs="Segoe UI"/>
          <w:color w:val="0F1115"/>
          <w:sz w:val="16"/>
          <w:szCs w:val="16"/>
          <w:shd w:val="clear" w:color="auto" w:fill="FFFFFF"/>
        </w:rPr>
        <w:t>纯债基金</w:t>
      </w:r>
      <w:proofErr w:type="gramEnd"/>
      <w:r>
        <w:rPr>
          <w:rFonts w:ascii="Segoe UI" w:eastAsia="Segoe UI" w:hAnsi="Segoe UI" w:cs="Segoe UI"/>
          <w:color w:val="0F1115"/>
          <w:sz w:val="16"/>
          <w:szCs w:val="16"/>
          <w:shd w:val="clear" w:color="auto" w:fill="FFFFFF"/>
        </w:rPr>
        <w:t>占据了绝大部分份额，权益类产品规模占比极低，部分权益产品长期面临清盘压力。货币基金和</w:t>
      </w:r>
      <w:proofErr w:type="gramStart"/>
      <w:r>
        <w:rPr>
          <w:rFonts w:ascii="Segoe UI" w:eastAsia="Segoe UI" w:hAnsi="Segoe UI" w:cs="Segoe UI"/>
          <w:color w:val="0F1115"/>
          <w:sz w:val="16"/>
          <w:szCs w:val="16"/>
          <w:shd w:val="clear" w:color="auto" w:fill="FFFFFF"/>
        </w:rPr>
        <w:t>纯债基金</w:t>
      </w:r>
      <w:proofErr w:type="gramEnd"/>
      <w:r>
        <w:rPr>
          <w:rFonts w:ascii="Segoe UI" w:eastAsia="Segoe UI" w:hAnsi="Segoe UI" w:cs="Segoe UI"/>
          <w:color w:val="0F1115"/>
          <w:sz w:val="16"/>
          <w:szCs w:val="16"/>
          <w:shd w:val="clear" w:color="auto" w:fill="FFFFFF"/>
        </w:rPr>
        <w:t>的管理费率仅为0.15%-0.3%，远低于主动权益类产品的1.5%。当管理规模的绝大多数由低费率产品构成，规模的持续膨胀并不会同步推升利润。规模最大的银行系公募，盈利效率最低</w:t>
      </w:r>
      <w:r>
        <w:rPr>
          <w:rFonts w:ascii="Segoe UI" w:hAnsi="Segoe UI" w:cs="Segoe UI" w:hint="eastAsia"/>
          <w:color w:val="0F1115"/>
          <w:sz w:val="16"/>
          <w:szCs w:val="16"/>
          <w:shd w:val="clear" w:color="auto" w:fill="FFFFFF"/>
        </w:rPr>
        <w:t>，</w:t>
      </w:r>
      <w:r>
        <w:rPr>
          <w:rFonts w:ascii="Segoe UI" w:eastAsia="Segoe UI" w:hAnsi="Segoe UI" w:cs="Segoe UI"/>
          <w:color w:val="0F1115"/>
          <w:sz w:val="16"/>
          <w:szCs w:val="16"/>
          <w:shd w:val="clear" w:color="auto" w:fill="FFFFFF"/>
        </w:rPr>
        <w:t>这是建信基金2025年年报最不可回避的结构性事实。</w:t>
      </w:r>
    </w:p>
    <w:p w14:paraId="281EDF24" w14:textId="77777777" w:rsidR="00D45960" w:rsidRDefault="00000000">
      <w:pPr>
        <w:pStyle w:val="2"/>
        <w:widowControl/>
        <w:shd w:val="clear" w:color="auto" w:fill="FFFFFF"/>
        <w:spacing w:before="320" w:beforeAutospacing="0" w:after="160" w:afterAutospacing="0" w:line="320" w:lineRule="atLeast"/>
        <w:ind w:firstLineChars="0" w:firstLine="0"/>
        <w:rPr>
          <w:rFonts w:ascii="Segoe UI" w:hAnsi="Segoe UI" w:cs="Segoe UI" w:hint="default"/>
          <w:color w:val="0F1115"/>
          <w:sz w:val="22"/>
          <w:szCs w:val="22"/>
        </w:rPr>
      </w:pPr>
      <w:r>
        <w:rPr>
          <w:rFonts w:ascii="Segoe UI" w:eastAsia="Segoe UI" w:hAnsi="Segoe UI" w:cs="Segoe UI" w:hint="default"/>
          <w:color w:val="0F1115"/>
          <w:sz w:val="22"/>
          <w:szCs w:val="22"/>
          <w:shd w:val="clear" w:color="auto" w:fill="FFFFFF"/>
        </w:rPr>
        <w:t>中</w:t>
      </w:r>
      <w:proofErr w:type="gramStart"/>
      <w:r>
        <w:rPr>
          <w:rFonts w:ascii="Segoe UI" w:eastAsia="Segoe UI" w:hAnsi="Segoe UI" w:cs="Segoe UI" w:hint="default"/>
          <w:color w:val="0F1115"/>
          <w:sz w:val="22"/>
          <w:szCs w:val="22"/>
          <w:shd w:val="clear" w:color="auto" w:fill="FFFFFF"/>
        </w:rPr>
        <w:t>银基金</w:t>
      </w:r>
      <w:proofErr w:type="gramEnd"/>
      <w:r>
        <w:rPr>
          <w:rFonts w:ascii="Segoe UI" w:eastAsia="Segoe UI" w:hAnsi="Segoe UI" w:cs="Segoe UI" w:hint="default"/>
          <w:color w:val="0F1115"/>
          <w:sz w:val="22"/>
          <w:szCs w:val="22"/>
          <w:shd w:val="clear" w:color="auto" w:fill="FFFFFF"/>
        </w:rPr>
        <w:t>连续两年双位数增长</w:t>
      </w:r>
      <w:r>
        <w:rPr>
          <w:rFonts w:ascii="Segoe UI" w:hAnsi="Segoe UI" w:cs="Segoe UI"/>
          <w:color w:val="0F1115"/>
          <w:sz w:val="22"/>
          <w:szCs w:val="22"/>
          <w:shd w:val="clear" w:color="auto" w:fill="FFFFFF"/>
        </w:rPr>
        <w:t>，</w:t>
      </w:r>
      <w:r>
        <w:rPr>
          <w:rFonts w:ascii="Segoe UI" w:eastAsia="Segoe UI" w:hAnsi="Segoe UI" w:cs="Segoe UI" w:hint="default"/>
          <w:color w:val="0F1115"/>
          <w:sz w:val="22"/>
          <w:szCs w:val="22"/>
          <w:shd w:val="clear" w:color="auto" w:fill="FFFFFF"/>
        </w:rPr>
        <w:t>低风险公募的稳定性溢价</w:t>
      </w:r>
    </w:p>
    <w:p w14:paraId="43632957" w14:textId="77777777" w:rsidR="00D45960" w:rsidRDefault="00000000">
      <w:pPr>
        <w:pStyle w:val="a3"/>
        <w:widowControl/>
        <w:shd w:val="clear" w:color="auto" w:fill="FFFFFF"/>
        <w:spacing w:before="160" w:after="160"/>
        <w:ind w:firstLineChars="0" w:firstLine="0"/>
        <w:rPr>
          <w:rFonts w:ascii="Segoe UI" w:eastAsia="Segoe UI" w:hAnsi="Segoe UI" w:cs="Segoe UI"/>
          <w:color w:val="0F1115"/>
          <w:sz w:val="16"/>
          <w:szCs w:val="16"/>
        </w:rPr>
      </w:pPr>
      <w:r>
        <w:rPr>
          <w:rFonts w:ascii="Segoe UI" w:eastAsia="Segoe UI" w:hAnsi="Segoe UI" w:cs="Segoe UI"/>
          <w:color w:val="0F1115"/>
          <w:sz w:val="16"/>
          <w:szCs w:val="16"/>
          <w:shd w:val="clear" w:color="auto" w:fill="FFFFFF"/>
        </w:rPr>
        <w:t>中</w:t>
      </w:r>
      <w:proofErr w:type="gramStart"/>
      <w:r>
        <w:rPr>
          <w:rFonts w:ascii="Segoe UI" w:eastAsia="Segoe UI" w:hAnsi="Segoe UI" w:cs="Segoe UI"/>
          <w:color w:val="0F1115"/>
          <w:sz w:val="16"/>
          <w:szCs w:val="16"/>
          <w:shd w:val="clear" w:color="auto" w:fill="FFFFFF"/>
        </w:rPr>
        <w:t>银基金</w:t>
      </w:r>
      <w:proofErr w:type="gramEnd"/>
      <w:r>
        <w:rPr>
          <w:rFonts w:ascii="Segoe UI" w:eastAsia="Segoe UI" w:hAnsi="Segoe UI" w:cs="Segoe UI"/>
          <w:color w:val="0F1115"/>
          <w:sz w:val="16"/>
          <w:szCs w:val="16"/>
          <w:shd w:val="clear" w:color="auto" w:fill="FFFFFF"/>
        </w:rPr>
        <w:t>是银行系公募中极少数连续两年实现净利润两位数增长的机构。</w:t>
      </w:r>
    </w:p>
    <w:p w14:paraId="4E35D076" w14:textId="7679FF72" w:rsidR="00D45960" w:rsidRDefault="00000000">
      <w:pPr>
        <w:pStyle w:val="a3"/>
        <w:widowControl/>
        <w:shd w:val="clear" w:color="auto" w:fill="FFFFFF"/>
        <w:spacing w:before="160" w:after="160"/>
        <w:ind w:firstLineChars="0" w:firstLine="0"/>
        <w:rPr>
          <w:rFonts w:ascii="Segoe UI" w:eastAsia="Segoe UI" w:hAnsi="Segoe UI" w:cs="Segoe UI"/>
          <w:color w:val="0F1115"/>
          <w:sz w:val="16"/>
          <w:szCs w:val="16"/>
        </w:rPr>
      </w:pPr>
      <w:r>
        <w:rPr>
          <w:rFonts w:ascii="Segoe UI" w:eastAsia="Segoe UI" w:hAnsi="Segoe UI" w:cs="Segoe UI"/>
          <w:color w:val="0F1115"/>
          <w:sz w:val="16"/>
          <w:szCs w:val="16"/>
          <w:shd w:val="clear" w:color="auto" w:fill="FFFFFF"/>
        </w:rPr>
        <w:t>2025年全年，中</w:t>
      </w:r>
      <w:proofErr w:type="gramStart"/>
      <w:r>
        <w:rPr>
          <w:rFonts w:ascii="Segoe UI" w:eastAsia="Segoe UI" w:hAnsi="Segoe UI" w:cs="Segoe UI"/>
          <w:color w:val="0F1115"/>
          <w:sz w:val="16"/>
          <w:szCs w:val="16"/>
          <w:shd w:val="clear" w:color="auto" w:fill="FFFFFF"/>
        </w:rPr>
        <w:t>银基金</w:t>
      </w:r>
      <w:proofErr w:type="gramEnd"/>
      <w:r>
        <w:rPr>
          <w:rFonts w:ascii="Segoe UI" w:eastAsia="Segoe UI" w:hAnsi="Segoe UI" w:cs="Segoe UI"/>
          <w:color w:val="0F1115"/>
          <w:sz w:val="16"/>
          <w:szCs w:val="16"/>
          <w:shd w:val="clear" w:color="auto" w:fill="FFFFFF"/>
        </w:rPr>
        <w:t>实现税后利润8.92亿元，同比增长12.91%。2024年，中</w:t>
      </w:r>
      <w:proofErr w:type="gramStart"/>
      <w:r>
        <w:rPr>
          <w:rFonts w:ascii="Segoe UI" w:eastAsia="Segoe UI" w:hAnsi="Segoe UI" w:cs="Segoe UI"/>
          <w:color w:val="0F1115"/>
          <w:sz w:val="16"/>
          <w:szCs w:val="16"/>
          <w:shd w:val="clear" w:color="auto" w:fill="FFFFFF"/>
        </w:rPr>
        <w:t>银基金</w:t>
      </w:r>
      <w:proofErr w:type="gramEnd"/>
      <w:r>
        <w:rPr>
          <w:rFonts w:ascii="Segoe UI" w:eastAsia="Segoe UI" w:hAnsi="Segoe UI" w:cs="Segoe UI"/>
          <w:color w:val="0F1115"/>
          <w:sz w:val="16"/>
          <w:szCs w:val="16"/>
          <w:shd w:val="clear" w:color="auto" w:fill="FFFFFF"/>
        </w:rPr>
        <w:t>实现净利润7.9亿元，同比增长12.54%。连续两年双位数增长的持续性与招商、交银施罗德的连续下滑形成鲜明对照。</w:t>
      </w:r>
    </w:p>
    <w:p w14:paraId="018B2141" w14:textId="41DDD25C" w:rsidR="00D45960" w:rsidRDefault="00000000">
      <w:pPr>
        <w:pStyle w:val="a3"/>
        <w:widowControl/>
        <w:shd w:val="clear" w:color="auto" w:fill="FFFFFF"/>
        <w:spacing w:before="160" w:after="160"/>
        <w:ind w:firstLineChars="0" w:firstLine="0"/>
        <w:rPr>
          <w:rFonts w:ascii="Segoe UI" w:eastAsia="Segoe UI" w:hAnsi="Segoe UI" w:cs="Segoe UI"/>
          <w:color w:val="0F1115"/>
          <w:sz w:val="16"/>
          <w:szCs w:val="16"/>
        </w:rPr>
      </w:pPr>
      <w:r>
        <w:rPr>
          <w:rFonts w:ascii="Segoe UI" w:eastAsia="Segoe UI" w:hAnsi="Segoe UI" w:cs="Segoe UI"/>
          <w:color w:val="0F1115"/>
          <w:sz w:val="16"/>
          <w:szCs w:val="16"/>
          <w:shd w:val="clear" w:color="auto" w:fill="FFFFFF"/>
        </w:rPr>
        <w:t>从规模维度看，2025年末中</w:t>
      </w:r>
      <w:proofErr w:type="gramStart"/>
      <w:r>
        <w:rPr>
          <w:rFonts w:ascii="Segoe UI" w:eastAsia="Segoe UI" w:hAnsi="Segoe UI" w:cs="Segoe UI"/>
          <w:color w:val="0F1115"/>
          <w:sz w:val="16"/>
          <w:szCs w:val="16"/>
          <w:shd w:val="clear" w:color="auto" w:fill="FFFFFF"/>
        </w:rPr>
        <w:t>银基金</w:t>
      </w:r>
      <w:proofErr w:type="gramEnd"/>
      <w:r>
        <w:rPr>
          <w:rFonts w:ascii="Segoe UI" w:eastAsia="Segoe UI" w:hAnsi="Segoe UI" w:cs="Segoe UI"/>
          <w:color w:val="0F1115"/>
          <w:sz w:val="16"/>
          <w:szCs w:val="16"/>
          <w:shd w:val="clear" w:color="auto" w:fill="FFFFFF"/>
        </w:rPr>
        <w:t>资产管理总规模7930亿元，其中公</w:t>
      </w:r>
      <w:proofErr w:type="gramStart"/>
      <w:r>
        <w:rPr>
          <w:rFonts w:ascii="Segoe UI" w:eastAsia="Segoe UI" w:hAnsi="Segoe UI" w:cs="Segoe UI"/>
          <w:color w:val="0F1115"/>
          <w:sz w:val="16"/>
          <w:szCs w:val="16"/>
          <w:shd w:val="clear" w:color="auto" w:fill="FFFFFF"/>
        </w:rPr>
        <w:t>募基金</w:t>
      </w:r>
      <w:proofErr w:type="gramEnd"/>
      <w:r>
        <w:rPr>
          <w:rFonts w:ascii="Segoe UI" w:eastAsia="Segoe UI" w:hAnsi="Segoe UI" w:cs="Segoe UI"/>
          <w:color w:val="0F1115"/>
          <w:sz w:val="16"/>
          <w:szCs w:val="16"/>
          <w:shd w:val="clear" w:color="auto" w:fill="FFFFFF"/>
        </w:rPr>
        <w:t>资产管理规模7334亿元，非货币公</w:t>
      </w:r>
      <w:proofErr w:type="gramStart"/>
      <w:r>
        <w:rPr>
          <w:rFonts w:ascii="Segoe UI" w:eastAsia="Segoe UI" w:hAnsi="Segoe UI" w:cs="Segoe UI"/>
          <w:color w:val="0F1115"/>
          <w:sz w:val="16"/>
          <w:szCs w:val="16"/>
          <w:shd w:val="clear" w:color="auto" w:fill="FFFFFF"/>
        </w:rPr>
        <w:t>募基金</w:t>
      </w:r>
      <w:proofErr w:type="gramEnd"/>
      <w:r>
        <w:rPr>
          <w:rFonts w:ascii="Segoe UI" w:eastAsia="Segoe UI" w:hAnsi="Segoe UI" w:cs="Segoe UI"/>
          <w:color w:val="0F1115"/>
          <w:sz w:val="16"/>
          <w:szCs w:val="16"/>
          <w:shd w:val="clear" w:color="auto" w:fill="FFFFFF"/>
        </w:rPr>
        <w:t>资产管理规模3372亿元。在银行系公募中，中</w:t>
      </w:r>
      <w:proofErr w:type="gramStart"/>
      <w:r>
        <w:rPr>
          <w:rFonts w:ascii="Segoe UI" w:eastAsia="Segoe UI" w:hAnsi="Segoe UI" w:cs="Segoe UI"/>
          <w:color w:val="0F1115"/>
          <w:sz w:val="16"/>
          <w:szCs w:val="16"/>
          <w:shd w:val="clear" w:color="auto" w:fill="FFFFFF"/>
        </w:rPr>
        <w:t>银基金</w:t>
      </w:r>
      <w:proofErr w:type="gramEnd"/>
      <w:r>
        <w:rPr>
          <w:rFonts w:ascii="Segoe UI" w:eastAsia="Segoe UI" w:hAnsi="Segoe UI" w:cs="Segoe UI"/>
          <w:color w:val="0F1115"/>
          <w:sz w:val="16"/>
          <w:szCs w:val="16"/>
          <w:shd w:val="clear" w:color="auto" w:fill="FFFFFF"/>
        </w:rPr>
        <w:t>已成为第三家完成全品类布局的机构。</w:t>
      </w:r>
    </w:p>
    <w:p w14:paraId="51875AAF" w14:textId="75DBDFFF" w:rsidR="00D45960" w:rsidRDefault="00000000">
      <w:pPr>
        <w:pStyle w:val="a3"/>
        <w:widowControl/>
        <w:shd w:val="clear" w:color="auto" w:fill="FFFFFF"/>
        <w:spacing w:before="160" w:after="160"/>
        <w:ind w:firstLineChars="0" w:firstLine="0"/>
        <w:rPr>
          <w:rFonts w:ascii="Segoe UI" w:eastAsia="Segoe UI" w:hAnsi="Segoe UI" w:cs="Segoe UI"/>
          <w:color w:val="0F1115"/>
          <w:sz w:val="16"/>
          <w:szCs w:val="16"/>
        </w:rPr>
      </w:pPr>
      <w:r>
        <w:rPr>
          <w:rFonts w:ascii="Segoe UI" w:eastAsia="Segoe UI" w:hAnsi="Segoe UI" w:cs="Segoe UI"/>
          <w:color w:val="0F1115"/>
          <w:sz w:val="16"/>
          <w:szCs w:val="16"/>
          <w:shd w:val="clear" w:color="auto" w:fill="FFFFFF"/>
        </w:rPr>
        <w:t>中</w:t>
      </w:r>
      <w:proofErr w:type="gramStart"/>
      <w:r>
        <w:rPr>
          <w:rFonts w:ascii="Segoe UI" w:eastAsia="Segoe UI" w:hAnsi="Segoe UI" w:cs="Segoe UI"/>
          <w:color w:val="0F1115"/>
          <w:sz w:val="16"/>
          <w:szCs w:val="16"/>
          <w:shd w:val="clear" w:color="auto" w:fill="FFFFFF"/>
        </w:rPr>
        <w:t>银基金</w:t>
      </w:r>
      <w:proofErr w:type="gramEnd"/>
      <w:r>
        <w:rPr>
          <w:rFonts w:ascii="Segoe UI" w:eastAsia="Segoe UI" w:hAnsi="Segoe UI" w:cs="Segoe UI"/>
          <w:color w:val="0F1115"/>
          <w:sz w:val="16"/>
          <w:szCs w:val="16"/>
          <w:shd w:val="clear" w:color="auto" w:fill="FFFFFF"/>
        </w:rPr>
        <w:t>增长的最独特之处在于其产品集中度高达94.62%的债券基金奠定了利润基座，同时该基座在连续降费周期中未出现利润侵蚀。中</w:t>
      </w:r>
      <w:proofErr w:type="gramStart"/>
      <w:r>
        <w:rPr>
          <w:rFonts w:ascii="Segoe UI" w:eastAsia="Segoe UI" w:hAnsi="Segoe UI" w:cs="Segoe UI"/>
          <w:color w:val="0F1115"/>
          <w:sz w:val="16"/>
          <w:szCs w:val="16"/>
          <w:shd w:val="clear" w:color="auto" w:fill="FFFFFF"/>
        </w:rPr>
        <w:t>银基金</w:t>
      </w:r>
      <w:proofErr w:type="gramEnd"/>
      <w:r>
        <w:rPr>
          <w:rFonts w:ascii="Segoe UI" w:eastAsia="Segoe UI" w:hAnsi="Segoe UI" w:cs="Segoe UI"/>
          <w:color w:val="0F1115"/>
          <w:sz w:val="16"/>
          <w:szCs w:val="16"/>
          <w:shd w:val="clear" w:color="auto" w:fill="FFFFFF"/>
        </w:rPr>
        <w:t>的盈利韧性在</w:t>
      </w:r>
      <w:proofErr w:type="gramStart"/>
      <w:r>
        <w:rPr>
          <w:rFonts w:ascii="Segoe UI" w:eastAsia="Segoe UI" w:hAnsi="Segoe UI" w:cs="Segoe UI"/>
          <w:color w:val="0F1115"/>
          <w:sz w:val="16"/>
          <w:szCs w:val="16"/>
          <w:shd w:val="clear" w:color="auto" w:fill="FFFFFF"/>
        </w:rPr>
        <w:t>降费潮中</w:t>
      </w:r>
      <w:proofErr w:type="gramEnd"/>
      <w:r>
        <w:rPr>
          <w:rFonts w:ascii="Segoe UI" w:eastAsia="Segoe UI" w:hAnsi="Segoe UI" w:cs="Segoe UI"/>
          <w:color w:val="0F1115"/>
          <w:sz w:val="16"/>
          <w:szCs w:val="16"/>
          <w:shd w:val="clear" w:color="auto" w:fill="FFFFFF"/>
        </w:rPr>
        <w:t>反而凸显</w:t>
      </w:r>
      <w:r>
        <w:rPr>
          <w:rFonts w:ascii="Segoe UI" w:hAnsi="Segoe UI" w:cs="Segoe UI" w:hint="eastAsia"/>
          <w:color w:val="0F1115"/>
          <w:sz w:val="16"/>
          <w:szCs w:val="16"/>
          <w:shd w:val="clear" w:color="auto" w:fill="FFFFFF"/>
        </w:rPr>
        <w:t>，</w:t>
      </w:r>
      <w:proofErr w:type="gramStart"/>
      <w:r>
        <w:rPr>
          <w:rFonts w:ascii="Segoe UI" w:eastAsia="Segoe UI" w:hAnsi="Segoe UI" w:cs="Segoe UI"/>
          <w:color w:val="0F1115"/>
          <w:sz w:val="16"/>
          <w:szCs w:val="16"/>
          <w:shd w:val="clear" w:color="auto" w:fill="FFFFFF"/>
        </w:rPr>
        <w:t>固收产品</w:t>
      </w:r>
      <w:proofErr w:type="gramEnd"/>
      <w:r>
        <w:rPr>
          <w:rFonts w:ascii="Segoe UI" w:eastAsia="Segoe UI" w:hAnsi="Segoe UI" w:cs="Segoe UI"/>
          <w:color w:val="0F1115"/>
          <w:sz w:val="16"/>
          <w:szCs w:val="16"/>
          <w:shd w:val="clear" w:color="auto" w:fill="FFFFFF"/>
        </w:rPr>
        <w:t>的巨量规模提供了稳定的底仓管理费收入，持续小幅</w:t>
      </w:r>
      <w:proofErr w:type="gramStart"/>
      <w:r>
        <w:rPr>
          <w:rFonts w:ascii="Segoe UI" w:eastAsia="Segoe UI" w:hAnsi="Segoe UI" w:cs="Segoe UI"/>
          <w:color w:val="0F1115"/>
          <w:sz w:val="16"/>
          <w:szCs w:val="16"/>
          <w:shd w:val="clear" w:color="auto" w:fill="FFFFFF"/>
        </w:rPr>
        <w:t>扩张非货规模</w:t>
      </w:r>
      <w:proofErr w:type="gramEnd"/>
      <w:r>
        <w:rPr>
          <w:rFonts w:ascii="Segoe UI" w:eastAsia="Segoe UI" w:hAnsi="Segoe UI" w:cs="Segoe UI"/>
          <w:color w:val="0F1115"/>
          <w:sz w:val="16"/>
          <w:szCs w:val="16"/>
          <w:shd w:val="clear" w:color="auto" w:fill="FFFFFF"/>
        </w:rPr>
        <w:t>又不断为收入端注入增量，双轨并行使利润增速维持两位数。</w:t>
      </w:r>
    </w:p>
    <w:p w14:paraId="50AEBB86" w14:textId="77777777" w:rsidR="00D45960" w:rsidRDefault="00000000">
      <w:pPr>
        <w:pStyle w:val="2"/>
        <w:widowControl/>
        <w:shd w:val="clear" w:color="auto" w:fill="FFFFFF"/>
        <w:spacing w:before="320" w:beforeAutospacing="0" w:after="160" w:afterAutospacing="0" w:line="320" w:lineRule="atLeast"/>
        <w:ind w:firstLineChars="0" w:firstLine="0"/>
        <w:rPr>
          <w:rFonts w:ascii="Segoe UI" w:eastAsia="Segoe UI" w:hAnsi="Segoe UI" w:cs="Segoe UI" w:hint="default"/>
          <w:color w:val="0F1115"/>
          <w:sz w:val="22"/>
          <w:szCs w:val="22"/>
        </w:rPr>
      </w:pPr>
      <w:r>
        <w:rPr>
          <w:rFonts w:ascii="Segoe UI" w:eastAsia="Segoe UI" w:hAnsi="Segoe UI" w:cs="Segoe UI" w:hint="default"/>
          <w:color w:val="0F1115"/>
          <w:sz w:val="22"/>
          <w:szCs w:val="22"/>
          <w:shd w:val="clear" w:color="auto" w:fill="FFFFFF"/>
        </w:rPr>
        <w:t>银行系公募分化的底层逻辑</w:t>
      </w:r>
      <w:r>
        <w:rPr>
          <w:rFonts w:ascii="Segoe UI" w:hAnsi="Segoe UI" w:cs="Segoe UI"/>
          <w:color w:val="0F1115"/>
          <w:sz w:val="22"/>
          <w:szCs w:val="22"/>
          <w:shd w:val="clear" w:color="auto" w:fill="FFFFFF"/>
        </w:rPr>
        <w:t>，</w:t>
      </w:r>
      <w:r>
        <w:rPr>
          <w:rFonts w:ascii="Segoe UI" w:eastAsia="Segoe UI" w:hAnsi="Segoe UI" w:cs="Segoe UI" w:hint="default"/>
          <w:color w:val="0F1115"/>
          <w:sz w:val="22"/>
          <w:szCs w:val="22"/>
          <w:shd w:val="clear" w:color="auto" w:fill="FFFFFF"/>
        </w:rPr>
        <w:t>三类生存法则，一种估值归宿</w:t>
      </w:r>
    </w:p>
    <w:p w14:paraId="5A5CE1B7" w14:textId="77777777" w:rsidR="00D45960" w:rsidRDefault="00000000">
      <w:pPr>
        <w:pStyle w:val="a3"/>
        <w:widowControl/>
        <w:shd w:val="clear" w:color="auto" w:fill="FFFFFF"/>
        <w:spacing w:before="160" w:after="160"/>
        <w:ind w:firstLineChars="0" w:firstLine="0"/>
        <w:rPr>
          <w:rFonts w:ascii="Segoe UI" w:eastAsia="Segoe UI" w:hAnsi="Segoe UI" w:cs="Segoe UI"/>
          <w:color w:val="0F1115"/>
          <w:sz w:val="16"/>
          <w:szCs w:val="16"/>
        </w:rPr>
      </w:pPr>
      <w:r>
        <w:rPr>
          <w:rFonts w:ascii="Segoe UI" w:eastAsia="Segoe UI" w:hAnsi="Segoe UI" w:cs="Segoe UI"/>
          <w:color w:val="0F1115"/>
          <w:sz w:val="16"/>
          <w:szCs w:val="16"/>
          <w:shd w:val="clear" w:color="auto" w:fill="FFFFFF"/>
        </w:rPr>
        <w:t>将十家银行系公募的2025年年报并排放在一起，三条截然不同的生存法则清晰浮现。</w:t>
      </w:r>
    </w:p>
    <w:p w14:paraId="384C01BF" w14:textId="77777777" w:rsidR="00D45960" w:rsidRDefault="00000000">
      <w:pPr>
        <w:pStyle w:val="a3"/>
        <w:widowControl/>
        <w:shd w:val="clear" w:color="auto" w:fill="FFFFFF"/>
        <w:spacing w:before="160" w:after="160"/>
        <w:ind w:firstLineChars="0" w:firstLine="0"/>
        <w:rPr>
          <w:rFonts w:ascii="Segoe UI" w:eastAsia="Segoe UI" w:hAnsi="Segoe UI" w:cs="Segoe UI"/>
          <w:color w:val="0F1115"/>
          <w:sz w:val="16"/>
          <w:szCs w:val="16"/>
        </w:rPr>
      </w:pPr>
      <w:r>
        <w:rPr>
          <w:rStyle w:val="a4"/>
          <w:rFonts w:ascii="Segoe UI" w:eastAsia="Segoe UI" w:hAnsi="Segoe UI" w:cs="Segoe UI"/>
          <w:bCs/>
          <w:color w:val="0F1115"/>
          <w:sz w:val="16"/>
          <w:szCs w:val="16"/>
          <w:shd w:val="clear" w:color="auto" w:fill="FFFFFF"/>
        </w:rPr>
        <w:t>第一类，</w:t>
      </w:r>
      <w:proofErr w:type="gramStart"/>
      <w:r>
        <w:rPr>
          <w:rStyle w:val="a4"/>
          <w:rFonts w:ascii="Segoe UI" w:eastAsia="Segoe UI" w:hAnsi="Segoe UI" w:cs="Segoe UI"/>
          <w:bCs/>
          <w:color w:val="0F1115"/>
          <w:sz w:val="16"/>
          <w:szCs w:val="16"/>
          <w:shd w:val="clear" w:color="auto" w:fill="FFFFFF"/>
        </w:rPr>
        <w:t>固收底座</w:t>
      </w:r>
      <w:proofErr w:type="gramEnd"/>
      <w:r>
        <w:rPr>
          <w:rStyle w:val="a4"/>
          <w:rFonts w:ascii="Segoe UI" w:eastAsia="Segoe UI" w:hAnsi="Segoe UI" w:cs="Segoe UI"/>
          <w:bCs/>
          <w:color w:val="0F1115"/>
          <w:sz w:val="16"/>
          <w:szCs w:val="16"/>
          <w:shd w:val="clear" w:color="auto" w:fill="FFFFFF"/>
        </w:rPr>
        <w:t>+养老金等机构业务溢价的利润堡垒型。</w:t>
      </w:r>
      <w:r>
        <w:rPr>
          <w:rFonts w:ascii="Segoe UI" w:eastAsia="Segoe UI" w:hAnsi="Segoe UI" w:cs="Segoe UI"/>
          <w:color w:val="0F1115"/>
          <w:sz w:val="16"/>
          <w:szCs w:val="16"/>
          <w:shd w:val="clear" w:color="auto" w:fill="FFFFFF"/>
        </w:rPr>
        <w:t> </w:t>
      </w:r>
      <w:proofErr w:type="gramStart"/>
      <w:r>
        <w:rPr>
          <w:rFonts w:ascii="Segoe UI" w:eastAsia="Segoe UI" w:hAnsi="Segoe UI" w:cs="Segoe UI"/>
          <w:color w:val="0F1115"/>
          <w:sz w:val="16"/>
          <w:szCs w:val="16"/>
          <w:shd w:val="clear" w:color="auto" w:fill="FFFFFF"/>
        </w:rPr>
        <w:t>工银瑞信</w:t>
      </w:r>
      <w:proofErr w:type="gramEnd"/>
      <w:r>
        <w:rPr>
          <w:rFonts w:ascii="Segoe UI" w:eastAsia="Segoe UI" w:hAnsi="Segoe UI" w:cs="Segoe UI"/>
          <w:color w:val="0F1115"/>
          <w:sz w:val="16"/>
          <w:szCs w:val="16"/>
          <w:shd w:val="clear" w:color="auto" w:fill="FFFFFF"/>
        </w:rPr>
        <w:t>是这一模式的最优样本。公</w:t>
      </w:r>
      <w:proofErr w:type="gramStart"/>
      <w:r>
        <w:rPr>
          <w:rFonts w:ascii="Segoe UI" w:eastAsia="Segoe UI" w:hAnsi="Segoe UI" w:cs="Segoe UI"/>
          <w:color w:val="0F1115"/>
          <w:sz w:val="16"/>
          <w:szCs w:val="16"/>
          <w:shd w:val="clear" w:color="auto" w:fill="FFFFFF"/>
        </w:rPr>
        <w:t>募规模</w:t>
      </w:r>
      <w:proofErr w:type="gramEnd"/>
      <w:r>
        <w:rPr>
          <w:rFonts w:ascii="Segoe UI" w:eastAsia="Segoe UI" w:hAnsi="Segoe UI" w:cs="Segoe UI"/>
          <w:color w:val="0F1115"/>
          <w:sz w:val="16"/>
          <w:szCs w:val="16"/>
          <w:shd w:val="clear" w:color="auto" w:fill="FFFFFF"/>
        </w:rPr>
        <w:t>不是最大的，但净利润是最高的</w:t>
      </w:r>
      <w:r>
        <w:rPr>
          <w:rFonts w:ascii="Segoe UI" w:hAnsi="Segoe UI" w:cs="Segoe UI" w:hint="eastAsia"/>
          <w:color w:val="0F1115"/>
          <w:sz w:val="16"/>
          <w:szCs w:val="16"/>
          <w:shd w:val="clear" w:color="auto" w:fill="FFFFFF"/>
        </w:rPr>
        <w:t>，</w:t>
      </w:r>
      <w:r>
        <w:rPr>
          <w:rFonts w:ascii="Segoe UI" w:eastAsia="Segoe UI" w:hAnsi="Segoe UI" w:cs="Segoe UI"/>
          <w:color w:val="0F1115"/>
          <w:sz w:val="16"/>
          <w:szCs w:val="16"/>
          <w:shd w:val="clear" w:color="auto" w:fill="FFFFFF"/>
        </w:rPr>
        <w:t>关键在于养老金等机构业务的高费率收入形成了其他银行系公</w:t>
      </w:r>
      <w:proofErr w:type="gramStart"/>
      <w:r>
        <w:rPr>
          <w:rFonts w:ascii="Segoe UI" w:eastAsia="Segoe UI" w:hAnsi="Segoe UI" w:cs="Segoe UI"/>
          <w:color w:val="0F1115"/>
          <w:sz w:val="16"/>
          <w:szCs w:val="16"/>
          <w:shd w:val="clear" w:color="auto" w:fill="FFFFFF"/>
        </w:rPr>
        <w:t>募难以</w:t>
      </w:r>
      <w:proofErr w:type="gramEnd"/>
      <w:r>
        <w:rPr>
          <w:rFonts w:ascii="Segoe UI" w:eastAsia="Segoe UI" w:hAnsi="Segoe UI" w:cs="Segoe UI"/>
          <w:color w:val="0F1115"/>
          <w:sz w:val="16"/>
          <w:szCs w:val="16"/>
          <w:shd w:val="clear" w:color="auto" w:fill="FFFFFF"/>
        </w:rPr>
        <w:t>复制的利润壁垒。中</w:t>
      </w:r>
      <w:proofErr w:type="gramStart"/>
      <w:r>
        <w:rPr>
          <w:rFonts w:ascii="Segoe UI" w:eastAsia="Segoe UI" w:hAnsi="Segoe UI" w:cs="Segoe UI"/>
          <w:color w:val="0F1115"/>
          <w:sz w:val="16"/>
          <w:szCs w:val="16"/>
          <w:shd w:val="clear" w:color="auto" w:fill="FFFFFF"/>
        </w:rPr>
        <w:t>银基金</w:t>
      </w:r>
      <w:proofErr w:type="gramEnd"/>
      <w:r>
        <w:rPr>
          <w:rFonts w:ascii="Segoe UI" w:eastAsia="Segoe UI" w:hAnsi="Segoe UI" w:cs="Segoe UI"/>
          <w:color w:val="0F1115"/>
          <w:sz w:val="16"/>
          <w:szCs w:val="16"/>
          <w:shd w:val="clear" w:color="auto" w:fill="FFFFFF"/>
        </w:rPr>
        <w:t>同样属于这一类，</w:t>
      </w:r>
      <w:proofErr w:type="gramStart"/>
      <w:r>
        <w:rPr>
          <w:rFonts w:ascii="Segoe UI" w:eastAsia="Segoe UI" w:hAnsi="Segoe UI" w:cs="Segoe UI"/>
          <w:color w:val="0F1115"/>
          <w:sz w:val="16"/>
          <w:szCs w:val="16"/>
          <w:shd w:val="clear" w:color="auto" w:fill="FFFFFF"/>
        </w:rPr>
        <w:t>债基占比高</w:t>
      </w:r>
      <w:proofErr w:type="gramEnd"/>
      <w:r>
        <w:rPr>
          <w:rFonts w:ascii="Segoe UI" w:eastAsia="Segoe UI" w:hAnsi="Segoe UI" w:cs="Segoe UI"/>
          <w:color w:val="0F1115"/>
          <w:sz w:val="16"/>
          <w:szCs w:val="16"/>
          <w:shd w:val="clear" w:color="auto" w:fill="FFFFFF"/>
        </w:rPr>
        <w:t>、规模持续增长，稳定底仓+规模持续扩张赋予其双位数增长能力。</w:t>
      </w:r>
    </w:p>
    <w:p w14:paraId="56EBD52D" w14:textId="77777777" w:rsidR="00D45960" w:rsidRDefault="00000000">
      <w:pPr>
        <w:pStyle w:val="a3"/>
        <w:widowControl/>
        <w:shd w:val="clear" w:color="auto" w:fill="FFFFFF"/>
        <w:spacing w:before="160" w:after="160"/>
        <w:ind w:firstLineChars="0" w:firstLine="0"/>
        <w:rPr>
          <w:rFonts w:ascii="Segoe UI" w:eastAsia="Segoe UI" w:hAnsi="Segoe UI" w:cs="Segoe UI"/>
          <w:color w:val="0F1115"/>
          <w:sz w:val="16"/>
          <w:szCs w:val="16"/>
        </w:rPr>
      </w:pPr>
      <w:r>
        <w:rPr>
          <w:rStyle w:val="a4"/>
          <w:rFonts w:ascii="Segoe UI" w:eastAsia="Segoe UI" w:hAnsi="Segoe UI" w:cs="Segoe UI"/>
          <w:bCs/>
          <w:color w:val="0F1115"/>
          <w:sz w:val="16"/>
          <w:szCs w:val="16"/>
          <w:shd w:val="clear" w:color="auto" w:fill="FFFFFF"/>
        </w:rPr>
        <w:t>第二类，规模驱动但结构单薄的低效投入型。</w:t>
      </w:r>
      <w:r>
        <w:rPr>
          <w:rFonts w:ascii="Segoe UI" w:eastAsia="Segoe UI" w:hAnsi="Segoe UI" w:cs="Segoe UI"/>
          <w:color w:val="0F1115"/>
          <w:sz w:val="16"/>
          <w:szCs w:val="16"/>
          <w:shd w:val="clear" w:color="auto" w:fill="FFFFFF"/>
        </w:rPr>
        <w:t> 建信基金、招商基金是典型。建信规模最大但盈利效率在头部机构中垫底，货币基金和</w:t>
      </w:r>
      <w:proofErr w:type="gramStart"/>
      <w:r>
        <w:rPr>
          <w:rFonts w:ascii="Segoe UI" w:eastAsia="Segoe UI" w:hAnsi="Segoe UI" w:cs="Segoe UI"/>
          <w:color w:val="0F1115"/>
          <w:sz w:val="16"/>
          <w:szCs w:val="16"/>
          <w:shd w:val="clear" w:color="auto" w:fill="FFFFFF"/>
        </w:rPr>
        <w:t>纯债基金</w:t>
      </w:r>
      <w:proofErr w:type="gramEnd"/>
      <w:r>
        <w:rPr>
          <w:rFonts w:ascii="Segoe UI" w:eastAsia="Segoe UI" w:hAnsi="Segoe UI" w:cs="Segoe UI"/>
          <w:color w:val="0F1115"/>
          <w:sz w:val="16"/>
          <w:szCs w:val="16"/>
          <w:shd w:val="clear" w:color="auto" w:fill="FFFFFF"/>
        </w:rPr>
        <w:t>的绝对占比拖累了每单位规模利润的转化效率。招商基金净利润已连续三年下滑，规模接近万亿却换不来利润增长，是规模虚胖最贴切的写照。</w:t>
      </w:r>
    </w:p>
    <w:p w14:paraId="305E028E" w14:textId="77777777" w:rsidR="00D45960" w:rsidRDefault="00000000">
      <w:pPr>
        <w:pStyle w:val="a3"/>
        <w:widowControl/>
        <w:shd w:val="clear" w:color="auto" w:fill="FFFFFF"/>
        <w:spacing w:before="160" w:after="160"/>
        <w:ind w:firstLineChars="0" w:firstLine="0"/>
        <w:rPr>
          <w:rFonts w:ascii="Segoe UI" w:eastAsia="Segoe UI" w:hAnsi="Segoe UI" w:cs="Segoe UI"/>
          <w:color w:val="0F1115"/>
          <w:sz w:val="16"/>
          <w:szCs w:val="16"/>
        </w:rPr>
      </w:pPr>
      <w:r>
        <w:rPr>
          <w:rStyle w:val="a4"/>
          <w:rFonts w:ascii="Segoe UI" w:eastAsia="Segoe UI" w:hAnsi="Segoe UI" w:cs="Segoe UI"/>
          <w:bCs/>
          <w:color w:val="0F1115"/>
          <w:sz w:val="16"/>
          <w:szCs w:val="16"/>
          <w:shd w:val="clear" w:color="auto" w:fill="FFFFFF"/>
        </w:rPr>
        <w:lastRenderedPageBreak/>
        <w:t>第三类，赛道聚焦+主动权益高弹性的成长突破型。</w:t>
      </w:r>
      <w:r>
        <w:rPr>
          <w:rFonts w:ascii="Segoe UI" w:eastAsia="Segoe UI" w:hAnsi="Segoe UI" w:cs="Segoe UI"/>
          <w:color w:val="0F1115"/>
          <w:sz w:val="16"/>
          <w:szCs w:val="16"/>
          <w:shd w:val="clear" w:color="auto" w:fill="FFFFFF"/>
        </w:rPr>
        <w:t> </w:t>
      </w:r>
      <w:proofErr w:type="gramStart"/>
      <w:r>
        <w:rPr>
          <w:rFonts w:ascii="Segoe UI" w:eastAsia="Segoe UI" w:hAnsi="Segoe UI" w:cs="Segoe UI"/>
          <w:color w:val="0F1115"/>
          <w:sz w:val="16"/>
          <w:szCs w:val="16"/>
          <w:shd w:val="clear" w:color="auto" w:fill="FFFFFF"/>
        </w:rPr>
        <w:t>永赢基金</w:t>
      </w:r>
      <w:proofErr w:type="gramEnd"/>
      <w:r>
        <w:rPr>
          <w:rFonts w:ascii="Segoe UI" w:eastAsia="Segoe UI" w:hAnsi="Segoe UI" w:cs="Segoe UI"/>
          <w:color w:val="0F1115"/>
          <w:sz w:val="16"/>
          <w:szCs w:val="16"/>
          <w:shd w:val="clear" w:color="auto" w:fill="FFFFFF"/>
        </w:rPr>
        <w:t>是这一路径的极致代表。主动权益产品规模从年内不到200亿元激增至900亿元以上，高费率收入直接推动利润暴涨136%。兴业基金则以公</w:t>
      </w:r>
      <w:proofErr w:type="gramStart"/>
      <w:r>
        <w:rPr>
          <w:rFonts w:ascii="Segoe UI" w:eastAsia="Segoe UI" w:hAnsi="Segoe UI" w:cs="Segoe UI"/>
          <w:color w:val="0F1115"/>
          <w:sz w:val="16"/>
          <w:szCs w:val="16"/>
          <w:shd w:val="clear" w:color="auto" w:fill="FFFFFF"/>
        </w:rPr>
        <w:t>募规模</w:t>
      </w:r>
      <w:proofErr w:type="gramEnd"/>
      <w:r>
        <w:rPr>
          <w:rFonts w:ascii="Segoe UI" w:eastAsia="Segoe UI" w:hAnsi="Segoe UI" w:cs="Segoe UI"/>
          <w:color w:val="0F1115"/>
          <w:sz w:val="16"/>
          <w:szCs w:val="16"/>
          <w:shd w:val="clear" w:color="auto" w:fill="FFFFFF"/>
        </w:rPr>
        <w:t>三年增长71%的扩张速度，实现营收和净利的同步双增，在稳健与进取之间找到了平衡。</w:t>
      </w:r>
    </w:p>
    <w:p w14:paraId="2194C7F2" w14:textId="77777777" w:rsidR="00D45960" w:rsidRDefault="00000000">
      <w:pPr>
        <w:pStyle w:val="a3"/>
        <w:widowControl/>
        <w:shd w:val="clear" w:color="auto" w:fill="FFFFFF"/>
        <w:spacing w:before="160" w:after="160"/>
        <w:ind w:firstLineChars="0" w:firstLine="0"/>
        <w:rPr>
          <w:rFonts w:ascii="Segoe UI" w:eastAsia="Segoe UI" w:hAnsi="Segoe UI" w:cs="Segoe UI"/>
          <w:color w:val="0F1115"/>
          <w:sz w:val="16"/>
          <w:szCs w:val="16"/>
        </w:rPr>
      </w:pPr>
      <w:r>
        <w:rPr>
          <w:rFonts w:ascii="Segoe UI" w:eastAsia="Segoe UI" w:hAnsi="Segoe UI" w:cs="Segoe UI"/>
          <w:color w:val="0F1115"/>
          <w:sz w:val="16"/>
          <w:szCs w:val="16"/>
          <w:shd w:val="clear" w:color="auto" w:fill="FFFFFF"/>
        </w:rPr>
        <w:t>交银施罗德则是一个警示信号</w:t>
      </w:r>
      <w:r>
        <w:rPr>
          <w:rFonts w:ascii="Segoe UI" w:hAnsi="Segoe UI" w:cs="Segoe UI" w:hint="eastAsia"/>
          <w:color w:val="0F1115"/>
          <w:sz w:val="16"/>
          <w:szCs w:val="16"/>
          <w:shd w:val="clear" w:color="auto" w:fill="FFFFFF"/>
        </w:rPr>
        <w:t>，</w:t>
      </w:r>
      <w:r>
        <w:rPr>
          <w:rFonts w:ascii="Segoe UI" w:eastAsia="Segoe UI" w:hAnsi="Segoe UI" w:cs="Segoe UI"/>
          <w:color w:val="0F1115"/>
          <w:sz w:val="16"/>
          <w:szCs w:val="16"/>
          <w:shd w:val="clear" w:color="auto" w:fill="FFFFFF"/>
        </w:rPr>
        <w:t>当规模与利润同时失速，</w:t>
      </w:r>
      <w:proofErr w:type="gramStart"/>
      <w:r>
        <w:rPr>
          <w:rFonts w:ascii="Segoe UI" w:eastAsia="Segoe UI" w:hAnsi="Segoe UI" w:cs="Segoe UI"/>
          <w:color w:val="0F1115"/>
          <w:sz w:val="16"/>
          <w:szCs w:val="16"/>
          <w:shd w:val="clear" w:color="auto" w:fill="FFFFFF"/>
        </w:rPr>
        <w:t>当核心</w:t>
      </w:r>
      <w:proofErr w:type="gramEnd"/>
      <w:r>
        <w:rPr>
          <w:rFonts w:ascii="Segoe UI" w:eastAsia="Segoe UI" w:hAnsi="Segoe UI" w:cs="Segoe UI"/>
          <w:color w:val="0F1115"/>
          <w:sz w:val="16"/>
          <w:szCs w:val="16"/>
          <w:shd w:val="clear" w:color="auto" w:fill="FFFFFF"/>
        </w:rPr>
        <w:t>基金经理的业绩驱动力脱离正轨，一家银行系公</w:t>
      </w:r>
      <w:proofErr w:type="gramStart"/>
      <w:r>
        <w:rPr>
          <w:rFonts w:ascii="Segoe UI" w:eastAsia="Segoe UI" w:hAnsi="Segoe UI" w:cs="Segoe UI"/>
          <w:color w:val="0F1115"/>
          <w:sz w:val="16"/>
          <w:szCs w:val="16"/>
          <w:shd w:val="clear" w:color="auto" w:fill="FFFFFF"/>
        </w:rPr>
        <w:t>募可以</w:t>
      </w:r>
      <w:proofErr w:type="gramEnd"/>
      <w:r>
        <w:rPr>
          <w:rFonts w:ascii="Segoe UI" w:eastAsia="Segoe UI" w:hAnsi="Segoe UI" w:cs="Segoe UI"/>
          <w:color w:val="0F1115"/>
          <w:sz w:val="16"/>
          <w:szCs w:val="16"/>
          <w:shd w:val="clear" w:color="auto" w:fill="FFFFFF"/>
        </w:rPr>
        <w:t>持续流失利润长达四年而无法止血。</w:t>
      </w:r>
    </w:p>
    <w:p w14:paraId="63C757E4" w14:textId="77777777" w:rsidR="00D45960" w:rsidRDefault="00000000">
      <w:pPr>
        <w:pStyle w:val="a3"/>
        <w:widowControl/>
        <w:shd w:val="clear" w:color="auto" w:fill="FFFFFF"/>
        <w:spacing w:before="160" w:after="160"/>
        <w:ind w:firstLineChars="0" w:firstLine="0"/>
        <w:rPr>
          <w:rFonts w:ascii="Segoe UI" w:eastAsia="Segoe UI" w:hAnsi="Segoe UI" w:cs="Segoe UI"/>
          <w:color w:val="0F1115"/>
          <w:sz w:val="16"/>
          <w:szCs w:val="16"/>
        </w:rPr>
      </w:pPr>
      <w:r>
        <w:rPr>
          <w:rFonts w:ascii="Segoe UI" w:eastAsia="Segoe UI" w:hAnsi="Segoe UI" w:cs="Segoe UI"/>
          <w:color w:val="0F1115"/>
          <w:sz w:val="16"/>
          <w:szCs w:val="16"/>
          <w:shd w:val="clear" w:color="auto" w:fill="FFFFFF"/>
        </w:rPr>
        <w:t>对银行系公募的终局判断不再是谁背靠的母行更强或谁的管理规模更大，而是利润结构的含权益量和机构业务的费率溢价能否持续拉开与同业的距离。2025年的年报提供了一个明确的回答</w:t>
      </w:r>
      <w:r>
        <w:rPr>
          <w:rFonts w:ascii="Segoe UI" w:hAnsi="Segoe UI" w:cs="Segoe UI" w:hint="eastAsia"/>
          <w:color w:val="0F1115"/>
          <w:sz w:val="16"/>
          <w:szCs w:val="16"/>
          <w:shd w:val="clear" w:color="auto" w:fill="FFFFFF"/>
        </w:rPr>
        <w:t>，</w:t>
      </w:r>
      <w:r>
        <w:rPr>
          <w:rFonts w:ascii="Segoe UI" w:eastAsia="Segoe UI" w:hAnsi="Segoe UI" w:cs="Segoe UI"/>
          <w:color w:val="0F1115"/>
          <w:sz w:val="16"/>
          <w:szCs w:val="16"/>
          <w:shd w:val="clear" w:color="auto" w:fill="FFFFFF"/>
        </w:rPr>
        <w:t>规模是充分条件，产品结构和收费质量才是必要条件。在公募费率改革持续推进、</w:t>
      </w:r>
      <w:proofErr w:type="gramStart"/>
      <w:r>
        <w:rPr>
          <w:rFonts w:ascii="Segoe UI" w:eastAsia="Segoe UI" w:hAnsi="Segoe UI" w:cs="Segoe UI"/>
          <w:color w:val="0F1115"/>
          <w:sz w:val="16"/>
          <w:szCs w:val="16"/>
          <w:shd w:val="clear" w:color="auto" w:fill="FFFFFF"/>
        </w:rPr>
        <w:t>固收管理费</w:t>
      </w:r>
      <w:proofErr w:type="gramEnd"/>
      <w:r>
        <w:rPr>
          <w:rFonts w:ascii="Segoe UI" w:eastAsia="Segoe UI" w:hAnsi="Segoe UI" w:cs="Segoe UI"/>
          <w:color w:val="0F1115"/>
          <w:sz w:val="16"/>
          <w:szCs w:val="16"/>
          <w:shd w:val="clear" w:color="auto" w:fill="FFFFFF"/>
        </w:rPr>
        <w:t>率持续下降的背景下，那些管理规模庞大但结构单一的银行系公募，利润端的压力只会越来越大</w:t>
      </w:r>
    </w:p>
    <w:p w14:paraId="7183C2E1" w14:textId="77777777" w:rsidR="00D45960" w:rsidRDefault="00D45960">
      <w:pPr>
        <w:ind w:firstLineChars="0" w:firstLine="0"/>
      </w:pPr>
    </w:p>
    <w:sectPr w:rsidR="00D45960">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838606" w14:textId="77777777" w:rsidR="004159AF" w:rsidRDefault="004159AF">
      <w:pPr>
        <w:spacing w:line="240" w:lineRule="auto"/>
        <w:ind w:firstLine="480"/>
      </w:pPr>
      <w:r>
        <w:separator/>
      </w:r>
    </w:p>
  </w:endnote>
  <w:endnote w:type="continuationSeparator" w:id="0">
    <w:p w14:paraId="59FAB943" w14:textId="77777777" w:rsidR="004159AF" w:rsidRDefault="004159AF">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99432A" w14:textId="77777777" w:rsidR="004159AF" w:rsidRDefault="004159AF">
      <w:pPr>
        <w:spacing w:line="240" w:lineRule="auto"/>
        <w:ind w:firstLine="480"/>
      </w:pPr>
      <w:r>
        <w:separator/>
      </w:r>
    </w:p>
  </w:footnote>
  <w:footnote w:type="continuationSeparator" w:id="0">
    <w:p w14:paraId="354C3A5B" w14:textId="77777777" w:rsidR="004159AF" w:rsidRDefault="004159AF">
      <w:pPr>
        <w:spacing w:line="240" w:lineRule="auto"/>
        <w:ind w:firstLine="480"/>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embedSystemFonts/>
  <w:proofState w:spelling="clean" w:grammar="clean"/>
  <w:defaultTabStop w:val="420"/>
  <w:drawingGridVerticalSpacing w:val="156"/>
  <w:noPunctuationKerning/>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D45960"/>
    <w:rsid w:val="004159AF"/>
    <w:rsid w:val="00B769B2"/>
    <w:rsid w:val="00D45960"/>
    <w:rsid w:val="00D76C79"/>
    <w:rsid w:val="0CC61301"/>
    <w:rsid w:val="0DC63D6E"/>
    <w:rsid w:val="3C3B065F"/>
    <w:rsid w:val="4D045175"/>
    <w:rsid w:val="4FF74123"/>
    <w:rsid w:val="53B4661F"/>
    <w:rsid w:val="6A9B7A9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F631BCA"/>
  <w15:docId w15:val="{2F1F3B3A-2AAA-46E6-AAB3-8EE88D59F1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spacing w:line="460" w:lineRule="exact"/>
      <w:ind w:firstLineChars="200" w:firstLine="1441"/>
      <w:jc w:val="both"/>
    </w:pPr>
    <w:rPr>
      <w:kern w:val="2"/>
      <w:sz w:val="24"/>
      <w:szCs w:val="24"/>
    </w:rPr>
  </w:style>
  <w:style w:type="paragraph" w:styleId="1">
    <w:name w:val="heading 1"/>
    <w:basedOn w:val="a"/>
    <w:next w:val="a"/>
    <w:qFormat/>
    <w:pPr>
      <w:spacing w:beforeAutospacing="1" w:afterAutospacing="1"/>
      <w:jc w:val="left"/>
      <w:outlineLvl w:val="0"/>
    </w:pPr>
    <w:rPr>
      <w:rFonts w:ascii="宋体" w:hAnsi="宋体" w:hint="eastAsia"/>
      <w:b/>
      <w:bCs/>
      <w:kern w:val="44"/>
      <w:sz w:val="48"/>
      <w:szCs w:val="48"/>
    </w:rPr>
  </w:style>
  <w:style w:type="paragraph" w:styleId="2">
    <w:name w:val="heading 2"/>
    <w:basedOn w:val="a"/>
    <w:next w:val="a"/>
    <w:semiHidden/>
    <w:unhideWhenUsed/>
    <w:qFormat/>
    <w:pPr>
      <w:spacing w:beforeAutospacing="1" w:afterAutospacing="1"/>
      <w:jc w:val="left"/>
      <w:outlineLvl w:val="1"/>
    </w:pPr>
    <w:rPr>
      <w:rFonts w:ascii="宋体" w:hAnsi="宋体" w:hint="eastAsia"/>
      <w:b/>
      <w:bCs/>
      <w:kern w:val="0"/>
      <w:sz w:val="36"/>
      <w:szCs w:val="3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style>
  <w:style w:type="character" w:styleId="a4">
    <w:name w:val="Strong"/>
    <w:basedOn w:val="a0"/>
    <w:qFormat/>
    <w:rPr>
      <w:b/>
    </w:rPr>
  </w:style>
  <w:style w:type="paragraph" w:customStyle="1" w:styleId="zhengwen">
    <w:name w:val="zhengwen"/>
    <w:basedOn w:val="a"/>
    <w:qFormat/>
    <w:pPr>
      <w:spacing w:line="360" w:lineRule="auto"/>
    </w:pPr>
    <w:rPr>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TotalTime>
  <Pages>5</Pages>
  <Words>730</Words>
  <Characters>4165</Characters>
  <Application>Microsoft Office Word</Application>
  <DocSecurity>0</DocSecurity>
  <Lines>34</Lines>
  <Paragraphs>9</Paragraphs>
  <ScaleCrop>false</ScaleCrop>
  <Company/>
  <LinksUpToDate>false</LinksUpToDate>
  <CharactersWithSpaces>4886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wu</dc:creator>
  <cp:lastModifiedBy>Lv, JianXin (DDC OneTeam)</cp:lastModifiedBy>
  <cp:revision>2</cp:revision>
  <dcterms:created xsi:type="dcterms:W3CDTF">2026-02-13T08:29:00Z</dcterms:created>
  <dcterms:modified xsi:type="dcterms:W3CDTF">2026-05-08T10:48:00Z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2052-12.1.0.25865</vt:lpwstr>
  </property>
  <property fmtid="{D5CDD505-2E9C-101B-9397-08002B2CF9AE}" pid="3" name="ICV">
    <vt:lpwstr>CAA3C7ADB96A4F7CB6C1C7335D84CAE9_12</vt:lpwstr>
  </property>
  <property fmtid="{D5CDD505-2E9C-101B-9397-08002B2CF9AE}" pid="4" name="KSOTemplateDocerSaveRecord">
    <vt:lpwstr>eyJoZGlkIjoiYjAzYWJlZjVmY2E1Zjg2ZTU1Y2E2OTQ4YmNlODA1ZjAiLCJ1c2VySWQiOiIxNzAyNjY4ODk4In0=</vt:lpwstr>
  </property>
</Properties>
</file>