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79FE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92" w:afterAutospacing="0" w:line="384" w:lineRule="atLeast"/>
        <w:ind w:left="0" w:right="0" w:firstLine="0" w:firstLineChars="0"/>
        <w:textAlignment w:val="baseline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长三角与珠三角城商行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大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对决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 xml:space="preserve"> </w:t>
      </w:r>
    </w:p>
    <w:p w14:paraId="05C4192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2025年上市城商行年报披露收官，把数据摊开在中国经济最具活力的两大城市群地图上，一幅反差极为强烈的画面浮出水面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3547EA4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长三角：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宁波银行以3.63万亿元资产产出293.33亿元净利润，资产规模增速8.01%的同时净利润增速同样达到8.13%，各项核心指标几乎找不到明显短板。江苏银行、南京银行、杭州银行合计资产超10万亿元，归母净利润均突破190亿元，且全部实现8%以上的利润增长。</w:t>
      </w:r>
    </w:p>
    <w:p w14:paraId="37F7D13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珠三角：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东莞银行以6892.81亿元资产仅产出30.78亿元净利润，同比下降17.53%，是A股已披露年报上市城商行中降幅最大的之一。广东华兴银行、珠海华润银行、广东南粤银行2025年完整年报至今未披露。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广州银行2025年资产规模已达</w:t>
      </w:r>
      <w:r>
        <w:rPr>
          <w:rFonts w:hint="default" w:ascii="Segoe UI" w:hAnsi="Segoe UI" w:eastAsia="Segoe UI" w:cs="Segoe UI"/>
          <w:b w:val="0"/>
          <w:snapToGrid w:val="0"/>
          <w:color w:val="000000"/>
          <w:kern w:val="0"/>
          <w:sz w:val="18"/>
          <w:szCs w:val="18"/>
          <w:highlight w:val="yellow"/>
          <w:lang w:val="en-US" w:eastAsia="zh-CN" w:bidi="ar"/>
        </w:rPr>
        <w:t>9</w:t>
      </w:r>
      <w:r>
        <w:rPr>
          <w:rFonts w:hint="eastAsia" w:ascii="Segoe UI" w:hAnsi="Segoe UI" w:eastAsia="Segoe UI" w:cs="Segoe UI"/>
          <w:b w:val="0"/>
          <w:snapToGrid w:val="0"/>
          <w:color w:val="000000"/>
          <w:kern w:val="0"/>
          <w:sz w:val="18"/>
          <w:szCs w:val="18"/>
          <w:highlight w:val="yellow"/>
          <w:lang w:val="en-US" w:eastAsia="zh-CN" w:bidi="ar"/>
        </w:rPr>
        <w:t>353.64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亿元，营收却同比下滑</w:t>
      </w:r>
      <w:r>
        <w:rPr>
          <w:rFonts w:hint="eastAsia" w:ascii="Segoe UI" w:hAnsi="Segoe UI" w:eastAsia="Segoe UI" w:cs="Segoe UI"/>
          <w:b w:val="0"/>
          <w:snapToGrid w:val="0"/>
          <w:color w:val="000000"/>
          <w:kern w:val="0"/>
          <w:sz w:val="18"/>
          <w:szCs w:val="18"/>
          <w:highlight w:val="yellow"/>
          <w:lang w:val="en-US" w:eastAsia="zh-CN" w:bidi="ar"/>
        </w:rPr>
        <w:t>8.85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%，净利润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却逆势增长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。</w:t>
      </w:r>
    </w:p>
    <w:p w14:paraId="6970151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这不是一场势均力敌的对决。这是一场已经拉开身位的"效率绞杀"。</w:t>
      </w:r>
    </w:p>
    <w:p w14:paraId="4A84A0B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规模与利润：一江之隔，赚钱效率差了近1倍</w:t>
      </w:r>
    </w:p>
    <w:p w14:paraId="29167365">
      <w:pPr>
        <w:rPr>
          <w:rFonts w:hint="default"/>
        </w:rPr>
      </w:pPr>
    </w:p>
    <w:p w14:paraId="5B2EB6A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先看一张核心数据正面对决表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选取2025年有完整财报数据的代表银行：</w:t>
      </w:r>
    </w:p>
    <w:p w14:paraId="30A4EDE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长三角核心城商行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（2025年全年财报数据）</w:t>
      </w:r>
    </w:p>
    <w:tbl>
      <w:tblPr>
        <w:tblStyle w:val="2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610"/>
        <w:gridCol w:w="1779"/>
        <w:gridCol w:w="1197"/>
        <w:gridCol w:w="1905"/>
        <w:gridCol w:w="1055"/>
      </w:tblGrid>
      <w:tr w14:paraId="706B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0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0D6C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9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2DF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资产规模</w:t>
            </w:r>
          </w:p>
        </w:tc>
        <w:tc>
          <w:tcPr>
            <w:tcW w:w="104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E82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营收</w:t>
            </w:r>
          </w:p>
        </w:tc>
        <w:tc>
          <w:tcPr>
            <w:tcW w:w="70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2043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营收增速</w:t>
            </w:r>
          </w:p>
        </w:tc>
        <w:tc>
          <w:tcPr>
            <w:tcW w:w="11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1C1A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归母净利润</w:t>
            </w:r>
          </w:p>
        </w:tc>
        <w:tc>
          <w:tcPr>
            <w:tcW w:w="6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C12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净利润增速</w:t>
            </w:r>
          </w:p>
        </w:tc>
      </w:tr>
      <w:tr w14:paraId="7E2E3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0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245E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江苏银行</w:t>
            </w:r>
          </w:p>
        </w:tc>
        <w:tc>
          <w:tcPr>
            <w:tcW w:w="9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E43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4.93万亿</w:t>
            </w:r>
          </w:p>
        </w:tc>
        <w:tc>
          <w:tcPr>
            <w:tcW w:w="104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6EA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879.42</w:t>
            </w:r>
          </w:p>
        </w:tc>
        <w:tc>
          <w:tcPr>
            <w:tcW w:w="70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184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+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8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.8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%</w:t>
            </w:r>
          </w:p>
        </w:tc>
        <w:tc>
          <w:tcPr>
            <w:tcW w:w="11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F52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3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45.01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亿</w:t>
            </w:r>
          </w:p>
        </w:tc>
        <w:tc>
          <w:tcPr>
            <w:tcW w:w="6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A79D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+8.3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%</w:t>
            </w:r>
          </w:p>
        </w:tc>
      </w:tr>
      <w:tr w14:paraId="10A41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0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C273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宁波银行</w:t>
            </w:r>
          </w:p>
        </w:tc>
        <w:tc>
          <w:tcPr>
            <w:tcW w:w="9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F3A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3.63万亿</w:t>
            </w:r>
          </w:p>
        </w:tc>
        <w:tc>
          <w:tcPr>
            <w:tcW w:w="104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296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719.69亿</w:t>
            </w:r>
          </w:p>
        </w:tc>
        <w:tc>
          <w:tcPr>
            <w:tcW w:w="70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74C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+8.01%</w:t>
            </w:r>
          </w:p>
        </w:tc>
        <w:tc>
          <w:tcPr>
            <w:tcW w:w="11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4CC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293.33亿</w:t>
            </w:r>
          </w:p>
        </w:tc>
        <w:tc>
          <w:tcPr>
            <w:tcW w:w="6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1858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+8.13%</w:t>
            </w:r>
          </w:p>
        </w:tc>
      </w:tr>
      <w:tr w14:paraId="437F5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0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CF71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南京银行</w:t>
            </w:r>
          </w:p>
        </w:tc>
        <w:tc>
          <w:tcPr>
            <w:tcW w:w="9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0C3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3.02万亿</w:t>
            </w:r>
          </w:p>
        </w:tc>
        <w:tc>
          <w:tcPr>
            <w:tcW w:w="104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7E2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555.42亿</w:t>
            </w:r>
          </w:p>
        </w:tc>
        <w:tc>
          <w:tcPr>
            <w:tcW w:w="70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502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+10.48%</w:t>
            </w:r>
          </w:p>
        </w:tc>
        <w:tc>
          <w:tcPr>
            <w:tcW w:w="11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050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218.07亿</w:t>
            </w:r>
          </w:p>
        </w:tc>
        <w:tc>
          <w:tcPr>
            <w:tcW w:w="6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065E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+8.08%</w:t>
            </w:r>
          </w:p>
        </w:tc>
      </w:tr>
      <w:tr w14:paraId="1AF81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0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0FEB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杭州银行</w:t>
            </w:r>
          </w:p>
        </w:tc>
        <w:tc>
          <w:tcPr>
            <w:tcW w:w="9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ED2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2.37万亿</w:t>
            </w:r>
          </w:p>
        </w:tc>
        <w:tc>
          <w:tcPr>
            <w:tcW w:w="104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BAB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387.99亿</w:t>
            </w:r>
          </w:p>
        </w:tc>
        <w:tc>
          <w:tcPr>
            <w:tcW w:w="70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EA8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+1.09%</w:t>
            </w:r>
          </w:p>
        </w:tc>
        <w:tc>
          <w:tcPr>
            <w:tcW w:w="11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0E1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190.29亿</w:t>
            </w:r>
          </w:p>
        </w:tc>
        <w:tc>
          <w:tcPr>
            <w:tcW w:w="6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167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+12.05%</w:t>
            </w:r>
          </w:p>
        </w:tc>
      </w:tr>
      <w:tr w14:paraId="48DBE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0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D8E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上海银行</w:t>
            </w:r>
          </w:p>
        </w:tc>
        <w:tc>
          <w:tcPr>
            <w:tcW w:w="9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42D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3.31万亿</w:t>
            </w:r>
          </w:p>
        </w:tc>
        <w:tc>
          <w:tcPr>
            <w:tcW w:w="104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9A0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547.61亿</w:t>
            </w:r>
          </w:p>
        </w:tc>
        <w:tc>
          <w:tcPr>
            <w:tcW w:w="70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E9D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+3.35%</w:t>
            </w:r>
          </w:p>
        </w:tc>
        <w:tc>
          <w:tcPr>
            <w:tcW w:w="11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F16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241.93亿</w:t>
            </w:r>
          </w:p>
        </w:tc>
        <w:tc>
          <w:tcPr>
            <w:tcW w:w="62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A2B1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+2.69%</w:t>
            </w:r>
          </w:p>
        </w:tc>
      </w:tr>
    </w:tbl>
    <w:p w14:paraId="6417054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数据来源：各行2025年年报。江苏银行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宁波银行、南京银行、杭州银行、上海银行为2025年完整年报数据。</w:t>
      </w:r>
    </w:p>
    <w:p w14:paraId="25DB377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珠三角核心城商行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（2025年有完整/部分数据可查）</w:t>
      </w: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4"/>
        <w:gridCol w:w="2016"/>
        <w:gridCol w:w="1827"/>
        <w:gridCol w:w="1023"/>
        <w:gridCol w:w="1278"/>
        <w:gridCol w:w="1280"/>
      </w:tblGrid>
      <w:tr w14:paraId="0D6F8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74" w:type="dxa"/>
            <w:tcBorders>
              <w:top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19C2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20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8D8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资产规模</w:t>
            </w:r>
          </w:p>
        </w:tc>
        <w:tc>
          <w:tcPr>
            <w:tcW w:w="18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A3D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营收</w:t>
            </w:r>
          </w:p>
        </w:tc>
        <w:tc>
          <w:tcPr>
            <w:tcW w:w="1023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B2C7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营收增速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82C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归母净利润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249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净利润增速</w:t>
            </w:r>
          </w:p>
        </w:tc>
      </w:tr>
      <w:tr w14:paraId="11B14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4" w:type="dxa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7D39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东莞银行</w:t>
            </w:r>
          </w:p>
        </w:tc>
        <w:tc>
          <w:tcPr>
            <w:tcW w:w="20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01B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6892.81亿</w:t>
            </w:r>
          </w:p>
        </w:tc>
        <w:tc>
          <w:tcPr>
            <w:tcW w:w="18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B6A5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93.02亿</w:t>
            </w:r>
          </w:p>
        </w:tc>
        <w:tc>
          <w:tcPr>
            <w:tcW w:w="1023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929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-8.78%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284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30.78亿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DEE4F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-17.53%</w:t>
            </w:r>
          </w:p>
        </w:tc>
      </w:tr>
      <w:tr w14:paraId="0B491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4" w:type="dxa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C9F0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广州银行</w:t>
            </w:r>
          </w:p>
        </w:tc>
        <w:tc>
          <w:tcPr>
            <w:tcW w:w="20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32D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9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353.64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亿</w:t>
            </w:r>
          </w:p>
        </w:tc>
        <w:tc>
          <w:tcPr>
            <w:tcW w:w="18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219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125.65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亿</w:t>
            </w:r>
          </w:p>
        </w:tc>
        <w:tc>
          <w:tcPr>
            <w:tcW w:w="1023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EEA5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-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8.85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79D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11.83亿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15F0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+16.91%</w:t>
            </w:r>
          </w:p>
        </w:tc>
      </w:tr>
    </w:tbl>
    <w:p w14:paraId="13ACAA1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数据来源：东莞银行2025年年报；广州银行2025年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年报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E88877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2025年完整年报数据可得的珠三角城商行仅东莞银行一家。广州银行2025年全年净利润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11.83亿元，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营收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125.65亿元，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同比下降近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8.85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，在城商行阵营中属于最差的梯队之一。广东华兴银行、珠海华润银行、广东南粤银行2025年年报截至4月27日尚未公开披露，市场仅能通过2024年数据窥见其困境。</w:t>
      </w:r>
    </w:p>
    <w:p w14:paraId="30894CF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但即使仅从东莞银行一家来看，珠三角城商行与长三角头部机构之间的效率鸿沟已经触目惊心。</w:t>
      </w:r>
    </w:p>
    <w:p w14:paraId="4045107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单位资产赚钱效率直接对比：</w:t>
      </w:r>
    </w:p>
    <w:tbl>
      <w:tblPr>
        <w:tblStyle w:val="24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6829"/>
      </w:tblGrid>
      <w:tr w14:paraId="43453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ADA1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94C65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每1万亿资产创造利润（估算）</w:t>
            </w:r>
          </w:p>
        </w:tc>
      </w:tr>
      <w:tr w14:paraId="5C2D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FB5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宁波银行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CF54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≈80.8亿元</w:t>
            </w:r>
          </w:p>
        </w:tc>
      </w:tr>
      <w:tr w14:paraId="74507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3E2B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南京银行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D449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≈72.2亿元</w:t>
            </w:r>
          </w:p>
        </w:tc>
      </w:tr>
      <w:tr w14:paraId="299E6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FBFF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杭州银行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FB8D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≈80.3亿元</w:t>
            </w:r>
          </w:p>
        </w:tc>
      </w:tr>
      <w:tr w14:paraId="771A5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AAC3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东莞银行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4AD9D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≈44.7亿元</w:t>
            </w:r>
          </w:p>
        </w:tc>
      </w:tr>
    </w:tbl>
    <w:p w14:paraId="5B9B2F9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宁波银行的资产比东莞银行大了约5.3倍，但净利润是东莞银行的近10倍——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同样一块钱资产，宁波银行能赚到的利润几乎是东莞银行的1.8倍。</w:t>
      </w:r>
    </w:p>
    <w:p w14:paraId="3F6FF80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这不是"规模差距"，这是"效率碾压"。为什么同样在中国经济最发达的区域，城商行的赚钱效率会差出近一倍？</w:t>
      </w:r>
    </w:p>
    <w:p w14:paraId="54801A9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答案藏在资产质量、负债成本、中间业务收入三个维度里——而这正是长三角银行碾压珠三角银行的核心战场。</w:t>
      </w:r>
    </w:p>
    <w:p w14:paraId="58F1BC6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资产质量：0.76% vs 1.10%，差的不只是数字</w:t>
      </w:r>
    </w:p>
    <w:p w14:paraId="1DE37EE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在银行的估值模型里，不良贷款率和拨备覆盖率是比营收增速更致命的硬指标。坏账每上升1个百分点，在千亿级贷款体量下就意味着数十亿元的利润蒸发。</w:t>
      </w:r>
    </w:p>
    <w:p w14:paraId="3348ACD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先看长三角头部城商行的"风控成绩单"：</w:t>
      </w:r>
    </w:p>
    <w:p w14:paraId="081D833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tbl>
      <w:tblPr>
        <w:tblStyle w:val="2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1620"/>
        <w:gridCol w:w="1620"/>
        <w:gridCol w:w="4109"/>
      </w:tblGrid>
      <w:tr w14:paraId="757F2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75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DF9C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FDE2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不良贷款率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B18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拨备覆盖率</w:t>
            </w:r>
          </w:p>
        </w:tc>
        <w:tc>
          <w:tcPr>
            <w:tcW w:w="241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FE1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资产质量特征</w:t>
            </w:r>
          </w:p>
        </w:tc>
      </w:tr>
      <w:tr w14:paraId="080BE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B03A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杭州银行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D46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0.76%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978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502.24%</w:t>
            </w:r>
          </w:p>
        </w:tc>
        <w:tc>
          <w:tcPr>
            <w:tcW w:w="241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31BE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连续多年不良率稳定，拨备行业最高</w:t>
            </w:r>
          </w:p>
        </w:tc>
      </w:tr>
      <w:tr w14:paraId="1CE1A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038A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宁波银行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11F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0.76%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192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373.16%</w:t>
            </w:r>
          </w:p>
        </w:tc>
        <w:tc>
          <w:tcPr>
            <w:tcW w:w="241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3034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连续19年不良率低于1%，A股独此一家</w:t>
            </w:r>
          </w:p>
        </w:tc>
      </w:tr>
      <w:tr w14:paraId="099FC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65E0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南京银行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458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0.83%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33A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313.62%</w:t>
            </w:r>
          </w:p>
        </w:tc>
        <w:tc>
          <w:tcPr>
            <w:tcW w:w="241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C344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连续16年不良率低于1%</w:t>
            </w:r>
          </w:p>
        </w:tc>
      </w:tr>
      <w:tr w14:paraId="63A58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3305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江苏银行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9C6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0.84%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676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322.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98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%</w:t>
            </w:r>
          </w:p>
        </w:tc>
        <w:tc>
          <w:tcPr>
            <w:tcW w:w="241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7235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连续9年不良率下降</w:t>
            </w:r>
          </w:p>
        </w:tc>
      </w:tr>
      <w:tr w14:paraId="0B3D6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FD62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上海银行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219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1.18%</w:t>
            </w:r>
          </w:p>
        </w:tc>
        <w:tc>
          <w:tcPr>
            <w:tcW w:w="953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786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244.94%</w:t>
            </w:r>
          </w:p>
        </w:tc>
        <w:tc>
          <w:tcPr>
            <w:tcW w:w="241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A88B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不良率持平，拨备回落</w:t>
            </w:r>
          </w:p>
        </w:tc>
      </w:tr>
    </w:tbl>
    <w:p w14:paraId="6F5A67B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数据来源：各行2025年年报。</w:t>
      </w:r>
    </w:p>
    <w:p w14:paraId="049717B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杭州银行0.76%的不良贷款率与宁波银行并列第一，但502.24%的拨备覆盖率一骑绝尘——每1元不良贷款背后，有超过5元的准备金在兜底。宁波银行以0.76%的极低不良率连续19年低于1%，这是A股42家上市银行中唯一的纪录。</w:t>
      </w:r>
    </w:p>
    <w:p w14:paraId="27F82AE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再看珠三角：</w:t>
      </w: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1288"/>
        <w:gridCol w:w="1288"/>
        <w:gridCol w:w="2201"/>
      </w:tblGrid>
      <w:tr w14:paraId="4A774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E15B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B90A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不良贷款率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A68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拨备覆盖率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652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</w:tr>
      <w:tr w14:paraId="4FBA5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B983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东莞银行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3EF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1.10%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212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191.50%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B247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2025年末，近年持续攀升</w:t>
            </w:r>
          </w:p>
        </w:tc>
      </w:tr>
      <w:tr w14:paraId="06080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8D38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广州银行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B553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1.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73%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EF8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164.68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8858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近年不良数据持续下降</w:t>
            </w:r>
          </w:p>
        </w:tc>
      </w:tr>
    </w:tbl>
    <w:p w14:paraId="522F2BC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数据来源：东莞银行2025年年报；广州银行202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年财务数据。</w:t>
      </w:r>
    </w:p>
    <w:p w14:paraId="30A20C4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东莞银行1.10%的不良贷款率较上年末上升0.09个百分点，拨备覆盖率从2024年末的212.01%降至191.50%，风险抵补能力持续弱化。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广州银行202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年净利润仅1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1.83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亿元，同比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增长16.91%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，不良率虽从2.05%降至1.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73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%，但拨备覆盖率仅1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64.68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%，远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低于城商行188.08%的行业均值。</w:t>
      </w:r>
    </w:p>
    <w:p w14:paraId="5729484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不良贷款率每高出0.1个百分点，在5000亿级贷款规模下，对应的就是5亿元以上的坏账增量。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当资产质量差距拉大到0.3个百分点以上，利润表的鸿沟就不可避免。</w:t>
      </w:r>
    </w:p>
    <w:p w14:paraId="3738376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净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差攻防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南京银行1.82%，东莞银行1.19%</w:t>
      </w:r>
    </w:p>
    <w:p w14:paraId="52779B5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净差是银行赖以生存的氧气。在LPR持续下行、全行业普遍收窄的背景下，谁能守住阵地，谁就握住了利润增长的主动权。2025年全年，城商行净差均值已降至1.37%左右。</w:t>
      </w:r>
    </w:p>
    <w:tbl>
      <w:tblPr>
        <w:tblStyle w:val="24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1564"/>
        <w:gridCol w:w="5806"/>
      </w:tblGrid>
      <w:tr w14:paraId="470C7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AC5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53E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净差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E19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关键背景</w:t>
            </w:r>
          </w:p>
        </w:tc>
      </w:tr>
      <w:tr w14:paraId="2A99C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A553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南京银行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919B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1.82%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6783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利息净收入同比大增31.08%</w:t>
            </w:r>
          </w:p>
        </w:tc>
      </w:tr>
      <w:tr w14:paraId="0D1E8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2F1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宁波银行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5CC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1.74%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E9C7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Q1环比回升5bp，底部企稳</w:t>
            </w:r>
          </w:p>
        </w:tc>
      </w:tr>
      <w:tr w14:paraId="0F3F0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14D4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杭州银行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34C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1.36%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638B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同比降幅收窄至5bp，Q1回升至1.39%</w:t>
            </w:r>
          </w:p>
        </w:tc>
      </w:tr>
      <w:tr w14:paraId="56407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7B9A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东莞银行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2A0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1.19%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C6ED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同比下滑7bp，已低于城商行行业均值</w:t>
            </w:r>
          </w:p>
        </w:tc>
      </w:tr>
    </w:tbl>
    <w:p w14:paraId="36C20DF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数据来源：各行2025年年报。</w:t>
      </w:r>
    </w:p>
    <w:p w14:paraId="63CA781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南京银行1.82%的净差在城商行中居于最高水平之一，比六大行均值高出超过50个基点。2025年全年利息净收入349.02亿元，同比大增31.08%，是长三角城商行中利息收入增速最猛的一家。</w:t>
      </w:r>
    </w:p>
    <w:p w14:paraId="0E7A4C4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东莞银行的1.19%净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差不仅低于城商行1.37%的行业均值，而且已低于六大行平均水平。在息差持续收窄的压力下，东莞银行为对冲收入下滑不得不下沉客群、拓展高风险信贷，但风险定价能力与风控体系未能同步跟进，形成了"息差收窄→冒险下沉→不良攀升→拨备侵蚀利润→盈利能力进一步恶化"的恶性循环。</w:t>
      </w:r>
    </w:p>
    <w:p w14:paraId="08B6899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其总资产收益率（ROA）已从三年前的0.70%一路下滑至0.45%左右，跌破了监管要求的0.6%及格线。</w:t>
      </w:r>
    </w:p>
    <w:p w14:paraId="73D0D2C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ROE对决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11F53B50">
      <w:pPr>
        <w:rPr>
          <w:rFonts w:hint="default"/>
        </w:rPr>
      </w:pPr>
    </w:p>
    <w:p w14:paraId="3D28929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如果把赚钱效率压缩到最核心的一个指标，ROE（净资产收益率）是绕不过去的终极标尺。</w:t>
      </w:r>
    </w:p>
    <w:tbl>
      <w:tblPr>
        <w:tblStyle w:val="24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2"/>
        <w:gridCol w:w="3675"/>
        <w:gridCol w:w="2407"/>
      </w:tblGrid>
      <w:tr w14:paraId="727FE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5C7B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542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ROE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960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区域</w:t>
            </w:r>
          </w:p>
        </w:tc>
      </w:tr>
      <w:tr w14:paraId="44EC9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490B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成都银行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070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15.39%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F063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成渝</w:t>
            </w:r>
          </w:p>
        </w:tc>
      </w:tr>
      <w:tr w14:paraId="42AE0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AE23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宁波银行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0BA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13.11%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2329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长三角</w:t>
            </w:r>
          </w:p>
        </w:tc>
      </w:tr>
      <w:tr w14:paraId="59430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EF11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南京银行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F6B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12.05%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D0D5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长三角</w:t>
            </w:r>
          </w:p>
        </w:tc>
      </w:tr>
      <w:tr w14:paraId="3A2E5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079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杭州银行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DBD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约14.65%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CFA7D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长三角</w:t>
            </w:r>
          </w:p>
        </w:tc>
      </w:tr>
      <w:tr w14:paraId="3CE0E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A6F2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东莞银行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219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6.18%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488A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珠三角</w:t>
            </w:r>
          </w:p>
        </w:tc>
      </w:tr>
    </w:tbl>
    <w:p w14:paraId="7595563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数据来源：各行2025年年报。</w:t>
      </w:r>
    </w:p>
    <w:p w14:paraId="4BFE30D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南京银行ROE为12.05%，同比下降0.9个百分点。宁波银行ROE为13.11%。杭州银行ROE约14.65%，是长三角城商行中ROE最高的。一家城商行能不能在ROE上站住12%以上的水平，是检验其商业模型是否"可持续"的最关键试金石。</w:t>
      </w:r>
    </w:p>
    <w:p w14:paraId="1ED9269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东莞银行未在2025年报中显著披露ROE数据，但结合营收与净利润双降的经营态势，其ROE大概率处于较低水平。</w:t>
      </w:r>
    </w:p>
    <w:p w14:paraId="1BD8BAC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中间业务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珠三角城商行最大的"战略真空"</w:t>
      </w:r>
    </w:p>
    <w:p w14:paraId="2DC089E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长三角头部城商行的中间业务收入贡献正在加速壮大。宁波银行2025年手续费及佣金净收入60.85亿元，同比增长30.72%，中收占比提升至约28%，在城商行中遥遥领先。杭州银行中收同比增长13.1%，主要受益于托管和财富管理业务。宁银理财管理规模约6011亿元，杭银理财约6076亿元，苏银理财高达8262亿元——长三角三家城商行理财子合计管理规模已突破2万亿元。</w:t>
      </w:r>
    </w:p>
    <w:p w14:paraId="3A27C5D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而在珠三角，东莞银行2025年非利息净收入同比下降35.72%，主要受投资收益与公允价值变动损益大幅下滑拖累。广州银行至今未建立起具备规模效应的财富管理、托管或投行等轻资本业务线。</w:t>
      </w:r>
    </w:p>
    <w:p w14:paraId="37ACF2F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当息差持续收窄，非息收入是银行的"第二引擎"。但在珠三角城商行的战略版图上，这台引擎还远没有启动的热量。</w:t>
      </w:r>
    </w:p>
    <w:p w14:paraId="07D96C9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为什么珠三角城商行"输"得这么明显？</w:t>
      </w:r>
    </w:p>
    <w:p w14:paraId="3F08154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数字不会撒谎。但数字背后的原因，远比数字本身复杂。</w:t>
      </w:r>
    </w:p>
    <w:p w14:paraId="23F1606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第一，产业结构决定资产质量。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长三角的制造业集群以高端装备、集成电路、生物医药、新能源等高附加值产业为主，企业盈利能力强、抗周期能力高，城商行信贷资产质量自然更优。而珠三角经济正处于从传统外贸加工向智能制造转型的阵痛期，部分中小外贸企业、传统制造业面临生存压力，这些压力直接传导到了城商行的不良贷款表中。</w:t>
      </w:r>
    </w:p>
    <w:p w14:paraId="71EA4DD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第二，直接融资分流最优质客户。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珠三角拥有深圳这个全国金融中心，深交所、大量创投机构和直接融资渠道吸走了区域内最优质的借款人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这些企业可以直接通过发债、IPO、PE/VC融资，无需依赖城商行贷款。城商行能拿到的优质客户本来就相对较少，资产端的定价能力和风控主动权被大幅削弱。</w:t>
      </w:r>
    </w:p>
    <w:p w14:paraId="1BB96B8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第三，头部虹吸效应加剧分化。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长三角的城商行已经形成了"强者恒强"的正向飞轮——资产质量好→盈利能力强→分红和资本积累多→科技投入大→风控和客户体验更好→资产质量进一步改善。而珠三角城商行在多个维度上尚未进入这个正向循环。</w:t>
      </w:r>
    </w:p>
    <w:p w14:paraId="5D00A13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两个城市群的银行，两种命运</w:t>
      </w:r>
    </w:p>
    <w:p w14:paraId="58A2A70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长三角与珠三角城商行的对决，不只关于银行，更是一场区域经济韧性的压力测试。目前的数据清晰表明，珠三角城商行全面落后，且差距绝非一朝一夕能够弥补。</w:t>
      </w:r>
    </w:p>
    <w:p w14:paraId="4C3562E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但挑战不等于绝路。</w:t>
      </w:r>
    </w:p>
    <w:p w14:paraId="358BB84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上海银行以3.31万亿元资产、1.18%的不良贷款率证明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长三角这个竞争最激烈的市场，非头部城商行仍然可以稳健经营。重庆银行2025年以10.49%的净利润增速跻身两位数增长阵营，资产质量各项指标全面向好，不良率降至1.14%、拨备覆盖率达245.58%，这说明只要找到正确路径，西部城商行也能实现高质量的穿越。</w:t>
      </w:r>
    </w:p>
    <w:p w14:paraId="2F5211A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珠三角城商行需要学的不只是长三角同行的ROE数字，而是背后制度建设、风控文化、业务布局的全套体系。东莞银行在其年报中披露正在推进"国际化落子"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这是一个信号。广州银行正在启动百亿级增资扩股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这是必要的补血。但资本补充只是前提条件，而非最终答案。</w:t>
      </w:r>
    </w:p>
    <w:p w14:paraId="3F05155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0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当长三角城商行已经在比"谁的拨备覆盖率更厚"时，珠三角城商行还在补"不良率如何回到安全区间"的课。窗口期正在收窄，留给珠三角城商行的时间不多了。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6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5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4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CD43EC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D9314B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ADC656C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5D4C3F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CD59E1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0A3D11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tabs>
        <w:tab w:val="left" w:pos="0"/>
      </w:tabs>
      <w:spacing w:before="100" w:beforeLines="100" w:after="100" w:afterLines="100"/>
      <w:ind w:firstLine="0" w:firstLineChars="0"/>
      <w:jc w:val="center"/>
      <w:outlineLvl w:val="0"/>
    </w:pPr>
    <w:rPr>
      <w:rFonts w:eastAsia="黑体"/>
      <w:b/>
      <w:kern w:val="44"/>
      <w:sz w:val="30"/>
      <w:szCs w:val="18"/>
    </w:rPr>
  </w:style>
  <w:style w:type="paragraph" w:styleId="3">
    <w:name w:val="heading 2"/>
    <w:basedOn w:val="1"/>
    <w:next w:val="1"/>
    <w:link w:val="3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35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6"/>
    <w:link w:val="47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2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Title"/>
    <w:basedOn w:val="1"/>
    <w:next w:val="1"/>
    <w:link w:val="53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styleId="26">
    <w:name w:val="Strong"/>
    <w:basedOn w:val="25"/>
    <w:qFormat/>
    <w:uiPriority w:val="0"/>
    <w:rPr>
      <w:b/>
    </w:rPr>
  </w:style>
  <w:style w:type="paragraph" w:customStyle="1" w:styleId="27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character" w:customStyle="1" w:styleId="28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29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0">
    <w:name w:val="目录"/>
    <w:basedOn w:val="1"/>
    <w:next w:val="1"/>
    <w:link w:val="31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1">
    <w:name w:val="目录 Char"/>
    <w:link w:val="30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2">
    <w:name w:val="目录1"/>
    <w:basedOn w:val="14"/>
    <w:next w:val="30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3">
    <w:name w:val="图序与图名"/>
    <w:basedOn w:val="1"/>
    <w:link w:val="58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character" w:customStyle="1" w:styleId="34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35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36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7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8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39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0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1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2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3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4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5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6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7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8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49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0">
    <w:name w:val="一级标题"/>
    <w:basedOn w:val="1"/>
    <w:link w:val="51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1">
    <w:name w:val="一级标题 Char"/>
    <w:link w:val="50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3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4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5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6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7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8">
    <w:name w:val="图序与图名 Char"/>
    <w:link w:val="33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59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0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paragraph" w:customStyle="1" w:styleId="61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2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1145</Words>
  <Characters>1456</Characters>
  <Lines>0</Lines>
  <Paragraphs>0</Paragraphs>
  <TotalTime>16</TotalTime>
  <ScaleCrop>false</ScaleCrop>
  <LinksUpToDate>false</LinksUpToDate>
  <CharactersWithSpaces>1461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Dirge°</cp:lastModifiedBy>
  <dcterms:modified xsi:type="dcterms:W3CDTF">2026-05-07T06:08:29Z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A3B05E2BD15448539C581E0620B7C6B3_13</vt:lpwstr>
  </property>
  <property fmtid="{D5CDD505-2E9C-101B-9397-08002B2CF9AE}" pid="4" name="KSOTemplateDocerSaveRecord">
    <vt:lpwstr>eyJoZGlkIjoiNDViMDI0MDczYTQ2ZWNmYjBkZTY5ZTVjOTVhNzEzYmYiLCJ1c2VySWQiOiIzMTY1NzIwNTQifQ==</vt:lpwstr>
  </property>
</Properties>
</file>