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F5A8AF">
      <w:pPr>
        <w:pStyle w:val="2"/>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384" w:beforeAutospacing="0" w:after="192" w:afterAutospacing="0" w:line="408" w:lineRule="atLeast"/>
        <w:ind w:left="0" w:right="0" w:firstLine="0" w:firstLineChars="0"/>
        <w:textAlignment w:val="baseline"/>
        <w:rPr>
          <w:rFonts w:ascii="Segoe UI" w:hAnsi="Segoe UI" w:eastAsia="Segoe UI" w:cs="Segoe UI"/>
          <w:b/>
          <w:bCs/>
          <w:caps w:val="0"/>
          <w:color w:val="0F1115"/>
          <w:spacing w:val="0"/>
          <w:sz w:val="28"/>
          <w:szCs w:val="28"/>
        </w:rPr>
      </w:pPr>
      <w:r>
        <w:rPr>
          <w:rFonts w:hint="default" w:ascii="Segoe UI" w:hAnsi="Segoe UI" w:eastAsia="Segoe UI" w:cs="Segoe UI"/>
          <w:b/>
          <w:bCs/>
          <w:caps w:val="0"/>
          <w:color w:val="0F1115"/>
          <w:spacing w:val="0"/>
          <w:sz w:val="28"/>
          <w:szCs w:val="28"/>
          <w:shd w:val="clear" w:fill="FFFFFF"/>
        </w:rPr>
        <w:t>长三角城农商行房贷逆势猛增，六大行却少了7000亿</w:t>
      </w:r>
    </w:p>
    <w:p w14:paraId="6115BE0B">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2025年年报中，银行房贷业务出现了极为罕见的分化格局。</w:t>
      </w:r>
    </w:p>
    <w:p w14:paraId="2289ED47">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六大国有商业银行截至2025年末的个人住房贷款余额合计超过25万亿元，较2024年末减少约7000亿元，延续规模缩减态势。工行减少2073.12亿元至5.88万亿元，建行减少1965.3亿元至5.99万亿元，农行减少1682.37亿元至4.82万亿元，中行更是在年内跌破4万亿关口。</w:t>
      </w:r>
    </w:p>
    <w:p w14:paraId="14221B94">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7000亿的缩水，是在2024年和2023年分别减少6210亿元和5568亿元的基座上踩下的第三脚油门。六大行房贷从“只减不增”到“加速缩表”，三年累计减少超1.8万亿元。</w:t>
      </w:r>
    </w:p>
    <w:p w14:paraId="638107F7">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但同一条赛道上，长三角城商行、农商行走出了截然相反的增长曲线。</w:t>
      </w:r>
    </w:p>
    <w:p w14:paraId="59B46FAE">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宋体" w:cs="Segoe UI"/>
          <w:i w:val="0"/>
          <w:iCs w:val="0"/>
          <w:caps w:val="0"/>
          <w:color w:val="0F1115"/>
          <w:spacing w:val="0"/>
          <w:sz w:val="19"/>
          <w:szCs w:val="19"/>
          <w:lang w:val="en-US" w:eastAsia="zh-CN"/>
        </w:rPr>
      </w:pPr>
      <w:r>
        <w:rPr>
          <w:rFonts w:hint="eastAsia" w:ascii="Segoe UI" w:hAnsi="Segoe UI" w:eastAsia="宋体" w:cs="Segoe UI"/>
          <w:i w:val="0"/>
          <w:iCs w:val="0"/>
          <w:caps w:val="0"/>
          <w:color w:val="0F1115"/>
          <w:spacing w:val="0"/>
          <w:sz w:val="19"/>
          <w:szCs w:val="19"/>
          <w:shd w:val="clear" w:fill="FFFFFF"/>
          <w:lang w:val="en-US" w:eastAsia="zh-CN"/>
        </w:rPr>
        <w:t>银行放款量也是地方产业的晴雨表。可以明显感受到，长三角确实在经历着复苏。</w:t>
      </w:r>
    </w:p>
    <w:p w14:paraId="6D1BC6E7">
      <w:pPr>
        <w:pStyle w:val="3"/>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384" w:beforeAutospacing="0" w:after="192" w:afterAutospacing="0" w:line="384" w:lineRule="atLeast"/>
        <w:ind w:left="0" w:right="0" w:firstLine="0" w:firstLineChars="0"/>
        <w:textAlignment w:val="baseline"/>
        <w:rPr>
          <w:rFonts w:hint="default" w:ascii="Segoe UI" w:hAnsi="Segoe UI" w:eastAsia="Segoe UI" w:cs="Segoe UI"/>
          <w:b/>
          <w:bCs/>
          <w:caps w:val="0"/>
          <w:color w:val="0F1115"/>
          <w:spacing w:val="0"/>
          <w:sz w:val="26"/>
          <w:szCs w:val="26"/>
        </w:rPr>
      </w:pPr>
      <w:r>
        <w:rPr>
          <w:rFonts w:hint="default" w:ascii="Segoe UI" w:hAnsi="Segoe UI" w:eastAsia="Segoe UI" w:cs="Segoe UI"/>
          <w:b/>
          <w:bCs/>
          <w:caps w:val="0"/>
          <w:color w:val="0F1115"/>
          <w:spacing w:val="0"/>
          <w:sz w:val="26"/>
          <w:szCs w:val="26"/>
          <w:shd w:val="clear" w:fill="FFFFFF"/>
        </w:rPr>
        <w:t>南京银行增9.34%，上海农商行暴增100%</w:t>
      </w:r>
    </w:p>
    <w:p w14:paraId="0B84860B">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南京银行2025年末个人按揭贷款余额达到853.97亿元，较上年的781.05亿元同比增加9.34%。在六大行整体缩水7000亿的背景下，这一增幅不是靠基数小“幸存”出来的</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853.97亿的规模在城商行中已是领先水平。</w:t>
      </w:r>
    </w:p>
    <w:p w14:paraId="3368EC87">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b/>
          <w:bCs/>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上海农商行的表现更猛。</w:t>
      </w:r>
      <w:bookmarkStart w:id="0" w:name="_GoBack"/>
      <w:bookmarkEnd w:id="0"/>
      <w:r>
        <w:rPr>
          <w:rFonts w:hint="default" w:ascii="Segoe UI" w:hAnsi="Segoe UI" w:eastAsia="Segoe UI" w:cs="Segoe UI"/>
          <w:i w:val="0"/>
          <w:iCs w:val="0"/>
          <w:caps w:val="0"/>
          <w:color w:val="0F1115"/>
          <w:spacing w:val="0"/>
          <w:sz w:val="19"/>
          <w:szCs w:val="19"/>
          <w:shd w:val="clear" w:fill="FFFFFF"/>
        </w:rPr>
        <w:t>2025年一季度，该行按揭贷款投放量较上年同期增长超过100%。3月末资产总额突破1.5万亿元。</w:t>
      </w:r>
      <w:r>
        <w:rPr>
          <w:rFonts w:hint="default" w:ascii="Segoe UI" w:hAnsi="Segoe UI" w:eastAsia="Segoe UI" w:cs="Segoe UI"/>
          <w:b/>
          <w:bCs/>
          <w:i w:val="0"/>
          <w:iCs w:val="0"/>
          <w:caps w:val="0"/>
          <w:color w:val="0F1115"/>
          <w:spacing w:val="0"/>
          <w:sz w:val="19"/>
          <w:szCs w:val="19"/>
          <w:shd w:val="clear" w:fill="FFFFFF"/>
        </w:rPr>
        <w:t>这个增速意味着，在全国个人住房贷款市场整体收缩的背景下，上海区域不仅没有少贷，反而在加速投放。</w:t>
      </w:r>
    </w:p>
    <w:p w14:paraId="789541C0">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杭州银行2025年归母净利润同比增长12.05%至190.30亿元，南京银行、宁波银行分别增至293.33亿元和218.07亿元。虽然未单独披露房贷数据，但江浙沪经济活跃区域的城商行整体信贷投放动能明显优于全国平均水平。</w:t>
      </w:r>
    </w:p>
    <w:tbl>
      <w:tblPr>
        <w:tblStyle w:val="24"/>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99"/>
        <w:gridCol w:w="2366"/>
        <w:gridCol w:w="3437"/>
        <w:gridCol w:w="1093"/>
      </w:tblGrid>
      <w:tr w14:paraId="1CBF01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941" w:type="pct"/>
            <w:tcBorders>
              <w:top w:val="single" w:color="4874CB" w:sz="4" w:space="0"/>
              <w:bottom w:val="single" w:color="4874CB" w:sz="4" w:space="0"/>
              <w:right w:val="single" w:color="4874CB" w:sz="4" w:space="0"/>
              <w:tl2br w:val="nil"/>
            </w:tcBorders>
            <w:shd w:val="clear" w:color="auto" w:fill="91ACE0"/>
            <w:tcMar>
              <w:top w:w="120" w:type="dxa"/>
              <w:left w:w="0" w:type="dxa"/>
              <w:bottom w:w="120" w:type="dxa"/>
              <w:right w:w="192" w:type="dxa"/>
            </w:tcMar>
            <w:vAlign w:val="center"/>
          </w:tcPr>
          <w:p w14:paraId="3289AB23">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sz w:val="18"/>
                <w:szCs w:val="18"/>
              </w:rPr>
            </w:pPr>
            <w:r>
              <w:rPr>
                <w:rFonts w:hint="default" w:ascii="Segoe UI" w:hAnsi="Segoe UI" w:eastAsia="Segoe UI" w:cs="Segoe UI"/>
                <w:b/>
                <w:snapToGrid w:val="0"/>
                <w:color w:val="000000"/>
                <w:kern w:val="0"/>
                <w:sz w:val="18"/>
                <w:szCs w:val="18"/>
                <w:lang w:val="en-US" w:eastAsia="zh-CN" w:bidi="ar"/>
              </w:rPr>
              <w:t>银行</w:t>
            </w:r>
          </w:p>
        </w:tc>
        <w:tc>
          <w:tcPr>
            <w:tcW w:w="1392" w:type="pct"/>
            <w:tcBorders>
              <w:top w:val="single" w:color="4874CB" w:sz="4" w:space="0"/>
              <w:left w:val="single" w:color="4874CB" w:sz="4" w:space="0"/>
              <w:bottom w:val="single" w:color="4874CB" w:sz="4" w:space="0"/>
              <w:right w:val="single" w:color="4874CB" w:sz="4" w:space="0"/>
            </w:tcBorders>
            <w:shd w:val="clear" w:color="auto" w:fill="91ACE0"/>
            <w:tcMar>
              <w:top w:w="120" w:type="dxa"/>
              <w:left w:w="192" w:type="dxa"/>
              <w:bottom w:w="120" w:type="dxa"/>
              <w:right w:w="192" w:type="dxa"/>
            </w:tcMar>
            <w:vAlign w:val="center"/>
          </w:tcPr>
          <w:p w14:paraId="4DB8220C">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sz w:val="18"/>
                <w:szCs w:val="18"/>
              </w:rPr>
            </w:pPr>
            <w:r>
              <w:rPr>
                <w:rFonts w:hint="default" w:ascii="Segoe UI" w:hAnsi="Segoe UI" w:eastAsia="Segoe UI" w:cs="Segoe UI"/>
                <w:b/>
                <w:snapToGrid w:val="0"/>
                <w:color w:val="000000"/>
                <w:kern w:val="0"/>
                <w:sz w:val="18"/>
                <w:szCs w:val="18"/>
                <w:lang w:val="en-US" w:eastAsia="zh-CN" w:bidi="ar"/>
              </w:rPr>
              <w:t>2025年末房贷余额</w:t>
            </w:r>
          </w:p>
        </w:tc>
        <w:tc>
          <w:tcPr>
            <w:tcW w:w="2022" w:type="pct"/>
            <w:tcBorders>
              <w:top w:val="single" w:color="4874CB" w:sz="4" w:space="0"/>
              <w:left w:val="single" w:color="4874CB" w:sz="4" w:space="0"/>
              <w:bottom w:val="single" w:color="4874CB" w:sz="4" w:space="0"/>
              <w:right w:val="single" w:color="4874CB" w:sz="4" w:space="0"/>
            </w:tcBorders>
            <w:shd w:val="clear" w:color="auto" w:fill="91ACE0"/>
            <w:tcMar>
              <w:top w:w="120" w:type="dxa"/>
              <w:left w:w="192" w:type="dxa"/>
              <w:bottom w:w="120" w:type="dxa"/>
              <w:right w:w="192" w:type="dxa"/>
            </w:tcMar>
            <w:vAlign w:val="center"/>
          </w:tcPr>
          <w:p w14:paraId="69498F75">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sz w:val="18"/>
                <w:szCs w:val="18"/>
              </w:rPr>
            </w:pPr>
            <w:r>
              <w:rPr>
                <w:rFonts w:hint="default" w:ascii="Segoe UI" w:hAnsi="Segoe UI" w:eastAsia="Segoe UI" w:cs="Segoe UI"/>
                <w:b/>
                <w:snapToGrid w:val="0"/>
                <w:color w:val="000000"/>
                <w:kern w:val="0"/>
                <w:sz w:val="18"/>
                <w:szCs w:val="18"/>
                <w:lang w:val="en-US" w:eastAsia="zh-CN" w:bidi="ar"/>
              </w:rPr>
              <w:t>同比变化</w:t>
            </w:r>
          </w:p>
        </w:tc>
        <w:tc>
          <w:tcPr>
            <w:tcW w:w="643" w:type="pct"/>
            <w:tcBorders>
              <w:top w:val="single" w:color="4874CB" w:sz="4" w:space="0"/>
              <w:left w:val="single" w:color="4874CB" w:sz="4" w:space="0"/>
              <w:bottom w:val="single" w:color="4874CB" w:sz="4" w:space="0"/>
            </w:tcBorders>
            <w:shd w:val="clear" w:color="auto" w:fill="91ACE0"/>
            <w:tcMar>
              <w:top w:w="120" w:type="dxa"/>
              <w:left w:w="192" w:type="dxa"/>
              <w:bottom w:w="120" w:type="dxa"/>
              <w:right w:w="192" w:type="dxa"/>
            </w:tcMar>
            <w:vAlign w:val="center"/>
          </w:tcPr>
          <w:p w14:paraId="2D7E29B9">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sz w:val="18"/>
                <w:szCs w:val="18"/>
              </w:rPr>
            </w:pPr>
            <w:r>
              <w:rPr>
                <w:rFonts w:hint="default" w:ascii="Segoe UI" w:hAnsi="Segoe UI" w:eastAsia="Segoe UI" w:cs="Segoe UI"/>
                <w:b/>
                <w:snapToGrid w:val="0"/>
                <w:color w:val="000000"/>
                <w:kern w:val="0"/>
                <w:sz w:val="18"/>
                <w:szCs w:val="18"/>
                <w:lang w:val="en-US" w:eastAsia="zh-CN" w:bidi="ar"/>
              </w:rPr>
              <w:t>方向</w:t>
            </w:r>
          </w:p>
        </w:tc>
      </w:tr>
      <w:tr w14:paraId="1F61C2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41" w:type="pct"/>
            <w:tcBorders>
              <w:top w:val="single" w:color="4874CB" w:sz="4" w:space="0"/>
              <w:bottom w:val="single" w:color="4874CB" w:sz="4" w:space="0"/>
              <w:right w:val="single" w:color="4874CB" w:sz="4" w:space="0"/>
            </w:tcBorders>
            <w:shd w:val="clear" w:color="auto" w:fill="EDF1FA"/>
            <w:tcMar>
              <w:top w:w="120" w:type="dxa"/>
              <w:left w:w="0" w:type="dxa"/>
              <w:bottom w:w="120" w:type="dxa"/>
              <w:right w:w="192" w:type="dxa"/>
            </w:tcMar>
            <w:vAlign w:val="center"/>
          </w:tcPr>
          <w:p w14:paraId="59C35DFB">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六大行合计</w:t>
            </w:r>
          </w:p>
        </w:tc>
        <w:tc>
          <w:tcPr>
            <w:tcW w:w="1392" w:type="pct"/>
            <w:tcBorders>
              <w:top w:val="single" w:color="4874CB" w:sz="4" w:space="0"/>
              <w:left w:val="single" w:color="4874CB" w:sz="4" w:space="0"/>
              <w:bottom w:val="single" w:color="4874CB" w:sz="4" w:space="0"/>
              <w:right w:val="single" w:color="4874CB" w:sz="4" w:space="0"/>
            </w:tcBorders>
            <w:shd w:val="clear" w:color="auto" w:fill="EDF1FA"/>
            <w:tcMar>
              <w:top w:w="120" w:type="dxa"/>
              <w:left w:w="192" w:type="dxa"/>
              <w:bottom w:w="120" w:type="dxa"/>
              <w:right w:w="192" w:type="dxa"/>
            </w:tcMar>
            <w:vAlign w:val="center"/>
          </w:tcPr>
          <w:p w14:paraId="06E0D47C">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约25万亿</w:t>
            </w:r>
          </w:p>
        </w:tc>
        <w:tc>
          <w:tcPr>
            <w:tcW w:w="2022" w:type="pct"/>
            <w:tcBorders>
              <w:top w:val="single" w:color="4874CB" w:sz="4" w:space="0"/>
              <w:left w:val="single" w:color="4874CB" w:sz="4" w:space="0"/>
              <w:bottom w:val="single" w:color="4874CB" w:sz="4" w:space="0"/>
              <w:right w:val="single" w:color="4874CB" w:sz="4" w:space="0"/>
            </w:tcBorders>
            <w:shd w:val="clear" w:color="auto" w:fill="EDF1FA"/>
            <w:tcMar>
              <w:top w:w="120" w:type="dxa"/>
              <w:left w:w="192" w:type="dxa"/>
              <w:bottom w:w="120" w:type="dxa"/>
              <w:right w:w="192" w:type="dxa"/>
            </w:tcMar>
            <w:vAlign w:val="center"/>
          </w:tcPr>
          <w:p w14:paraId="2262408E">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-7115亿（-2.8%）</w:t>
            </w:r>
          </w:p>
        </w:tc>
        <w:tc>
          <w:tcPr>
            <w:tcW w:w="643" w:type="pct"/>
            <w:tcBorders>
              <w:top w:val="single" w:color="4874CB" w:sz="4" w:space="0"/>
              <w:left w:val="single" w:color="4874CB" w:sz="4" w:space="0"/>
              <w:bottom w:val="single" w:color="4874CB" w:sz="4" w:space="0"/>
            </w:tcBorders>
            <w:shd w:val="clear" w:color="auto" w:fill="EDF1FA"/>
            <w:tcMar>
              <w:top w:w="120" w:type="dxa"/>
              <w:left w:w="192" w:type="dxa"/>
              <w:bottom w:w="120" w:type="dxa"/>
              <w:right w:w="0" w:type="dxa"/>
            </w:tcMar>
            <w:vAlign w:val="center"/>
          </w:tcPr>
          <w:p w14:paraId="040193E6">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收缩</w:t>
            </w:r>
          </w:p>
        </w:tc>
      </w:tr>
      <w:tr w14:paraId="752791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41" w:type="pct"/>
            <w:tcBorders>
              <w:top w:val="single" w:color="4874CB" w:sz="4" w:space="0"/>
              <w:bottom w:val="single" w:color="4874CB" w:sz="4" w:space="0"/>
              <w:right w:val="single" w:color="4874CB" w:sz="4" w:space="0"/>
            </w:tcBorders>
            <w:shd w:val="clear" w:color="auto" w:fill="FFFFFF"/>
            <w:tcMar>
              <w:top w:w="120" w:type="dxa"/>
              <w:left w:w="0" w:type="dxa"/>
              <w:bottom w:w="120" w:type="dxa"/>
              <w:right w:w="192" w:type="dxa"/>
            </w:tcMar>
            <w:vAlign w:val="center"/>
          </w:tcPr>
          <w:p w14:paraId="48523B3B">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工商银行</w:t>
            </w:r>
          </w:p>
        </w:tc>
        <w:tc>
          <w:tcPr>
            <w:tcW w:w="1392" w:type="pct"/>
            <w:tcBorders>
              <w:top w:val="single" w:color="4874CB" w:sz="4" w:space="0"/>
              <w:left w:val="single" w:color="4874CB" w:sz="4" w:space="0"/>
              <w:bottom w:val="single" w:color="4874CB" w:sz="4" w:space="0"/>
              <w:right w:val="single" w:color="4874CB" w:sz="4" w:space="0"/>
            </w:tcBorders>
            <w:shd w:val="clear" w:color="auto" w:fill="FFFFFF"/>
            <w:tcMar>
              <w:top w:w="120" w:type="dxa"/>
              <w:left w:w="192" w:type="dxa"/>
              <w:bottom w:w="120" w:type="dxa"/>
              <w:right w:w="192" w:type="dxa"/>
            </w:tcMar>
            <w:vAlign w:val="center"/>
          </w:tcPr>
          <w:p w14:paraId="54133D07">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5.88万亿</w:t>
            </w:r>
          </w:p>
        </w:tc>
        <w:tc>
          <w:tcPr>
            <w:tcW w:w="2022" w:type="pct"/>
            <w:tcBorders>
              <w:top w:val="single" w:color="4874CB" w:sz="4" w:space="0"/>
              <w:left w:val="single" w:color="4874CB" w:sz="4" w:space="0"/>
              <w:bottom w:val="single" w:color="4874CB" w:sz="4" w:space="0"/>
              <w:right w:val="single" w:color="4874CB" w:sz="4" w:space="0"/>
            </w:tcBorders>
            <w:shd w:val="clear" w:color="auto" w:fill="FFFFFF"/>
            <w:tcMar>
              <w:top w:w="120" w:type="dxa"/>
              <w:left w:w="192" w:type="dxa"/>
              <w:bottom w:w="120" w:type="dxa"/>
              <w:right w:w="192" w:type="dxa"/>
            </w:tcMar>
            <w:vAlign w:val="center"/>
          </w:tcPr>
          <w:p w14:paraId="5506D0C1">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-2073亿（-3.41%）</w:t>
            </w:r>
          </w:p>
        </w:tc>
        <w:tc>
          <w:tcPr>
            <w:tcW w:w="643" w:type="pct"/>
            <w:tcBorders>
              <w:top w:val="single" w:color="4874CB" w:sz="4" w:space="0"/>
              <w:left w:val="single" w:color="4874CB" w:sz="4" w:space="0"/>
              <w:bottom w:val="single" w:color="4874CB" w:sz="4" w:space="0"/>
            </w:tcBorders>
            <w:shd w:val="clear" w:color="auto" w:fill="FFFFFF"/>
            <w:tcMar>
              <w:top w:w="120" w:type="dxa"/>
              <w:left w:w="192" w:type="dxa"/>
              <w:bottom w:w="120" w:type="dxa"/>
              <w:right w:w="0" w:type="dxa"/>
            </w:tcMar>
            <w:vAlign w:val="center"/>
          </w:tcPr>
          <w:p w14:paraId="2A894CD8">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收缩</w:t>
            </w:r>
          </w:p>
        </w:tc>
      </w:tr>
      <w:tr w14:paraId="2B4A53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41" w:type="pct"/>
            <w:tcBorders>
              <w:top w:val="single" w:color="4874CB" w:sz="4" w:space="0"/>
              <w:bottom w:val="single" w:color="4874CB" w:sz="4" w:space="0"/>
              <w:right w:val="single" w:color="4874CB" w:sz="4" w:space="0"/>
            </w:tcBorders>
            <w:shd w:val="clear" w:color="auto" w:fill="EDF1FA"/>
            <w:tcMar>
              <w:top w:w="120" w:type="dxa"/>
              <w:left w:w="0" w:type="dxa"/>
              <w:bottom w:w="120" w:type="dxa"/>
              <w:right w:w="192" w:type="dxa"/>
            </w:tcMar>
            <w:vAlign w:val="center"/>
          </w:tcPr>
          <w:p w14:paraId="076FE689">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建设银行</w:t>
            </w:r>
          </w:p>
        </w:tc>
        <w:tc>
          <w:tcPr>
            <w:tcW w:w="1392" w:type="pct"/>
            <w:tcBorders>
              <w:top w:val="single" w:color="4874CB" w:sz="4" w:space="0"/>
              <w:left w:val="single" w:color="4874CB" w:sz="4" w:space="0"/>
              <w:bottom w:val="single" w:color="4874CB" w:sz="4" w:space="0"/>
              <w:right w:val="single" w:color="4874CB" w:sz="4" w:space="0"/>
            </w:tcBorders>
            <w:shd w:val="clear" w:color="auto" w:fill="EDF1FA"/>
            <w:tcMar>
              <w:top w:w="120" w:type="dxa"/>
              <w:left w:w="192" w:type="dxa"/>
              <w:bottom w:w="120" w:type="dxa"/>
              <w:right w:w="192" w:type="dxa"/>
            </w:tcMar>
            <w:vAlign w:val="center"/>
          </w:tcPr>
          <w:p w14:paraId="523A331D">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5.99万亿</w:t>
            </w:r>
          </w:p>
        </w:tc>
        <w:tc>
          <w:tcPr>
            <w:tcW w:w="2022" w:type="pct"/>
            <w:tcBorders>
              <w:top w:val="single" w:color="4874CB" w:sz="4" w:space="0"/>
              <w:left w:val="single" w:color="4874CB" w:sz="4" w:space="0"/>
              <w:bottom w:val="single" w:color="4874CB" w:sz="4" w:space="0"/>
              <w:right w:val="single" w:color="4874CB" w:sz="4" w:space="0"/>
            </w:tcBorders>
            <w:shd w:val="clear" w:color="auto" w:fill="EDF1FA"/>
            <w:tcMar>
              <w:top w:w="120" w:type="dxa"/>
              <w:left w:w="192" w:type="dxa"/>
              <w:bottom w:w="120" w:type="dxa"/>
              <w:right w:w="192" w:type="dxa"/>
            </w:tcMar>
            <w:vAlign w:val="center"/>
          </w:tcPr>
          <w:p w14:paraId="594C65AD">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-1965亿（-3.18%）</w:t>
            </w:r>
          </w:p>
        </w:tc>
        <w:tc>
          <w:tcPr>
            <w:tcW w:w="643" w:type="pct"/>
            <w:tcBorders>
              <w:top w:val="single" w:color="4874CB" w:sz="4" w:space="0"/>
              <w:left w:val="single" w:color="4874CB" w:sz="4" w:space="0"/>
              <w:bottom w:val="single" w:color="4874CB" w:sz="4" w:space="0"/>
            </w:tcBorders>
            <w:shd w:val="clear" w:color="auto" w:fill="EDF1FA"/>
            <w:tcMar>
              <w:top w:w="120" w:type="dxa"/>
              <w:left w:w="192" w:type="dxa"/>
              <w:bottom w:w="120" w:type="dxa"/>
              <w:right w:w="0" w:type="dxa"/>
            </w:tcMar>
            <w:vAlign w:val="center"/>
          </w:tcPr>
          <w:p w14:paraId="6EB63A33">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收缩</w:t>
            </w:r>
          </w:p>
        </w:tc>
      </w:tr>
      <w:tr w14:paraId="325497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41" w:type="pct"/>
            <w:tcBorders>
              <w:top w:val="single" w:color="4874CB" w:sz="4" w:space="0"/>
              <w:bottom w:val="single" w:color="4874CB" w:sz="4" w:space="0"/>
              <w:right w:val="single" w:color="4874CB" w:sz="4" w:space="0"/>
            </w:tcBorders>
            <w:shd w:val="clear" w:color="auto" w:fill="FFFFFF"/>
            <w:tcMar>
              <w:top w:w="120" w:type="dxa"/>
              <w:left w:w="0" w:type="dxa"/>
              <w:bottom w:w="120" w:type="dxa"/>
              <w:right w:w="192" w:type="dxa"/>
            </w:tcMar>
            <w:vAlign w:val="center"/>
          </w:tcPr>
          <w:p w14:paraId="29B2F081">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农业银行</w:t>
            </w:r>
          </w:p>
        </w:tc>
        <w:tc>
          <w:tcPr>
            <w:tcW w:w="1392" w:type="pct"/>
            <w:tcBorders>
              <w:top w:val="single" w:color="4874CB" w:sz="4" w:space="0"/>
              <w:left w:val="single" w:color="4874CB" w:sz="4" w:space="0"/>
              <w:bottom w:val="single" w:color="4874CB" w:sz="4" w:space="0"/>
              <w:right w:val="single" w:color="4874CB" w:sz="4" w:space="0"/>
            </w:tcBorders>
            <w:shd w:val="clear" w:color="auto" w:fill="FFFFFF"/>
            <w:tcMar>
              <w:top w:w="120" w:type="dxa"/>
              <w:left w:w="192" w:type="dxa"/>
              <w:bottom w:w="120" w:type="dxa"/>
              <w:right w:w="192" w:type="dxa"/>
            </w:tcMar>
            <w:vAlign w:val="center"/>
          </w:tcPr>
          <w:p w14:paraId="17A0AA14">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4.82万亿</w:t>
            </w:r>
          </w:p>
        </w:tc>
        <w:tc>
          <w:tcPr>
            <w:tcW w:w="2022" w:type="pct"/>
            <w:tcBorders>
              <w:top w:val="single" w:color="4874CB" w:sz="4" w:space="0"/>
              <w:left w:val="single" w:color="4874CB" w:sz="4" w:space="0"/>
              <w:bottom w:val="single" w:color="4874CB" w:sz="4" w:space="0"/>
              <w:right w:val="single" w:color="4874CB" w:sz="4" w:space="0"/>
            </w:tcBorders>
            <w:shd w:val="clear" w:color="auto" w:fill="FFFFFF"/>
            <w:tcMar>
              <w:top w:w="120" w:type="dxa"/>
              <w:left w:w="192" w:type="dxa"/>
              <w:bottom w:w="120" w:type="dxa"/>
              <w:right w:w="192" w:type="dxa"/>
            </w:tcMar>
            <w:vAlign w:val="center"/>
          </w:tcPr>
          <w:p w14:paraId="5ED46E73">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-1682亿</w:t>
            </w:r>
          </w:p>
        </w:tc>
        <w:tc>
          <w:tcPr>
            <w:tcW w:w="643" w:type="pct"/>
            <w:tcBorders>
              <w:top w:val="single" w:color="4874CB" w:sz="4" w:space="0"/>
              <w:left w:val="single" w:color="4874CB" w:sz="4" w:space="0"/>
              <w:bottom w:val="single" w:color="4874CB" w:sz="4" w:space="0"/>
            </w:tcBorders>
            <w:shd w:val="clear" w:color="auto" w:fill="FFFFFF"/>
            <w:tcMar>
              <w:top w:w="120" w:type="dxa"/>
              <w:left w:w="192" w:type="dxa"/>
              <w:bottom w:w="120" w:type="dxa"/>
              <w:right w:w="0" w:type="dxa"/>
            </w:tcMar>
            <w:vAlign w:val="center"/>
          </w:tcPr>
          <w:p w14:paraId="125B880B">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收缩</w:t>
            </w:r>
          </w:p>
        </w:tc>
      </w:tr>
      <w:tr w14:paraId="2F8AE2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41" w:type="pct"/>
            <w:tcBorders>
              <w:top w:val="single" w:color="4874CB" w:sz="4" w:space="0"/>
              <w:bottom w:val="single" w:color="4874CB" w:sz="4" w:space="0"/>
              <w:right w:val="single" w:color="4874CB" w:sz="4" w:space="0"/>
            </w:tcBorders>
            <w:shd w:val="clear" w:color="auto" w:fill="EDF1FA"/>
            <w:tcMar>
              <w:top w:w="120" w:type="dxa"/>
              <w:left w:w="0" w:type="dxa"/>
              <w:bottom w:w="120" w:type="dxa"/>
              <w:right w:w="192" w:type="dxa"/>
            </w:tcMar>
            <w:vAlign w:val="center"/>
          </w:tcPr>
          <w:p w14:paraId="7E141F6D">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南京银行</w:t>
            </w:r>
          </w:p>
        </w:tc>
        <w:tc>
          <w:tcPr>
            <w:tcW w:w="1392" w:type="pct"/>
            <w:tcBorders>
              <w:top w:val="single" w:color="4874CB" w:sz="4" w:space="0"/>
              <w:left w:val="single" w:color="4874CB" w:sz="4" w:space="0"/>
              <w:bottom w:val="single" w:color="4874CB" w:sz="4" w:space="0"/>
              <w:right w:val="single" w:color="4874CB" w:sz="4" w:space="0"/>
            </w:tcBorders>
            <w:shd w:val="clear" w:color="auto" w:fill="EDF1FA"/>
            <w:tcMar>
              <w:top w:w="120" w:type="dxa"/>
              <w:left w:w="192" w:type="dxa"/>
              <w:bottom w:w="120" w:type="dxa"/>
              <w:right w:w="192" w:type="dxa"/>
            </w:tcMar>
            <w:vAlign w:val="center"/>
          </w:tcPr>
          <w:p w14:paraId="2EAF7081">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853.97亿</w:t>
            </w:r>
          </w:p>
        </w:tc>
        <w:tc>
          <w:tcPr>
            <w:tcW w:w="2022" w:type="pct"/>
            <w:tcBorders>
              <w:top w:val="single" w:color="4874CB" w:sz="4" w:space="0"/>
              <w:left w:val="single" w:color="4874CB" w:sz="4" w:space="0"/>
              <w:bottom w:val="single" w:color="4874CB" w:sz="4" w:space="0"/>
              <w:right w:val="single" w:color="4874CB" w:sz="4" w:space="0"/>
            </w:tcBorders>
            <w:shd w:val="clear" w:color="auto" w:fill="EDF1FA"/>
            <w:tcMar>
              <w:top w:w="120" w:type="dxa"/>
              <w:left w:w="192" w:type="dxa"/>
              <w:bottom w:w="120" w:type="dxa"/>
              <w:right w:w="192" w:type="dxa"/>
            </w:tcMar>
            <w:vAlign w:val="center"/>
          </w:tcPr>
          <w:p w14:paraId="4B2B4A7D">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+9.34%</w:t>
            </w:r>
          </w:p>
        </w:tc>
        <w:tc>
          <w:tcPr>
            <w:tcW w:w="643" w:type="pct"/>
            <w:tcBorders>
              <w:top w:val="single" w:color="4874CB" w:sz="4" w:space="0"/>
              <w:left w:val="single" w:color="4874CB" w:sz="4" w:space="0"/>
              <w:bottom w:val="single" w:color="4874CB" w:sz="4" w:space="0"/>
            </w:tcBorders>
            <w:shd w:val="clear" w:color="auto" w:fill="EDF1FA"/>
            <w:tcMar>
              <w:top w:w="120" w:type="dxa"/>
              <w:left w:w="192" w:type="dxa"/>
              <w:bottom w:w="120" w:type="dxa"/>
              <w:right w:w="0" w:type="dxa"/>
            </w:tcMar>
            <w:vAlign w:val="center"/>
          </w:tcPr>
          <w:p w14:paraId="37D55F47">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增长</w:t>
            </w:r>
          </w:p>
        </w:tc>
      </w:tr>
      <w:tr w14:paraId="29180B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41" w:type="pct"/>
            <w:tcBorders>
              <w:top w:val="single" w:color="4874CB" w:sz="4" w:space="0"/>
              <w:bottom w:val="single" w:color="4874CB" w:sz="4" w:space="0"/>
              <w:right w:val="single" w:color="4874CB" w:sz="4" w:space="0"/>
            </w:tcBorders>
            <w:shd w:val="clear" w:color="auto" w:fill="FFFFFF"/>
            <w:tcMar>
              <w:top w:w="120" w:type="dxa"/>
              <w:left w:w="0" w:type="dxa"/>
              <w:bottom w:w="120" w:type="dxa"/>
              <w:right w:w="192" w:type="dxa"/>
            </w:tcMar>
            <w:vAlign w:val="center"/>
          </w:tcPr>
          <w:p w14:paraId="46011B0A">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上海农商行</w:t>
            </w:r>
          </w:p>
        </w:tc>
        <w:tc>
          <w:tcPr>
            <w:tcW w:w="1392" w:type="pct"/>
            <w:tcBorders>
              <w:top w:val="single" w:color="4874CB" w:sz="4" w:space="0"/>
              <w:left w:val="single" w:color="4874CB" w:sz="4" w:space="0"/>
              <w:bottom w:val="single" w:color="4874CB" w:sz="4" w:space="0"/>
              <w:right w:val="single" w:color="4874CB" w:sz="4" w:space="0"/>
            </w:tcBorders>
            <w:shd w:val="clear" w:color="auto" w:fill="FFFFFF"/>
            <w:tcMar>
              <w:top w:w="120" w:type="dxa"/>
              <w:left w:w="192" w:type="dxa"/>
              <w:bottom w:w="120" w:type="dxa"/>
              <w:right w:w="192" w:type="dxa"/>
            </w:tcMar>
            <w:vAlign w:val="center"/>
          </w:tcPr>
          <w:p w14:paraId="30928C93">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宋体" w:cs="Segoe UI"/>
                <w:b w:val="0"/>
                <w:sz w:val="18"/>
                <w:szCs w:val="18"/>
                <w:lang w:val="en-US" w:eastAsia="zh-CN"/>
              </w:rPr>
            </w:pPr>
            <w:r>
              <w:rPr>
                <w:rFonts w:hint="eastAsia" w:ascii="Segoe UI" w:hAnsi="Segoe UI" w:eastAsia="宋体" w:cs="Segoe UI"/>
                <w:b w:val="0"/>
                <w:sz w:val="18"/>
                <w:szCs w:val="18"/>
                <w:lang w:val="en-US" w:eastAsia="zh-CN"/>
              </w:rPr>
              <w:t>1431.16亿</w:t>
            </w:r>
          </w:p>
        </w:tc>
        <w:tc>
          <w:tcPr>
            <w:tcW w:w="2022" w:type="pct"/>
            <w:tcBorders>
              <w:top w:val="single" w:color="4874CB" w:sz="4" w:space="0"/>
              <w:left w:val="single" w:color="4874CB" w:sz="4" w:space="0"/>
              <w:bottom w:val="single" w:color="4874CB" w:sz="4" w:space="0"/>
              <w:right w:val="single" w:color="4874CB" w:sz="4" w:space="0"/>
            </w:tcBorders>
            <w:shd w:val="clear" w:color="auto" w:fill="FFFFFF"/>
            <w:tcMar>
              <w:top w:w="120" w:type="dxa"/>
              <w:left w:w="192" w:type="dxa"/>
              <w:bottom w:w="120" w:type="dxa"/>
              <w:right w:w="192" w:type="dxa"/>
            </w:tcMar>
            <w:vAlign w:val="center"/>
          </w:tcPr>
          <w:p w14:paraId="364FAA56">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eastAsia" w:ascii="Segoe UI" w:hAnsi="Segoe UI" w:eastAsia="Segoe UI" w:cs="Segoe UI"/>
                <w:b w:val="0"/>
                <w:snapToGrid w:val="0"/>
                <w:color w:val="000000"/>
                <w:kern w:val="0"/>
                <w:sz w:val="18"/>
                <w:szCs w:val="18"/>
                <w:lang w:val="en-US" w:eastAsia="zh-CN" w:bidi="ar"/>
              </w:rPr>
              <w:t>+22.61%（25年</w:t>
            </w:r>
            <w:r>
              <w:rPr>
                <w:rFonts w:hint="default" w:ascii="Segoe UI" w:hAnsi="Segoe UI" w:eastAsia="Segoe UI" w:cs="Segoe UI"/>
                <w:b w:val="0"/>
                <w:snapToGrid w:val="0"/>
                <w:color w:val="000000"/>
                <w:kern w:val="0"/>
                <w:sz w:val="18"/>
                <w:szCs w:val="18"/>
                <w:lang w:val="en-US" w:eastAsia="zh-CN" w:bidi="ar"/>
              </w:rPr>
              <w:t>Q1投放量同比+100%</w:t>
            </w:r>
            <w:r>
              <w:rPr>
                <w:rFonts w:hint="eastAsia" w:ascii="Segoe UI" w:hAnsi="Segoe UI" w:eastAsia="Segoe UI" w:cs="Segoe UI"/>
                <w:b w:val="0"/>
                <w:snapToGrid w:val="0"/>
                <w:color w:val="000000"/>
                <w:kern w:val="0"/>
                <w:sz w:val="18"/>
                <w:szCs w:val="18"/>
                <w:lang w:val="en-US" w:eastAsia="zh-CN" w:bidi="ar"/>
              </w:rPr>
              <w:t>）</w:t>
            </w:r>
          </w:p>
        </w:tc>
        <w:tc>
          <w:tcPr>
            <w:tcW w:w="643" w:type="pct"/>
            <w:tcBorders>
              <w:top w:val="single" w:color="4874CB" w:sz="4" w:space="0"/>
              <w:left w:val="single" w:color="4874CB" w:sz="4" w:space="0"/>
              <w:bottom w:val="single" w:color="4874CB" w:sz="4" w:space="0"/>
            </w:tcBorders>
            <w:shd w:val="clear" w:color="auto" w:fill="FFFFFF"/>
            <w:tcMar>
              <w:top w:w="120" w:type="dxa"/>
              <w:left w:w="192" w:type="dxa"/>
              <w:bottom w:w="120" w:type="dxa"/>
              <w:right w:w="0" w:type="dxa"/>
            </w:tcMar>
            <w:vAlign w:val="center"/>
          </w:tcPr>
          <w:p w14:paraId="3382CCCC">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暴增</w:t>
            </w:r>
          </w:p>
        </w:tc>
      </w:tr>
      <w:tr w14:paraId="6B3EC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41" w:type="pct"/>
            <w:tcBorders>
              <w:top w:val="single" w:color="4874CB" w:sz="4" w:space="0"/>
              <w:bottom w:val="single" w:color="4874CB" w:sz="4" w:space="0"/>
              <w:right w:val="single" w:color="4874CB" w:sz="4" w:space="0"/>
            </w:tcBorders>
            <w:shd w:val="clear" w:color="auto" w:fill="EDF1FA"/>
            <w:tcMar>
              <w:top w:w="120" w:type="dxa"/>
              <w:left w:w="0" w:type="dxa"/>
              <w:bottom w:w="120" w:type="dxa"/>
              <w:right w:w="192" w:type="dxa"/>
            </w:tcMar>
            <w:vAlign w:val="center"/>
          </w:tcPr>
          <w:p w14:paraId="1DA13291">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瑞丰银行</w:t>
            </w:r>
          </w:p>
        </w:tc>
        <w:tc>
          <w:tcPr>
            <w:tcW w:w="1392" w:type="pct"/>
            <w:tcBorders>
              <w:top w:val="single" w:color="4874CB" w:sz="4" w:space="0"/>
              <w:left w:val="single" w:color="4874CB" w:sz="4" w:space="0"/>
              <w:bottom w:val="single" w:color="4874CB" w:sz="4" w:space="0"/>
              <w:right w:val="single" w:color="4874CB" w:sz="4" w:space="0"/>
            </w:tcBorders>
            <w:shd w:val="clear" w:color="auto" w:fill="EDF1FA"/>
            <w:tcMar>
              <w:top w:w="120" w:type="dxa"/>
              <w:left w:w="192" w:type="dxa"/>
              <w:bottom w:w="120" w:type="dxa"/>
              <w:right w:w="192" w:type="dxa"/>
            </w:tcMar>
            <w:vAlign w:val="center"/>
          </w:tcPr>
          <w:p w14:paraId="37FF106D">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84.61亿</w:t>
            </w:r>
          </w:p>
        </w:tc>
        <w:tc>
          <w:tcPr>
            <w:tcW w:w="2022" w:type="pct"/>
            <w:tcBorders>
              <w:top w:val="single" w:color="4874CB" w:sz="4" w:space="0"/>
              <w:left w:val="single" w:color="4874CB" w:sz="4" w:space="0"/>
              <w:bottom w:val="single" w:color="4874CB" w:sz="4" w:space="0"/>
              <w:right w:val="single" w:color="4874CB" w:sz="4" w:space="0"/>
            </w:tcBorders>
            <w:shd w:val="clear" w:color="auto" w:fill="EDF1FA"/>
            <w:tcMar>
              <w:top w:w="120" w:type="dxa"/>
              <w:left w:w="192" w:type="dxa"/>
              <w:bottom w:w="120" w:type="dxa"/>
              <w:right w:w="192" w:type="dxa"/>
            </w:tcMar>
            <w:vAlign w:val="center"/>
          </w:tcPr>
          <w:p w14:paraId="6A6D1E6C">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-12.97%</w:t>
            </w:r>
          </w:p>
        </w:tc>
        <w:tc>
          <w:tcPr>
            <w:tcW w:w="643" w:type="pct"/>
            <w:tcBorders>
              <w:top w:val="single" w:color="4874CB" w:sz="4" w:space="0"/>
              <w:left w:val="single" w:color="4874CB" w:sz="4" w:space="0"/>
              <w:bottom w:val="single" w:color="4874CB" w:sz="4" w:space="0"/>
            </w:tcBorders>
            <w:shd w:val="clear" w:color="auto" w:fill="EDF1FA"/>
            <w:tcMar>
              <w:top w:w="120" w:type="dxa"/>
              <w:left w:w="192" w:type="dxa"/>
              <w:bottom w:w="120" w:type="dxa"/>
              <w:right w:w="0" w:type="dxa"/>
            </w:tcMar>
            <w:vAlign w:val="center"/>
          </w:tcPr>
          <w:p w14:paraId="109311E0">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收缩</w:t>
            </w:r>
          </w:p>
        </w:tc>
      </w:tr>
    </w:tbl>
    <w:p w14:paraId="7E5BFDE3">
      <w:pPr>
        <w:pStyle w:val="3"/>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384" w:beforeAutospacing="0" w:after="192" w:afterAutospacing="0" w:line="384" w:lineRule="atLeast"/>
        <w:ind w:left="0" w:right="0" w:firstLine="0" w:firstLineChars="0"/>
        <w:textAlignment w:val="baseline"/>
        <w:rPr>
          <w:rFonts w:hint="default" w:ascii="Segoe UI" w:hAnsi="Segoe UI" w:eastAsia="Segoe UI" w:cs="Segoe UI"/>
          <w:b/>
          <w:bCs/>
          <w:caps w:val="0"/>
          <w:color w:val="0F1115"/>
          <w:spacing w:val="0"/>
          <w:sz w:val="26"/>
          <w:szCs w:val="26"/>
        </w:rPr>
      </w:pPr>
      <w:r>
        <w:rPr>
          <w:rFonts w:hint="default" w:ascii="Segoe UI" w:hAnsi="Segoe UI" w:eastAsia="Segoe UI" w:cs="Segoe UI"/>
          <w:b/>
          <w:bCs/>
          <w:caps w:val="0"/>
          <w:color w:val="0F1115"/>
          <w:spacing w:val="0"/>
          <w:sz w:val="26"/>
          <w:szCs w:val="26"/>
          <w:shd w:val="clear" w:fill="FFFFFF"/>
        </w:rPr>
        <w:t>瑞丰银行减少12.97%，长三角内部的“温差”同样严重</w:t>
      </w:r>
    </w:p>
    <w:p w14:paraId="467D4C9F">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同样在长三角，差距同样触目惊心。</w:t>
      </w:r>
    </w:p>
    <w:p w14:paraId="6A92F10B">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瑞丰银行——总部位于绍兴的上市农商行</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2025年个人住房按揭贷款84.61亿元，同比减少12.97%。不仅与上海农商行的100%增速形成鲜明反差，也与南京银行的9.34%增速走向背道而驰。</w:t>
      </w:r>
    </w:p>
    <w:p w14:paraId="3815F455">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瑞丰银行的问题不止在房贷规模上。个人贷款不良率升至1.99%，较上年增加0.23个百分点，创阶段性新高；贷款逾期率达2.01%，不良贷款率逐季攀升</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从一季度的0.97%、到二季度的0.98%、再到三季度的0.98%，至四季度末已达0.99%。</w:t>
      </w:r>
    </w:p>
    <w:p w14:paraId="45E26668">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瑞丰银行并非不努力。该行2025年持续优化贷款结构，压降票据36亿元，将信贷资源更多地向企业经营类客户倾斜。</w:t>
      </w:r>
    </w:p>
    <w:p w14:paraId="42FE4BBA">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b/>
          <w:bCs/>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结果是对公贷款高增，但个人按揭贷款和整体个贷规模都在萎缩。</w:t>
      </w:r>
    </w:p>
    <w:p w14:paraId="1AFBD798">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长三角内部的“温差”背后，是核心城市与非核心城市之间房价走势和交易量的剧烈分化。上海2025年二手房成交量同比显著回暖，直接带动上海农商行按揭需求井喷。南京凭借省会吸附效应，人口持续净流入，刚需和改善型需求支撑房贷增长。</w:t>
      </w:r>
    </w:p>
    <w:p w14:paraId="7A0C10BE">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而绍兴这样的非核心城市，房地产市场趋冷，瑞丰银行不得不主动收缩房贷敞口。</w:t>
      </w:r>
    </w:p>
    <w:tbl>
      <w:tblPr>
        <w:tblStyle w:val="24"/>
        <w:tblW w:w="902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80"/>
        <w:gridCol w:w="2618"/>
        <w:gridCol w:w="4726"/>
      </w:tblGrid>
      <w:tr w14:paraId="572DF0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4874CB" w:sz="4" w:space="0"/>
              <w:bottom w:val="single" w:color="4874CB" w:sz="4" w:space="0"/>
              <w:right w:val="single" w:color="4874CB" w:sz="4" w:space="0"/>
              <w:tl2br w:val="nil"/>
            </w:tcBorders>
            <w:shd w:val="clear" w:color="auto" w:fill="91ACE0"/>
            <w:tcMar>
              <w:top w:w="120" w:type="dxa"/>
              <w:left w:w="0" w:type="dxa"/>
              <w:bottom w:w="120" w:type="dxa"/>
              <w:right w:w="192" w:type="dxa"/>
            </w:tcMar>
            <w:vAlign w:val="center"/>
          </w:tcPr>
          <w:p w14:paraId="2909B98D">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sz w:val="18"/>
                <w:szCs w:val="18"/>
              </w:rPr>
            </w:pPr>
            <w:r>
              <w:rPr>
                <w:rFonts w:hint="default" w:ascii="Segoe UI" w:hAnsi="Segoe UI" w:eastAsia="Segoe UI" w:cs="Segoe UI"/>
                <w:b/>
                <w:snapToGrid w:val="0"/>
                <w:color w:val="000000"/>
                <w:kern w:val="0"/>
                <w:sz w:val="18"/>
                <w:szCs w:val="18"/>
                <w:lang w:val="en-US" w:eastAsia="zh-CN" w:bidi="ar"/>
              </w:rPr>
              <w:t>银行</w:t>
            </w:r>
          </w:p>
        </w:tc>
        <w:tc>
          <w:tcPr>
            <w:tcW w:w="0" w:type="auto"/>
            <w:tcBorders>
              <w:top w:val="single" w:color="4874CB" w:sz="4" w:space="0"/>
              <w:left w:val="single" w:color="4874CB" w:sz="4" w:space="0"/>
              <w:bottom w:val="single" w:color="4874CB" w:sz="4" w:space="0"/>
              <w:right w:val="single" w:color="4874CB" w:sz="4" w:space="0"/>
            </w:tcBorders>
            <w:shd w:val="clear" w:color="auto" w:fill="91ACE0"/>
            <w:tcMar>
              <w:top w:w="120" w:type="dxa"/>
              <w:left w:w="192" w:type="dxa"/>
              <w:bottom w:w="120" w:type="dxa"/>
              <w:right w:w="192" w:type="dxa"/>
            </w:tcMar>
            <w:vAlign w:val="center"/>
          </w:tcPr>
          <w:p w14:paraId="47FA5566">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sz w:val="18"/>
                <w:szCs w:val="18"/>
              </w:rPr>
            </w:pPr>
            <w:r>
              <w:rPr>
                <w:rFonts w:hint="default" w:ascii="Segoe UI" w:hAnsi="Segoe UI" w:eastAsia="Segoe UI" w:cs="Segoe UI"/>
                <w:b/>
                <w:snapToGrid w:val="0"/>
                <w:color w:val="000000"/>
                <w:kern w:val="0"/>
                <w:sz w:val="18"/>
                <w:szCs w:val="18"/>
                <w:lang w:val="en-US" w:eastAsia="zh-CN" w:bidi="ar"/>
              </w:rPr>
              <w:t>2025年房贷变化</w:t>
            </w:r>
          </w:p>
        </w:tc>
        <w:tc>
          <w:tcPr>
            <w:tcW w:w="0" w:type="auto"/>
            <w:tcBorders>
              <w:top w:val="single" w:color="4874CB" w:sz="4" w:space="0"/>
              <w:left w:val="single" w:color="4874CB" w:sz="4" w:space="0"/>
              <w:bottom w:val="single" w:color="4874CB" w:sz="4" w:space="0"/>
            </w:tcBorders>
            <w:shd w:val="clear" w:color="auto" w:fill="91ACE0"/>
            <w:tcMar>
              <w:top w:w="120" w:type="dxa"/>
              <w:left w:w="192" w:type="dxa"/>
              <w:bottom w:w="120" w:type="dxa"/>
              <w:right w:w="192" w:type="dxa"/>
            </w:tcMar>
            <w:vAlign w:val="center"/>
          </w:tcPr>
          <w:p w14:paraId="1FAE2794">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sz w:val="18"/>
                <w:szCs w:val="18"/>
              </w:rPr>
            </w:pPr>
            <w:r>
              <w:rPr>
                <w:rFonts w:hint="default" w:ascii="Segoe UI" w:hAnsi="Segoe UI" w:eastAsia="Segoe UI" w:cs="Segoe UI"/>
                <w:b/>
                <w:snapToGrid w:val="0"/>
                <w:color w:val="000000"/>
                <w:kern w:val="0"/>
                <w:sz w:val="18"/>
                <w:szCs w:val="18"/>
                <w:lang w:val="en-US" w:eastAsia="zh-CN" w:bidi="ar"/>
              </w:rPr>
              <w:t>核心驱动因素</w:t>
            </w:r>
          </w:p>
        </w:tc>
      </w:tr>
      <w:tr w14:paraId="6D4EAE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4874CB" w:sz="4" w:space="0"/>
              <w:bottom w:val="single" w:color="4874CB" w:sz="4" w:space="0"/>
              <w:right w:val="single" w:color="4874CB" w:sz="4" w:space="0"/>
            </w:tcBorders>
            <w:shd w:val="clear" w:color="auto" w:fill="EDF1FA"/>
            <w:tcMar>
              <w:top w:w="120" w:type="dxa"/>
              <w:left w:w="0" w:type="dxa"/>
              <w:bottom w:w="120" w:type="dxa"/>
              <w:right w:w="192" w:type="dxa"/>
            </w:tcMar>
            <w:vAlign w:val="center"/>
          </w:tcPr>
          <w:p w14:paraId="5E89DC19">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上海农商行</w:t>
            </w:r>
          </w:p>
        </w:tc>
        <w:tc>
          <w:tcPr>
            <w:tcW w:w="0" w:type="auto"/>
            <w:tcBorders>
              <w:top w:val="single" w:color="4874CB" w:sz="4" w:space="0"/>
              <w:left w:val="single" w:color="4874CB" w:sz="4" w:space="0"/>
              <w:bottom w:val="single" w:color="4874CB" w:sz="4" w:space="0"/>
              <w:right w:val="single" w:color="4874CB" w:sz="4" w:space="0"/>
            </w:tcBorders>
            <w:shd w:val="clear" w:color="auto" w:fill="EDF1FA"/>
            <w:tcMar>
              <w:top w:w="120" w:type="dxa"/>
              <w:left w:w="192" w:type="dxa"/>
              <w:bottom w:w="120" w:type="dxa"/>
              <w:right w:w="192" w:type="dxa"/>
            </w:tcMar>
            <w:vAlign w:val="center"/>
          </w:tcPr>
          <w:p w14:paraId="5E07802A">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lang w:val="en-US"/>
              </w:rPr>
            </w:pPr>
            <w:r>
              <w:rPr>
                <w:rFonts w:hint="eastAsia" w:ascii="Segoe UI" w:hAnsi="Segoe UI" w:eastAsia="Segoe UI" w:cs="Segoe UI"/>
                <w:b w:val="0"/>
                <w:snapToGrid w:val="0"/>
                <w:color w:val="000000"/>
                <w:kern w:val="0"/>
                <w:sz w:val="18"/>
                <w:szCs w:val="18"/>
                <w:lang w:val="en-US" w:eastAsia="zh-CN" w:bidi="ar"/>
              </w:rPr>
              <w:t>+22.61%</w:t>
            </w:r>
          </w:p>
        </w:tc>
        <w:tc>
          <w:tcPr>
            <w:tcW w:w="0" w:type="auto"/>
            <w:tcBorders>
              <w:top w:val="single" w:color="4874CB" w:sz="4" w:space="0"/>
              <w:left w:val="single" w:color="4874CB" w:sz="4" w:space="0"/>
              <w:bottom w:val="single" w:color="4874CB" w:sz="4" w:space="0"/>
            </w:tcBorders>
            <w:shd w:val="clear" w:color="auto" w:fill="EDF1FA"/>
            <w:tcMar>
              <w:top w:w="120" w:type="dxa"/>
              <w:left w:w="192" w:type="dxa"/>
              <w:bottom w:w="120" w:type="dxa"/>
              <w:right w:w="0" w:type="dxa"/>
            </w:tcMar>
            <w:vAlign w:val="center"/>
          </w:tcPr>
          <w:p w14:paraId="6BB6AC1C">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上海二手房成交回暖</w:t>
            </w:r>
          </w:p>
        </w:tc>
      </w:tr>
      <w:tr w14:paraId="4B75FA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4874CB" w:sz="4" w:space="0"/>
              <w:bottom w:val="single" w:color="4874CB" w:sz="4" w:space="0"/>
              <w:right w:val="single" w:color="4874CB" w:sz="4" w:space="0"/>
            </w:tcBorders>
            <w:shd w:val="clear" w:color="auto" w:fill="FFFFFF"/>
            <w:tcMar>
              <w:top w:w="120" w:type="dxa"/>
              <w:left w:w="0" w:type="dxa"/>
              <w:bottom w:w="120" w:type="dxa"/>
              <w:right w:w="192" w:type="dxa"/>
            </w:tcMar>
            <w:vAlign w:val="center"/>
          </w:tcPr>
          <w:p w14:paraId="352940A2">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南京银行</w:t>
            </w:r>
          </w:p>
        </w:tc>
        <w:tc>
          <w:tcPr>
            <w:tcW w:w="0" w:type="auto"/>
            <w:tcBorders>
              <w:top w:val="single" w:color="4874CB" w:sz="4" w:space="0"/>
              <w:left w:val="single" w:color="4874CB" w:sz="4" w:space="0"/>
              <w:bottom w:val="single" w:color="4874CB" w:sz="4" w:space="0"/>
              <w:right w:val="single" w:color="4874CB" w:sz="4" w:space="0"/>
            </w:tcBorders>
            <w:shd w:val="clear" w:color="auto" w:fill="FFFFFF"/>
            <w:tcMar>
              <w:top w:w="120" w:type="dxa"/>
              <w:left w:w="192" w:type="dxa"/>
              <w:bottom w:w="120" w:type="dxa"/>
              <w:right w:w="192" w:type="dxa"/>
            </w:tcMar>
            <w:vAlign w:val="center"/>
          </w:tcPr>
          <w:p w14:paraId="585E1778">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+9.34%</w:t>
            </w:r>
          </w:p>
        </w:tc>
        <w:tc>
          <w:tcPr>
            <w:tcW w:w="0" w:type="auto"/>
            <w:tcBorders>
              <w:top w:val="single" w:color="4874CB" w:sz="4" w:space="0"/>
              <w:left w:val="single" w:color="4874CB" w:sz="4" w:space="0"/>
              <w:bottom w:val="single" w:color="4874CB" w:sz="4" w:space="0"/>
            </w:tcBorders>
            <w:shd w:val="clear" w:color="auto" w:fill="FFFFFF"/>
            <w:tcMar>
              <w:top w:w="120" w:type="dxa"/>
              <w:left w:w="192" w:type="dxa"/>
              <w:bottom w:w="120" w:type="dxa"/>
              <w:right w:w="0" w:type="dxa"/>
            </w:tcMar>
            <w:vAlign w:val="center"/>
          </w:tcPr>
          <w:p w14:paraId="10F13DBD">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省会人口净流入，刚需与改善型需求</w:t>
            </w:r>
          </w:p>
        </w:tc>
      </w:tr>
      <w:tr w14:paraId="15C5B0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4874CB" w:sz="4" w:space="0"/>
              <w:bottom w:val="single" w:color="4874CB" w:sz="4" w:space="0"/>
              <w:right w:val="single" w:color="4874CB" w:sz="4" w:space="0"/>
            </w:tcBorders>
            <w:shd w:val="clear" w:color="auto" w:fill="EDF1FA"/>
            <w:tcMar>
              <w:top w:w="120" w:type="dxa"/>
              <w:left w:w="0" w:type="dxa"/>
              <w:bottom w:w="120" w:type="dxa"/>
              <w:right w:w="192" w:type="dxa"/>
            </w:tcMar>
            <w:vAlign w:val="center"/>
          </w:tcPr>
          <w:p w14:paraId="4B28A8CB">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瑞丰银行</w:t>
            </w:r>
          </w:p>
        </w:tc>
        <w:tc>
          <w:tcPr>
            <w:tcW w:w="0" w:type="auto"/>
            <w:tcBorders>
              <w:top w:val="single" w:color="4874CB" w:sz="4" w:space="0"/>
              <w:left w:val="single" w:color="4874CB" w:sz="4" w:space="0"/>
              <w:bottom w:val="single" w:color="4874CB" w:sz="4" w:space="0"/>
              <w:right w:val="single" w:color="4874CB" w:sz="4" w:space="0"/>
            </w:tcBorders>
            <w:shd w:val="clear" w:color="auto" w:fill="EDF1FA"/>
            <w:tcMar>
              <w:top w:w="120" w:type="dxa"/>
              <w:left w:w="192" w:type="dxa"/>
              <w:bottom w:w="120" w:type="dxa"/>
              <w:right w:w="192" w:type="dxa"/>
            </w:tcMar>
            <w:vAlign w:val="center"/>
          </w:tcPr>
          <w:p w14:paraId="1D6AE8D9">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-12.97%</w:t>
            </w:r>
          </w:p>
        </w:tc>
        <w:tc>
          <w:tcPr>
            <w:tcW w:w="0" w:type="auto"/>
            <w:tcBorders>
              <w:top w:val="single" w:color="4874CB" w:sz="4" w:space="0"/>
              <w:left w:val="single" w:color="4874CB" w:sz="4" w:space="0"/>
              <w:bottom w:val="single" w:color="4874CB" w:sz="4" w:space="0"/>
            </w:tcBorders>
            <w:shd w:val="clear" w:color="auto" w:fill="EDF1FA"/>
            <w:tcMar>
              <w:top w:w="120" w:type="dxa"/>
              <w:left w:w="192" w:type="dxa"/>
              <w:bottom w:w="120" w:type="dxa"/>
              <w:right w:w="0" w:type="dxa"/>
            </w:tcMar>
            <w:vAlign w:val="center"/>
          </w:tcPr>
          <w:p w14:paraId="10ECF805">
            <w:pPr>
              <w:keepNext w:val="0"/>
              <w:keepLines w:val="0"/>
              <w:pageBreakBefore w:val="0"/>
              <w:widowControl/>
              <w:suppressLineNumbers w:val="0"/>
              <w:kinsoku w:val="0"/>
              <w:wordWrap/>
              <w:overflowPunct/>
              <w:topLinePunct w:val="0"/>
              <w:autoSpaceDE w:val="0"/>
              <w:autoSpaceDN w:val="0"/>
              <w:bidi w:val="0"/>
              <w:adjustRightInd w:val="0"/>
              <w:snapToGrid w:val="0"/>
              <w:spacing w:line="300" w:lineRule="atLeast"/>
              <w:ind w:firstLine="0" w:firstLineChars="0"/>
              <w:jc w:val="center"/>
              <w:textAlignment w:val="baseline"/>
              <w:rPr>
                <w:rFonts w:hint="default" w:ascii="Segoe UI" w:hAnsi="Segoe UI" w:eastAsia="Segoe UI" w:cs="Segoe UI"/>
                <w:b w:val="0"/>
                <w:sz w:val="18"/>
                <w:szCs w:val="18"/>
              </w:rPr>
            </w:pPr>
            <w:r>
              <w:rPr>
                <w:rFonts w:hint="default" w:ascii="Segoe UI" w:hAnsi="Segoe UI" w:eastAsia="Segoe UI" w:cs="Segoe UI"/>
                <w:b w:val="0"/>
                <w:snapToGrid w:val="0"/>
                <w:color w:val="000000"/>
                <w:kern w:val="0"/>
                <w:sz w:val="18"/>
                <w:szCs w:val="18"/>
                <w:lang w:val="en-US" w:eastAsia="zh-CN" w:bidi="ar"/>
              </w:rPr>
              <w:t>非核心城市房地产市场趋冷</w:t>
            </w:r>
          </w:p>
        </w:tc>
      </w:tr>
    </w:tbl>
    <w:p w14:paraId="404FB517">
      <w:pPr>
        <w:pStyle w:val="3"/>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384" w:beforeAutospacing="0" w:after="192" w:afterAutospacing="0" w:line="384" w:lineRule="atLeast"/>
        <w:ind w:left="0" w:right="0" w:firstLine="0" w:firstLineChars="0"/>
        <w:textAlignment w:val="baseline"/>
        <w:rPr>
          <w:rFonts w:hint="default" w:ascii="Segoe UI" w:hAnsi="Segoe UI" w:eastAsia="Segoe UI" w:cs="Segoe UI"/>
          <w:b/>
          <w:bCs/>
          <w:caps w:val="0"/>
          <w:color w:val="0F1115"/>
          <w:spacing w:val="0"/>
          <w:sz w:val="26"/>
          <w:szCs w:val="26"/>
        </w:rPr>
      </w:pPr>
      <w:r>
        <w:rPr>
          <w:rFonts w:hint="default" w:ascii="Segoe UI" w:hAnsi="Segoe UI" w:eastAsia="Segoe UI" w:cs="Segoe UI"/>
          <w:b/>
          <w:bCs/>
          <w:caps w:val="0"/>
          <w:color w:val="0F1115"/>
          <w:spacing w:val="0"/>
          <w:sz w:val="26"/>
          <w:szCs w:val="26"/>
          <w:shd w:val="clear" w:fill="FFFFFF"/>
        </w:rPr>
        <w:t>同样的房贷市场，不同的生存法则</w:t>
      </w:r>
    </w:p>
    <w:p w14:paraId="165B1E85">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六大行缩水7000亿和长三角城农商行逆势猛增，本质上不是同一维度的比较。</w:t>
      </w:r>
    </w:p>
    <w:p w14:paraId="24320855">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六大行的房贷收缩，首先是主动选择的结果。2023-2025年，六大行按揭贷款年均降幅分别为5568亿、6210亿、7115亿，呈逐年加速态势。这背后是三重因素的叠加：提前还贷潮的持续蔓延——存量房贷利率和新发房贷利率的利差仍在，有条件的客户依然在提前清贷；</w:t>
      </w:r>
    </w:p>
    <w:p w14:paraId="5F0F5416">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银行主动压降风险敞口——在房价调整周期中，大行审慎控制新增按揭投放；区域结构调整——大行正在将按揭资源从风险较高的三四线城市向更优质的区域内更优质的楼盘集中，而授信端向新楼盘倾斜反过来又压降了二手房的按揭需求。</w:t>
      </w:r>
    </w:p>
    <w:p w14:paraId="05F6A97A">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长三角城农商行的逆势猛增，则是区域分化的结果。房价坚挺的核心城市，新增按揭需求依然旺盛；二手房成交量回暖的城市，按揭投放自然水涨船高；</w:t>
      </w:r>
    </w:p>
    <w:p w14:paraId="3B2BD462">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人口持续净流入、产业基础扎实的城市，刚需和改善型需求不会因为全国性数据波动而消失。</w:t>
      </w:r>
    </w:p>
    <w:p w14:paraId="357B5E24">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更深层的问题是区域银行的分化。长三角城农商行并非全面增长，核心城市内部也不是铁板一块。南京增9%、上海暴增100%，而瑞丰减少近13%</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同一片区域，不同城市、不同银行，完全是不同的风景。决定房贷增长的不是银行牌照和规模，而是所在城市的房地产市场景气度和人口流向。</w:t>
      </w:r>
    </w:p>
    <w:p w14:paraId="2235BC50">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六大行的房贷收缩是全国平均数的结果。一二线核心城市的优质资产，大行同样在抢；但占总量大头的三四线城市，大行正在系统性撤退。长三角城农商行的逆势增长，恰恰是因为它们的业务范围高度集中于核心城市，天然享受了区域分化的红利。</w:t>
      </w:r>
    </w:p>
    <w:p w14:paraId="3A271EC8">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b/>
          <w:bCs/>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房贷市场的分化，正在从“大行vs小行”的维度，转向“核心城市vs非核心城市”的维度。</w:t>
      </w:r>
    </w:p>
    <w:p w14:paraId="772AB7E8">
      <w:pPr>
        <w:keepNext w:val="0"/>
        <w:keepLines w:val="0"/>
        <w:pageBreakBefore w:val="0"/>
        <w:widowControl/>
        <w:kinsoku w:val="0"/>
        <w:wordWrap/>
        <w:overflowPunct/>
        <w:topLinePunct w:val="0"/>
        <w:autoSpaceDE w:val="0"/>
        <w:autoSpaceDN w:val="0"/>
        <w:bidi w:val="0"/>
        <w:adjustRightInd w:val="0"/>
        <w:snapToGrid w:val="0"/>
        <w:ind w:firstLine="0" w:firstLineChars="0"/>
        <w:textAlignment w:val="baseline"/>
      </w:pP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151">
      <wne:acd wne:acdName="acd0"/>
    </wne:keymap>
    <wne:keymap wne:kcmPrimary="0432">
      <wne:acd wne:acdName="acd1"/>
    </wne:keymap>
  </wne:keymaps>
  <wne:acds>
    <wne:acd wne:argValue="AQAAAAEA" wne:acdName="acd0" wne:fciIndexBasedOn="0065"/>
    <wne:acd wne:argValue="AQAAAAIA" wne:acdName="acd1"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02"/>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8B17FF"/>
    <w:multiLevelType w:val="singleLevel"/>
    <w:tmpl w:val="C78B17FF"/>
    <w:lvl w:ilvl="0" w:tentative="0">
      <w:start w:val="1"/>
      <w:numFmt w:val="decimal"/>
      <w:pStyle w:val="46"/>
      <w:suff w:val="space"/>
      <w:lvlText w:val="[%1]"/>
      <w:lvlJc w:val="left"/>
      <w:pPr>
        <w:tabs>
          <w:tab w:val="left" w:pos="0"/>
        </w:tabs>
      </w:pPr>
      <w:rPr>
        <w:rFonts w:hint="default"/>
      </w:rPr>
    </w:lvl>
  </w:abstractNum>
  <w:abstractNum w:abstractNumId="1">
    <w:nsid w:val="D4C22AF2"/>
    <w:multiLevelType w:val="multilevel"/>
    <w:tmpl w:val="D4C22AF2"/>
    <w:lvl w:ilvl="0" w:tentative="0">
      <w:start w:val="1"/>
      <w:numFmt w:val="decimal"/>
      <w:suff w:val="nothing"/>
      <w:lvlText w:val="%1 "/>
      <w:lvlJc w:val="left"/>
      <w:pPr>
        <w:tabs>
          <w:tab w:val="left" w:pos="0"/>
        </w:tabs>
        <w:ind w:left="0" w:leftChars="0" w:firstLine="0" w:firstLineChars="0"/>
      </w:pPr>
      <w:rPr>
        <w:rFonts w:hint="default"/>
      </w:rPr>
    </w:lvl>
    <w:lvl w:ilvl="1" w:tentative="0">
      <w:start w:val="1"/>
      <w:numFmt w:val="decimal"/>
      <w:suff w:val="nothing"/>
      <w:lvlText w:val="%1.%2 "/>
      <w:lvlJc w:val="left"/>
      <w:pPr>
        <w:tabs>
          <w:tab w:val="left" w:pos="0"/>
        </w:tabs>
        <w:ind w:left="575" w:hanging="575"/>
      </w:pPr>
      <w:rPr>
        <w:rFonts w:hint="default" w:ascii="宋体" w:hAnsi="宋体" w:eastAsia="宋体" w:cs="宋体"/>
      </w:rPr>
    </w:lvl>
    <w:lvl w:ilvl="2" w:tentative="0">
      <w:start w:val="1"/>
      <w:numFmt w:val="decimal"/>
      <w:suff w:val="nothing"/>
      <w:lvlText w:val="%1.%2.%3 "/>
      <w:lvlJc w:val="left"/>
      <w:pPr>
        <w:tabs>
          <w:tab w:val="left" w:pos="0"/>
        </w:tabs>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7"/>
      <w:lvlText w:val="%1.%2.%3.%4.%5."/>
      <w:lvlJc w:val="left"/>
      <w:pPr>
        <w:ind w:left="1008" w:hanging="1008"/>
      </w:pPr>
      <w:rPr>
        <w:rFonts w:hint="default"/>
      </w:rPr>
    </w:lvl>
    <w:lvl w:ilvl="5" w:tentative="0">
      <w:start w:val="1"/>
      <w:numFmt w:val="decimal"/>
      <w:pStyle w:val="8"/>
      <w:lvlText w:val="%1.%2.%3.%4.%5.%6."/>
      <w:lvlJc w:val="left"/>
      <w:pPr>
        <w:ind w:left="1151" w:hanging="1151"/>
      </w:pPr>
      <w:rPr>
        <w:rFonts w:hint="default"/>
      </w:rPr>
    </w:lvl>
    <w:lvl w:ilvl="6" w:tentative="0">
      <w:start w:val="1"/>
      <w:numFmt w:val="decimal"/>
      <w:pStyle w:val="9"/>
      <w:lvlText w:val="%1.%2.%3.%4.%5.%6.%7."/>
      <w:lvlJc w:val="left"/>
      <w:pPr>
        <w:ind w:left="1296" w:hanging="1296"/>
      </w:pPr>
      <w:rPr>
        <w:rFonts w:hint="default"/>
      </w:rPr>
    </w:lvl>
    <w:lvl w:ilvl="7" w:tentative="0">
      <w:start w:val="1"/>
      <w:numFmt w:val="decimal"/>
      <w:pStyle w:val="10"/>
      <w:lvlText w:val="%1.%2.%3.%4.%5.%6.%7.%8."/>
      <w:lvlJc w:val="left"/>
      <w:pPr>
        <w:ind w:left="1440" w:hanging="1440"/>
      </w:pPr>
      <w:rPr>
        <w:rFonts w:hint="default"/>
      </w:rPr>
    </w:lvl>
    <w:lvl w:ilvl="8" w:tentative="0">
      <w:start w:val="1"/>
      <w:numFmt w:val="decimal"/>
      <w:pStyle w:val="11"/>
      <w:lvlText w:val="%1.%2.%3.%4.%5.%6.%7.%8.%9."/>
      <w:lvlJc w:val="left"/>
      <w:pPr>
        <w:ind w:left="1583" w:hanging="1583"/>
      </w:pPr>
      <w:rPr>
        <w:rFonts w:hint="default"/>
      </w:rPr>
    </w:lvl>
  </w:abstractNum>
  <w:abstractNum w:abstractNumId="2">
    <w:nsid w:val="EFE2F7AC"/>
    <w:multiLevelType w:val="multilevel"/>
    <w:tmpl w:val="EFE2F7AC"/>
    <w:lvl w:ilvl="0" w:tentative="0">
      <w:start w:val="1"/>
      <w:numFmt w:val="decimal"/>
      <w:pStyle w:val="45"/>
      <w:lvlText w:val="%1"/>
      <w:lvlJc w:val="left"/>
      <w:pPr>
        <w:ind w:left="425" w:hanging="425"/>
      </w:pPr>
      <w:rPr>
        <w:rFonts w:hint="default" w:ascii="微软雅黑" w:hAnsi="微软雅黑" w:eastAsia="微软雅黑"/>
      </w:rPr>
    </w:lvl>
    <w:lvl w:ilvl="1" w:tentative="0">
      <w:start w:val="1"/>
      <w:numFmt w:val="decimal"/>
      <w:lvlText w:val="%1.%2"/>
      <w:lvlJc w:val="left"/>
      <w:pPr>
        <w:ind w:left="567" w:hanging="567"/>
      </w:pPr>
      <w:rPr>
        <w:rFonts w:hint="default" w:ascii="微软雅黑" w:hAnsi="微软雅黑" w:eastAsia="宋体"/>
      </w:rPr>
    </w:lvl>
    <w:lvl w:ilvl="2" w:tentative="0">
      <w:start w:val="1"/>
      <w:numFmt w:val="decimal"/>
      <w:lvlText w:val="%1.%2.%3"/>
      <w:lvlJc w:val="left"/>
      <w:pPr>
        <w:ind w:left="709" w:hanging="709"/>
      </w:pPr>
      <w:rPr>
        <w:rFonts w:hint="default" w:ascii="微软雅黑" w:hAnsi="微软雅黑" w:eastAsia="微软雅黑"/>
      </w:rPr>
    </w:lvl>
    <w:lvl w:ilvl="3" w:tentative="0">
      <w:start w:val="1"/>
      <w:numFmt w:val="decimal"/>
      <w:lvlText w:val="%1.%2.%3.%4."/>
      <w:lvlJc w:val="left"/>
      <w:pPr>
        <w:ind w:left="850" w:hanging="850"/>
      </w:pPr>
      <w:rPr>
        <w:rFonts w:hint="default" w:ascii="微软雅黑" w:hAnsi="微软雅黑" w:eastAsia="微软雅黑"/>
      </w:rPr>
    </w:lvl>
    <w:lvl w:ilvl="4" w:tentative="0">
      <w:start w:val="1"/>
      <w:numFmt w:val="decimal"/>
      <w:lvlText w:val="%1.%2.%3.%4.%5."/>
      <w:lvlJc w:val="left"/>
      <w:pPr>
        <w:ind w:left="991" w:hanging="991"/>
      </w:pPr>
      <w:rPr>
        <w:rFonts w:hint="default" w:ascii="微软雅黑" w:hAnsi="微软雅黑" w:eastAsia="微软雅黑"/>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
    <w:nsid w:val="FACE2DB4"/>
    <w:multiLevelType w:val="singleLevel"/>
    <w:tmpl w:val="FACE2DB4"/>
    <w:lvl w:ilvl="0" w:tentative="0">
      <w:start w:val="1"/>
      <w:numFmt w:val="decimal"/>
      <w:pStyle w:val="54"/>
      <w:lvlText w:val="图4-%1"/>
      <w:lvlJc w:val="left"/>
      <w:pPr>
        <w:tabs>
          <w:tab w:val="left" w:pos="567"/>
        </w:tabs>
        <w:ind w:left="0" w:leftChars="0" w:firstLine="0" w:firstLineChars="0"/>
      </w:pPr>
      <w:rPr>
        <w:rFont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A029C"/>
    <w:rsid w:val="001F3403"/>
    <w:rsid w:val="002506FA"/>
    <w:rsid w:val="002B59D3"/>
    <w:rsid w:val="00CB3C44"/>
    <w:rsid w:val="00CD3778"/>
    <w:rsid w:val="00D07DBE"/>
    <w:rsid w:val="00F275F0"/>
    <w:rsid w:val="015A69DF"/>
    <w:rsid w:val="01A43D9C"/>
    <w:rsid w:val="01A77B35"/>
    <w:rsid w:val="01D23333"/>
    <w:rsid w:val="01E67C51"/>
    <w:rsid w:val="020E1A24"/>
    <w:rsid w:val="02937356"/>
    <w:rsid w:val="02B60C69"/>
    <w:rsid w:val="02DB3572"/>
    <w:rsid w:val="03250E34"/>
    <w:rsid w:val="032B0EBC"/>
    <w:rsid w:val="039713C7"/>
    <w:rsid w:val="03A4723E"/>
    <w:rsid w:val="03CC7FEE"/>
    <w:rsid w:val="04106BDD"/>
    <w:rsid w:val="047E1B60"/>
    <w:rsid w:val="048D4B54"/>
    <w:rsid w:val="04C500CA"/>
    <w:rsid w:val="04E41CE1"/>
    <w:rsid w:val="05244516"/>
    <w:rsid w:val="057B460B"/>
    <w:rsid w:val="058B2A44"/>
    <w:rsid w:val="05A33BF0"/>
    <w:rsid w:val="05DA2561"/>
    <w:rsid w:val="062C5D5F"/>
    <w:rsid w:val="06752E14"/>
    <w:rsid w:val="068D7423"/>
    <w:rsid w:val="074946C8"/>
    <w:rsid w:val="07C713FA"/>
    <w:rsid w:val="08B017DE"/>
    <w:rsid w:val="09483977"/>
    <w:rsid w:val="099072AF"/>
    <w:rsid w:val="09A07101"/>
    <w:rsid w:val="09AF2E8B"/>
    <w:rsid w:val="0A4047F0"/>
    <w:rsid w:val="0A48594F"/>
    <w:rsid w:val="0AB47859"/>
    <w:rsid w:val="0B177CD5"/>
    <w:rsid w:val="0B2F2881"/>
    <w:rsid w:val="0BC72059"/>
    <w:rsid w:val="0BCB5B13"/>
    <w:rsid w:val="0BCF5FF3"/>
    <w:rsid w:val="0BD9123D"/>
    <w:rsid w:val="0BE37DF5"/>
    <w:rsid w:val="0C311396"/>
    <w:rsid w:val="0C5C5076"/>
    <w:rsid w:val="0C692CAD"/>
    <w:rsid w:val="0D681B8E"/>
    <w:rsid w:val="0D9F3011"/>
    <w:rsid w:val="0DE43478"/>
    <w:rsid w:val="0DEE56BA"/>
    <w:rsid w:val="0E306947"/>
    <w:rsid w:val="0E9F4874"/>
    <w:rsid w:val="0EAC08FD"/>
    <w:rsid w:val="0EE07D03"/>
    <w:rsid w:val="0F1F3A83"/>
    <w:rsid w:val="0F2C385D"/>
    <w:rsid w:val="0F3B7E78"/>
    <w:rsid w:val="0F587B28"/>
    <w:rsid w:val="0FDB387C"/>
    <w:rsid w:val="10160593"/>
    <w:rsid w:val="10284EE7"/>
    <w:rsid w:val="103234C6"/>
    <w:rsid w:val="10790217"/>
    <w:rsid w:val="11366F3E"/>
    <w:rsid w:val="11420290"/>
    <w:rsid w:val="118424E6"/>
    <w:rsid w:val="11F80CB0"/>
    <w:rsid w:val="126C0647"/>
    <w:rsid w:val="127B49BD"/>
    <w:rsid w:val="128A65A2"/>
    <w:rsid w:val="12961468"/>
    <w:rsid w:val="130C45D2"/>
    <w:rsid w:val="134B7000"/>
    <w:rsid w:val="13511BBE"/>
    <w:rsid w:val="13EE7251"/>
    <w:rsid w:val="14185CAF"/>
    <w:rsid w:val="14454DAD"/>
    <w:rsid w:val="145B29CE"/>
    <w:rsid w:val="151D4243"/>
    <w:rsid w:val="151F5A1F"/>
    <w:rsid w:val="16650F55"/>
    <w:rsid w:val="169A3FAE"/>
    <w:rsid w:val="16A71FAA"/>
    <w:rsid w:val="17B108CB"/>
    <w:rsid w:val="17F964D3"/>
    <w:rsid w:val="17FE5D44"/>
    <w:rsid w:val="180D588B"/>
    <w:rsid w:val="18545193"/>
    <w:rsid w:val="185736BF"/>
    <w:rsid w:val="188F1F1C"/>
    <w:rsid w:val="18A3688F"/>
    <w:rsid w:val="18B90D7E"/>
    <w:rsid w:val="195B507D"/>
    <w:rsid w:val="19B90824"/>
    <w:rsid w:val="19BE7C49"/>
    <w:rsid w:val="19CD1D13"/>
    <w:rsid w:val="1AB142A0"/>
    <w:rsid w:val="1AE46932"/>
    <w:rsid w:val="1B120167"/>
    <w:rsid w:val="1B841991"/>
    <w:rsid w:val="1B9510AD"/>
    <w:rsid w:val="1BE428CB"/>
    <w:rsid w:val="1BE438B9"/>
    <w:rsid w:val="1C1E21F6"/>
    <w:rsid w:val="1C250273"/>
    <w:rsid w:val="1C2F0AC3"/>
    <w:rsid w:val="1C6C2094"/>
    <w:rsid w:val="1CA0747F"/>
    <w:rsid w:val="1CA7394F"/>
    <w:rsid w:val="1CCC4063"/>
    <w:rsid w:val="1CF159FF"/>
    <w:rsid w:val="1D3F0444"/>
    <w:rsid w:val="1D547AAF"/>
    <w:rsid w:val="1DC91D6E"/>
    <w:rsid w:val="1E2A28EC"/>
    <w:rsid w:val="1E3836E8"/>
    <w:rsid w:val="1E5E09D7"/>
    <w:rsid w:val="1E7249D5"/>
    <w:rsid w:val="1E8258F9"/>
    <w:rsid w:val="1E8B65A8"/>
    <w:rsid w:val="1EC271F2"/>
    <w:rsid w:val="1EED04D9"/>
    <w:rsid w:val="1FA64B1C"/>
    <w:rsid w:val="1FB92215"/>
    <w:rsid w:val="2014438F"/>
    <w:rsid w:val="20193933"/>
    <w:rsid w:val="202B7144"/>
    <w:rsid w:val="203B6335"/>
    <w:rsid w:val="20971BD3"/>
    <w:rsid w:val="217A1B37"/>
    <w:rsid w:val="22025912"/>
    <w:rsid w:val="221423A4"/>
    <w:rsid w:val="2216237D"/>
    <w:rsid w:val="22437F2D"/>
    <w:rsid w:val="229A27C8"/>
    <w:rsid w:val="22CC1220"/>
    <w:rsid w:val="2376267A"/>
    <w:rsid w:val="24991786"/>
    <w:rsid w:val="249E68AC"/>
    <w:rsid w:val="24E011A6"/>
    <w:rsid w:val="252F1318"/>
    <w:rsid w:val="25391977"/>
    <w:rsid w:val="263A3D46"/>
    <w:rsid w:val="265A0F55"/>
    <w:rsid w:val="26995303"/>
    <w:rsid w:val="26A74667"/>
    <w:rsid w:val="26C24DA3"/>
    <w:rsid w:val="27440052"/>
    <w:rsid w:val="277F4129"/>
    <w:rsid w:val="278A1FD7"/>
    <w:rsid w:val="27A50527"/>
    <w:rsid w:val="27D42352"/>
    <w:rsid w:val="280200EF"/>
    <w:rsid w:val="28657B53"/>
    <w:rsid w:val="28894493"/>
    <w:rsid w:val="288D2228"/>
    <w:rsid w:val="28DD7CC7"/>
    <w:rsid w:val="2912123B"/>
    <w:rsid w:val="2985180D"/>
    <w:rsid w:val="29C84DF6"/>
    <w:rsid w:val="2A8146B4"/>
    <w:rsid w:val="2ABC352B"/>
    <w:rsid w:val="2B5602AA"/>
    <w:rsid w:val="2B681F2A"/>
    <w:rsid w:val="2B7037B2"/>
    <w:rsid w:val="2B785E5C"/>
    <w:rsid w:val="2BE41871"/>
    <w:rsid w:val="2BFD7535"/>
    <w:rsid w:val="2C78619D"/>
    <w:rsid w:val="2C836296"/>
    <w:rsid w:val="2CA42CDA"/>
    <w:rsid w:val="2CC97F56"/>
    <w:rsid w:val="2CD00241"/>
    <w:rsid w:val="2CD92B68"/>
    <w:rsid w:val="2D4C0A89"/>
    <w:rsid w:val="2D74468D"/>
    <w:rsid w:val="2D87193E"/>
    <w:rsid w:val="2EB74DCD"/>
    <w:rsid w:val="2ECB0E5F"/>
    <w:rsid w:val="2EE937AE"/>
    <w:rsid w:val="2EF602CE"/>
    <w:rsid w:val="2EF84F00"/>
    <w:rsid w:val="2F086617"/>
    <w:rsid w:val="2F7610DD"/>
    <w:rsid w:val="30130B79"/>
    <w:rsid w:val="304F65E2"/>
    <w:rsid w:val="30922B28"/>
    <w:rsid w:val="30D61664"/>
    <w:rsid w:val="3103797D"/>
    <w:rsid w:val="314459E3"/>
    <w:rsid w:val="320735BB"/>
    <w:rsid w:val="324F1E45"/>
    <w:rsid w:val="32916AD0"/>
    <w:rsid w:val="32942776"/>
    <w:rsid w:val="32D035E7"/>
    <w:rsid w:val="32E8568A"/>
    <w:rsid w:val="330D5210"/>
    <w:rsid w:val="33241CD7"/>
    <w:rsid w:val="33516380"/>
    <w:rsid w:val="337B3084"/>
    <w:rsid w:val="339E023F"/>
    <w:rsid w:val="33C5422D"/>
    <w:rsid w:val="3433272D"/>
    <w:rsid w:val="34427A31"/>
    <w:rsid w:val="34475B03"/>
    <w:rsid w:val="34545F5E"/>
    <w:rsid w:val="34635580"/>
    <w:rsid w:val="35354782"/>
    <w:rsid w:val="35490860"/>
    <w:rsid w:val="35E12C8E"/>
    <w:rsid w:val="360C4BAB"/>
    <w:rsid w:val="365F3090"/>
    <w:rsid w:val="36926BFA"/>
    <w:rsid w:val="369923B0"/>
    <w:rsid w:val="36BD386F"/>
    <w:rsid w:val="36F94157"/>
    <w:rsid w:val="373E7885"/>
    <w:rsid w:val="379E127C"/>
    <w:rsid w:val="37BB0EFF"/>
    <w:rsid w:val="38001ED1"/>
    <w:rsid w:val="385F1BB6"/>
    <w:rsid w:val="38BD549E"/>
    <w:rsid w:val="3A6213AD"/>
    <w:rsid w:val="3A872066"/>
    <w:rsid w:val="3B2E12D2"/>
    <w:rsid w:val="3B4267EB"/>
    <w:rsid w:val="3B7732A3"/>
    <w:rsid w:val="3BF67DB3"/>
    <w:rsid w:val="3C413199"/>
    <w:rsid w:val="3D043BDA"/>
    <w:rsid w:val="3D4845E5"/>
    <w:rsid w:val="3D954890"/>
    <w:rsid w:val="3DA41C67"/>
    <w:rsid w:val="3DBA2D6A"/>
    <w:rsid w:val="3DDD1B25"/>
    <w:rsid w:val="3E5A1BA6"/>
    <w:rsid w:val="3E6671CB"/>
    <w:rsid w:val="3E7C44C3"/>
    <w:rsid w:val="3EAF2378"/>
    <w:rsid w:val="3EC42F0D"/>
    <w:rsid w:val="3F162913"/>
    <w:rsid w:val="408A5219"/>
    <w:rsid w:val="40E4749D"/>
    <w:rsid w:val="41791BBD"/>
    <w:rsid w:val="41867134"/>
    <w:rsid w:val="41AB4010"/>
    <w:rsid w:val="41BF6404"/>
    <w:rsid w:val="41CC0BF5"/>
    <w:rsid w:val="422A026F"/>
    <w:rsid w:val="42884F34"/>
    <w:rsid w:val="4291098B"/>
    <w:rsid w:val="42B6747F"/>
    <w:rsid w:val="434902A0"/>
    <w:rsid w:val="43B600AD"/>
    <w:rsid w:val="44116024"/>
    <w:rsid w:val="4446233C"/>
    <w:rsid w:val="444A4106"/>
    <w:rsid w:val="45A91659"/>
    <w:rsid w:val="460F757E"/>
    <w:rsid w:val="462D6C1B"/>
    <w:rsid w:val="464553D9"/>
    <w:rsid w:val="464E783B"/>
    <w:rsid w:val="46B05D19"/>
    <w:rsid w:val="46F12854"/>
    <w:rsid w:val="46F336A8"/>
    <w:rsid w:val="473E7AE9"/>
    <w:rsid w:val="478916C5"/>
    <w:rsid w:val="47AC5A0E"/>
    <w:rsid w:val="47DE7B5D"/>
    <w:rsid w:val="48027576"/>
    <w:rsid w:val="480E4336"/>
    <w:rsid w:val="48197D55"/>
    <w:rsid w:val="482963CC"/>
    <w:rsid w:val="48567BBA"/>
    <w:rsid w:val="48C651E6"/>
    <w:rsid w:val="48D868DF"/>
    <w:rsid w:val="4911763B"/>
    <w:rsid w:val="493C4382"/>
    <w:rsid w:val="496156B3"/>
    <w:rsid w:val="4982662C"/>
    <w:rsid w:val="499C726F"/>
    <w:rsid w:val="49A800A8"/>
    <w:rsid w:val="49CC4E4A"/>
    <w:rsid w:val="49D36A6F"/>
    <w:rsid w:val="49DD6E6B"/>
    <w:rsid w:val="49F81268"/>
    <w:rsid w:val="4A5C02CB"/>
    <w:rsid w:val="4AB91025"/>
    <w:rsid w:val="4B3A65C3"/>
    <w:rsid w:val="4B4E12A3"/>
    <w:rsid w:val="4C1415C9"/>
    <w:rsid w:val="4C3C52A0"/>
    <w:rsid w:val="4CC2216C"/>
    <w:rsid w:val="4D29482B"/>
    <w:rsid w:val="4D5E0195"/>
    <w:rsid w:val="4DA8622E"/>
    <w:rsid w:val="4DDB2F6B"/>
    <w:rsid w:val="4E716E93"/>
    <w:rsid w:val="4EAA1EE0"/>
    <w:rsid w:val="4F556B17"/>
    <w:rsid w:val="50290A0F"/>
    <w:rsid w:val="503E0E60"/>
    <w:rsid w:val="50716043"/>
    <w:rsid w:val="50C647C0"/>
    <w:rsid w:val="50F42B5F"/>
    <w:rsid w:val="513244C6"/>
    <w:rsid w:val="5157600F"/>
    <w:rsid w:val="515F165B"/>
    <w:rsid w:val="52176C0D"/>
    <w:rsid w:val="521B2258"/>
    <w:rsid w:val="529C0FD7"/>
    <w:rsid w:val="52D229F0"/>
    <w:rsid w:val="52E07598"/>
    <w:rsid w:val="531342F1"/>
    <w:rsid w:val="53165761"/>
    <w:rsid w:val="531A63DD"/>
    <w:rsid w:val="534C7C93"/>
    <w:rsid w:val="53A91B0A"/>
    <w:rsid w:val="53B447E3"/>
    <w:rsid w:val="53F57A7C"/>
    <w:rsid w:val="5414351A"/>
    <w:rsid w:val="54197E99"/>
    <w:rsid w:val="544016A4"/>
    <w:rsid w:val="54604C7D"/>
    <w:rsid w:val="5483286F"/>
    <w:rsid w:val="549C2042"/>
    <w:rsid w:val="549F5861"/>
    <w:rsid w:val="54EA154E"/>
    <w:rsid w:val="552F5A0A"/>
    <w:rsid w:val="555925CB"/>
    <w:rsid w:val="555E131C"/>
    <w:rsid w:val="555E7EC9"/>
    <w:rsid w:val="557A4846"/>
    <w:rsid w:val="55835CD9"/>
    <w:rsid w:val="55A92401"/>
    <w:rsid w:val="55CD5C05"/>
    <w:rsid w:val="55CF10F9"/>
    <w:rsid w:val="55E465DD"/>
    <w:rsid w:val="5622235F"/>
    <w:rsid w:val="56F94885"/>
    <w:rsid w:val="57225D22"/>
    <w:rsid w:val="57434EB8"/>
    <w:rsid w:val="5870380D"/>
    <w:rsid w:val="58BA2F3F"/>
    <w:rsid w:val="59335B42"/>
    <w:rsid w:val="594C23E9"/>
    <w:rsid w:val="5967213C"/>
    <w:rsid w:val="59A820C6"/>
    <w:rsid w:val="59C1539E"/>
    <w:rsid w:val="59DB3E06"/>
    <w:rsid w:val="59F2261A"/>
    <w:rsid w:val="5AE4556F"/>
    <w:rsid w:val="5AEA1C2E"/>
    <w:rsid w:val="5AFB2832"/>
    <w:rsid w:val="5B060359"/>
    <w:rsid w:val="5B2C66AB"/>
    <w:rsid w:val="5B9B4FF1"/>
    <w:rsid w:val="5BAA6E73"/>
    <w:rsid w:val="5BB75528"/>
    <w:rsid w:val="5BFE5405"/>
    <w:rsid w:val="5C7F2933"/>
    <w:rsid w:val="5C8C1C39"/>
    <w:rsid w:val="5CA37385"/>
    <w:rsid w:val="5D5C131E"/>
    <w:rsid w:val="5D834128"/>
    <w:rsid w:val="5DC66198"/>
    <w:rsid w:val="5E0A57D7"/>
    <w:rsid w:val="5E3B0611"/>
    <w:rsid w:val="5E4567B6"/>
    <w:rsid w:val="5E5341F0"/>
    <w:rsid w:val="5E845908"/>
    <w:rsid w:val="5E8A56FD"/>
    <w:rsid w:val="5EB500DD"/>
    <w:rsid w:val="5EB65AE3"/>
    <w:rsid w:val="5F026119"/>
    <w:rsid w:val="5F060EBB"/>
    <w:rsid w:val="5F4D7619"/>
    <w:rsid w:val="5F574DB8"/>
    <w:rsid w:val="5F5937B5"/>
    <w:rsid w:val="609A667C"/>
    <w:rsid w:val="60A206C0"/>
    <w:rsid w:val="60B0308E"/>
    <w:rsid w:val="60EC4890"/>
    <w:rsid w:val="614D2BB5"/>
    <w:rsid w:val="618D5C6B"/>
    <w:rsid w:val="61D61F3C"/>
    <w:rsid w:val="61F80635"/>
    <w:rsid w:val="623612A1"/>
    <w:rsid w:val="62364CF5"/>
    <w:rsid w:val="629249E2"/>
    <w:rsid w:val="637A5353"/>
    <w:rsid w:val="647C54E3"/>
    <w:rsid w:val="64A37553"/>
    <w:rsid w:val="64D23CFE"/>
    <w:rsid w:val="651D3ACA"/>
    <w:rsid w:val="65B913E7"/>
    <w:rsid w:val="65CD384B"/>
    <w:rsid w:val="65E25712"/>
    <w:rsid w:val="65F9319B"/>
    <w:rsid w:val="660065E3"/>
    <w:rsid w:val="66031C41"/>
    <w:rsid w:val="662369C9"/>
    <w:rsid w:val="663C0421"/>
    <w:rsid w:val="663F15CE"/>
    <w:rsid w:val="66457FCD"/>
    <w:rsid w:val="67243570"/>
    <w:rsid w:val="6728083A"/>
    <w:rsid w:val="672C6851"/>
    <w:rsid w:val="6795761D"/>
    <w:rsid w:val="681A6810"/>
    <w:rsid w:val="682E257A"/>
    <w:rsid w:val="68573C08"/>
    <w:rsid w:val="68A240DF"/>
    <w:rsid w:val="68F47BF7"/>
    <w:rsid w:val="68FE7928"/>
    <w:rsid w:val="699A59FC"/>
    <w:rsid w:val="6A072332"/>
    <w:rsid w:val="6A077D43"/>
    <w:rsid w:val="6A0C1AA2"/>
    <w:rsid w:val="6A266C5C"/>
    <w:rsid w:val="6A336057"/>
    <w:rsid w:val="6A401C7B"/>
    <w:rsid w:val="6A443CD9"/>
    <w:rsid w:val="6AAE7116"/>
    <w:rsid w:val="6BAE18B0"/>
    <w:rsid w:val="6BF33F5B"/>
    <w:rsid w:val="6C2C4C83"/>
    <w:rsid w:val="6C587129"/>
    <w:rsid w:val="6D404BA8"/>
    <w:rsid w:val="6D73789E"/>
    <w:rsid w:val="6DA1107A"/>
    <w:rsid w:val="6DD65992"/>
    <w:rsid w:val="6DE45640"/>
    <w:rsid w:val="6DE73CDD"/>
    <w:rsid w:val="6E1814A6"/>
    <w:rsid w:val="6E3A38F3"/>
    <w:rsid w:val="6E573394"/>
    <w:rsid w:val="6EA95512"/>
    <w:rsid w:val="6ED93AA3"/>
    <w:rsid w:val="6F011CC7"/>
    <w:rsid w:val="6F141745"/>
    <w:rsid w:val="6F2135B9"/>
    <w:rsid w:val="700F248B"/>
    <w:rsid w:val="701C1351"/>
    <w:rsid w:val="70270BF5"/>
    <w:rsid w:val="70273C3A"/>
    <w:rsid w:val="707539AD"/>
    <w:rsid w:val="70960DFB"/>
    <w:rsid w:val="70C426AE"/>
    <w:rsid w:val="70E502E8"/>
    <w:rsid w:val="710B1931"/>
    <w:rsid w:val="7156451C"/>
    <w:rsid w:val="71AC5B4C"/>
    <w:rsid w:val="71B82D06"/>
    <w:rsid w:val="721169B3"/>
    <w:rsid w:val="72124434"/>
    <w:rsid w:val="723E4E4F"/>
    <w:rsid w:val="72F44A27"/>
    <w:rsid w:val="73033F5A"/>
    <w:rsid w:val="738B271B"/>
    <w:rsid w:val="73D46CB4"/>
    <w:rsid w:val="73D71451"/>
    <w:rsid w:val="7410466E"/>
    <w:rsid w:val="74104F53"/>
    <w:rsid w:val="746232DB"/>
    <w:rsid w:val="74CE7B18"/>
    <w:rsid w:val="74D63BBF"/>
    <w:rsid w:val="74F457F1"/>
    <w:rsid w:val="74F8544F"/>
    <w:rsid w:val="750B05EF"/>
    <w:rsid w:val="759A6034"/>
    <w:rsid w:val="75A632A4"/>
    <w:rsid w:val="75A83AFD"/>
    <w:rsid w:val="75DF1923"/>
    <w:rsid w:val="75EA6029"/>
    <w:rsid w:val="76EE1CCF"/>
    <w:rsid w:val="77935DDC"/>
    <w:rsid w:val="77CA2A48"/>
    <w:rsid w:val="77DF4F5D"/>
    <w:rsid w:val="78024BAC"/>
    <w:rsid w:val="78192717"/>
    <w:rsid w:val="7843265A"/>
    <w:rsid w:val="786106CA"/>
    <w:rsid w:val="78C837FD"/>
    <w:rsid w:val="78D93E53"/>
    <w:rsid w:val="78DC157F"/>
    <w:rsid w:val="79652624"/>
    <w:rsid w:val="798D6205"/>
    <w:rsid w:val="79A5003A"/>
    <w:rsid w:val="7A294D85"/>
    <w:rsid w:val="7A9A1DAD"/>
    <w:rsid w:val="7AB362CC"/>
    <w:rsid w:val="7B32448A"/>
    <w:rsid w:val="7B8557C4"/>
    <w:rsid w:val="7C096DF1"/>
    <w:rsid w:val="7CA8740A"/>
    <w:rsid w:val="7CF04147"/>
    <w:rsid w:val="7D3431E5"/>
    <w:rsid w:val="7D6F2271"/>
    <w:rsid w:val="7D974D3C"/>
    <w:rsid w:val="7DBF6A8F"/>
    <w:rsid w:val="7E531884"/>
    <w:rsid w:val="7E610FE3"/>
    <w:rsid w:val="7EAA65BE"/>
    <w:rsid w:val="7F0B1F34"/>
    <w:rsid w:val="7F9E155B"/>
    <w:rsid w:val="7FE43E0D"/>
    <w:rsid w:val="7FE8461C"/>
    <w:rsid w:val="7FF14D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ind w:firstLine="420" w:firstLineChars="200"/>
      <w:jc w:val="both"/>
      <w:textAlignment w:val="baseline"/>
    </w:pPr>
    <w:rPr>
      <w:rFonts w:ascii="Times New Roman" w:hAnsi="Times New Roman" w:eastAsia="宋体" w:cs="Arial"/>
      <w:snapToGrid w:val="0"/>
      <w:color w:val="000000"/>
      <w:kern w:val="0"/>
      <w:sz w:val="24"/>
      <w:szCs w:val="21"/>
      <w:lang w:val="en-US" w:eastAsia="en-US" w:bidi="ar-SA"/>
    </w:rPr>
  </w:style>
  <w:style w:type="paragraph" w:styleId="2">
    <w:name w:val="heading 1"/>
    <w:basedOn w:val="1"/>
    <w:next w:val="1"/>
    <w:link w:val="33"/>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link w:val="26"/>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link w:val="27"/>
    <w:semiHidden/>
    <w:unhideWhenUsed/>
    <w:qFormat/>
    <w:uiPriority w:val="0"/>
    <w:pPr>
      <w:tabs>
        <w:tab w:val="left" w:pos="312"/>
      </w:tabs>
      <w:ind w:firstLine="0" w:firstLineChars="0"/>
      <w:jc w:val="left"/>
      <w:outlineLvl w:val="2"/>
    </w:pPr>
    <w:rPr>
      <w:rFonts w:ascii="Times New Roman" w:hAnsi="Times New Roman" w:eastAsia="黑体"/>
      <w:sz w:val="24"/>
      <w:szCs w:val="30"/>
    </w:rPr>
  </w:style>
  <w:style w:type="paragraph" w:styleId="5">
    <w:name w:val="heading 4"/>
    <w:basedOn w:val="1"/>
    <w:next w:val="6"/>
    <w:link w:val="47"/>
    <w:semiHidden/>
    <w:unhideWhenUsed/>
    <w:qFormat/>
    <w:uiPriority w:val="0"/>
    <w:pPr>
      <w:keepNext/>
      <w:keepLines/>
      <w:numPr>
        <w:ilvl w:val="3"/>
        <w:numId w:val="1"/>
      </w:numPr>
      <w:spacing w:before="10" w:beforeLines="0" w:beforeAutospacing="0" w:after="10" w:afterLines="0" w:afterAutospacing="0" w:line="360" w:lineRule="auto"/>
      <w:ind w:left="864" w:leftChars="0" w:hanging="864" w:firstLineChars="0"/>
      <w:jc w:val="left"/>
      <w:outlineLvl w:val="3"/>
    </w:pPr>
    <w:rPr>
      <w:rFonts w:ascii="Arial" w:hAnsi="Arial" w:eastAsia="黑体" w:cs="Times New Roman"/>
    </w:rPr>
  </w:style>
  <w:style w:type="paragraph" w:styleId="7">
    <w:name w:val="heading 5"/>
    <w:next w:val="6"/>
    <w:semiHidden/>
    <w:unhideWhenUsed/>
    <w:qFormat/>
    <w:uiPriority w:val="0"/>
    <w:pPr>
      <w:numPr>
        <w:ilvl w:val="4"/>
        <w:numId w:val="1"/>
      </w:numPr>
      <w:tabs>
        <w:tab w:val="left" w:pos="312"/>
      </w:tabs>
      <w:spacing w:line="360" w:lineRule="auto"/>
      <w:ind w:left="1008" w:hanging="1008"/>
      <w:outlineLvl w:val="4"/>
    </w:pPr>
    <w:rPr>
      <w:rFonts w:ascii="Arial" w:hAnsi="Arial" w:eastAsia="宋体" w:cstheme="minorBidi"/>
      <w:sz w:val="28"/>
      <w:szCs w:val="22"/>
      <w:lang w:val="en-US" w:eastAsia="zh-CN" w:bidi="ar-SA"/>
    </w:rPr>
  </w:style>
  <w:style w:type="paragraph" w:styleId="8">
    <w:name w:val="heading 6"/>
    <w:basedOn w:val="1"/>
    <w:next w:val="1"/>
    <w:semiHidden/>
    <w:unhideWhenUsed/>
    <w:qFormat/>
    <w:uiPriority w:val="0"/>
    <w:pPr>
      <w:keepNext/>
      <w:keepLines/>
      <w:numPr>
        <w:ilvl w:val="5"/>
        <w:numId w:val="1"/>
      </w:numPr>
      <w:tabs>
        <w:tab w:val="left" w:pos="0"/>
      </w:tabs>
      <w:spacing w:before="240" w:beforeLines="0" w:beforeAutospacing="0" w:after="64" w:afterLines="0" w:afterAutospacing="0" w:line="317" w:lineRule="auto"/>
      <w:ind w:left="1151" w:hanging="1151" w:firstLineChars="0"/>
      <w:outlineLvl w:val="5"/>
    </w:pPr>
    <w:rPr>
      <w:rFonts w:ascii="Arial" w:hAnsi="Arial" w:eastAsia="黑体"/>
      <w:b/>
      <w:sz w:val="24"/>
    </w:rPr>
  </w:style>
  <w:style w:type="paragraph" w:styleId="9">
    <w:name w:val="heading 7"/>
    <w:basedOn w:val="1"/>
    <w:next w:val="1"/>
    <w:semiHidden/>
    <w:unhideWhenUsed/>
    <w:qFormat/>
    <w:uiPriority w:val="0"/>
    <w:pPr>
      <w:keepNext/>
      <w:keepLines/>
      <w:numPr>
        <w:ilvl w:val="6"/>
        <w:numId w:val="1"/>
      </w:numPr>
      <w:tabs>
        <w:tab w:val="left" w:pos="0"/>
      </w:tabs>
      <w:spacing w:before="240" w:beforeLines="0" w:beforeAutospacing="0" w:after="64" w:afterLines="0" w:afterAutospacing="0" w:line="317" w:lineRule="auto"/>
      <w:ind w:left="1296" w:hanging="1296" w:firstLineChars="0"/>
      <w:outlineLvl w:val="6"/>
    </w:pPr>
    <w:rPr>
      <w:b/>
      <w:sz w:val="24"/>
    </w:rPr>
  </w:style>
  <w:style w:type="paragraph" w:styleId="10">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firstLineChars="0"/>
      <w:outlineLvl w:val="7"/>
    </w:pPr>
    <w:rPr>
      <w:rFonts w:ascii="Arial" w:hAnsi="Arial" w:eastAsia="黑体"/>
      <w:sz w:val="24"/>
    </w:rPr>
  </w:style>
  <w:style w:type="paragraph" w:styleId="11">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firstLineChars="0"/>
      <w:outlineLvl w:val="8"/>
    </w:pPr>
    <w:rPr>
      <w:rFonts w:ascii="Arial" w:hAnsi="Arial" w:eastAsia="黑体"/>
      <w:sz w:val="21"/>
    </w:rPr>
  </w:style>
  <w:style w:type="character" w:default="1" w:styleId="25">
    <w:name w:val="Default Paragraph Font"/>
    <w:semiHidden/>
    <w:qFormat/>
    <w:uiPriority w:val="0"/>
  </w:style>
  <w:style w:type="table" w:default="1" w:styleId="24">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0"/>
    <w:pPr>
      <w:ind w:firstLine="0" w:firstLineChars="0"/>
    </w:pPr>
    <w:rPr>
      <w:rFonts w:ascii="宋体" w:hAnsi="宋体" w:cs="宋体"/>
      <w:sz w:val="31"/>
      <w:szCs w:val="31"/>
    </w:rPr>
  </w:style>
  <w:style w:type="paragraph" w:styleId="12">
    <w:name w:val="Normal Indent"/>
    <w:basedOn w:val="1"/>
    <w:qFormat/>
    <w:uiPriority w:val="0"/>
    <w:pPr>
      <w:ind w:firstLine="420" w:firstLineChars="200"/>
    </w:pPr>
  </w:style>
  <w:style w:type="paragraph" w:styleId="13">
    <w:name w:val="caption"/>
    <w:basedOn w:val="1"/>
    <w:next w:val="1"/>
    <w:semiHidden/>
    <w:unhideWhenUsed/>
    <w:qFormat/>
    <w:uiPriority w:val="0"/>
    <w:pPr>
      <w:ind w:firstLine="0" w:firstLineChars="0"/>
      <w:jc w:val="center"/>
    </w:pPr>
    <w:rPr>
      <w:sz w:val="21"/>
      <w:szCs w:val="20"/>
    </w:rPr>
  </w:style>
  <w:style w:type="paragraph" w:styleId="14">
    <w:name w:val="toa heading"/>
    <w:basedOn w:val="1"/>
    <w:next w:val="1"/>
    <w:qFormat/>
    <w:uiPriority w:val="0"/>
    <w:pPr>
      <w:spacing w:before="120" w:beforeLines="0" w:beforeAutospacing="0"/>
    </w:pPr>
    <w:rPr>
      <w:rFonts w:ascii="Arial" w:hAnsi="Arial"/>
      <w:sz w:val="24"/>
    </w:rPr>
  </w:style>
  <w:style w:type="paragraph" w:styleId="15">
    <w:name w:val="Body Text Indent"/>
    <w:basedOn w:val="1"/>
    <w:qFormat/>
    <w:uiPriority w:val="0"/>
    <w:pPr>
      <w:spacing w:after="120" w:afterLines="0" w:afterAutospacing="0"/>
      <w:ind w:left="420" w:leftChars="200"/>
    </w:pPr>
  </w:style>
  <w:style w:type="paragraph" w:styleId="16">
    <w:name w:val="toc 3"/>
    <w:basedOn w:val="1"/>
    <w:next w:val="1"/>
    <w:qFormat/>
    <w:uiPriority w:val="0"/>
    <w:pPr>
      <w:ind w:left="840" w:leftChars="400" w:firstLine="0" w:firstLineChars="0"/>
    </w:pPr>
    <w:rPr>
      <w:rFonts w:ascii="等线" w:hAnsi="等线" w:eastAsia="宋体" w:cs="宋体"/>
      <w:sz w:val="28"/>
      <w:szCs w:val="22"/>
    </w:rPr>
  </w:style>
  <w:style w:type="paragraph" w:styleId="17">
    <w:name w:val="footer"/>
    <w:basedOn w:val="1"/>
    <w:link w:val="52"/>
    <w:qFormat/>
    <w:uiPriority w:val="0"/>
    <w:pPr>
      <w:tabs>
        <w:tab w:val="center" w:pos="4153"/>
        <w:tab w:val="right" w:pos="8306"/>
      </w:tabs>
      <w:snapToGrid w:val="0"/>
      <w:ind w:left="400" w:hanging="400" w:hangingChars="200"/>
      <w:jc w:val="left"/>
    </w:pPr>
    <w:rPr>
      <w:rFonts w:ascii="Times New Roman" w:hAnsi="Times New Roman" w:eastAsia="宋体"/>
      <w:sz w:val="18"/>
    </w:rPr>
  </w:style>
  <w:style w:type="paragraph" w:styleId="18">
    <w:name w:val="header"/>
    <w:basedOn w:val="1"/>
    <w:qFormat/>
    <w:uiPriority w:val="0"/>
    <w:pPr>
      <w:pBdr>
        <w:bottom w:val="thinThickSmallGap" w:color="auto" w:sz="18" w:space="1"/>
      </w:pBdr>
      <w:tabs>
        <w:tab w:val="center" w:pos="4153"/>
        <w:tab w:val="right" w:pos="8306"/>
      </w:tabs>
      <w:snapToGrid w:val="0"/>
      <w:ind w:firstLine="0" w:firstLineChars="0"/>
      <w:jc w:val="center"/>
    </w:pPr>
    <w:rPr>
      <w:sz w:val="18"/>
      <w:szCs w:val="18"/>
    </w:rPr>
  </w:style>
  <w:style w:type="paragraph" w:styleId="19">
    <w:name w:val="toc 1"/>
    <w:basedOn w:val="1"/>
    <w:next w:val="1"/>
    <w:qFormat/>
    <w:uiPriority w:val="0"/>
    <w:pPr>
      <w:ind w:firstLine="0" w:firstLineChars="0"/>
      <w:jc w:val="center"/>
    </w:pPr>
    <w:rPr>
      <w:rFonts w:ascii="等线" w:hAnsi="等线" w:eastAsia="宋体" w:cs="宋体"/>
      <w:sz w:val="30"/>
      <w:szCs w:val="22"/>
    </w:rPr>
  </w:style>
  <w:style w:type="paragraph" w:styleId="20">
    <w:name w:val="toc 2"/>
    <w:basedOn w:val="1"/>
    <w:next w:val="1"/>
    <w:qFormat/>
    <w:uiPriority w:val="0"/>
    <w:pPr>
      <w:ind w:left="420" w:leftChars="200" w:firstLine="0" w:firstLineChars="0"/>
    </w:pPr>
    <w:rPr>
      <w:rFonts w:ascii="等线" w:hAnsi="等线" w:eastAsia="宋体" w:cs="宋体"/>
      <w:sz w:val="28"/>
      <w:szCs w:val="22"/>
    </w:rPr>
  </w:style>
  <w:style w:type="paragraph" w:styleId="21">
    <w:name w:val="Normal (Web)"/>
    <w:basedOn w:val="1"/>
    <w:qFormat/>
    <w:uiPriority w:val="0"/>
    <w:rPr>
      <w:sz w:val="24"/>
    </w:rPr>
  </w:style>
  <w:style w:type="paragraph" w:styleId="22">
    <w:name w:val="Title"/>
    <w:basedOn w:val="1"/>
    <w:next w:val="1"/>
    <w:link w:val="53"/>
    <w:qFormat/>
    <w:uiPriority w:val="0"/>
    <w:pPr>
      <w:pageBreakBefore/>
      <w:spacing w:line="578" w:lineRule="auto"/>
      <w:ind w:firstLine="0" w:firstLineChars="0"/>
      <w:jc w:val="center"/>
      <w:outlineLvl w:val="0"/>
    </w:pPr>
    <w:rPr>
      <w:rFonts w:ascii="等线 Light" w:hAnsi="等线 Light" w:eastAsia="宋体"/>
      <w:b/>
      <w:bCs/>
      <w:sz w:val="32"/>
      <w:szCs w:val="32"/>
    </w:rPr>
  </w:style>
  <w:style w:type="paragraph" w:styleId="23">
    <w:name w:val="Body Text First Indent 2"/>
    <w:basedOn w:val="15"/>
    <w:qFormat/>
    <w:uiPriority w:val="0"/>
    <w:pPr>
      <w:ind w:firstLine="420" w:firstLineChars="200"/>
    </w:pPr>
  </w:style>
  <w:style w:type="character" w:customStyle="1" w:styleId="26">
    <w:name w:val="标题 2 Char"/>
    <w:link w:val="3"/>
    <w:qFormat/>
    <w:uiPriority w:val="0"/>
    <w:rPr>
      <w:rFonts w:ascii="Times New Roman" w:hAnsi="Times New Roman" w:eastAsia="宋体" w:cs="宋体"/>
      <w:kern w:val="2"/>
      <w:sz w:val="28"/>
      <w:szCs w:val="22"/>
      <w:lang w:val="en-US" w:eastAsia="zh-CN" w:bidi="ar-SA"/>
    </w:rPr>
  </w:style>
  <w:style w:type="character" w:customStyle="1" w:styleId="27">
    <w:name w:val="标题 3 Char"/>
    <w:link w:val="4"/>
    <w:qFormat/>
    <w:uiPriority w:val="0"/>
    <w:rPr>
      <w:rFonts w:ascii="Times New Roman" w:hAnsi="Times New Roman" w:eastAsia="宋体" w:cs="宋体"/>
      <w:sz w:val="28"/>
    </w:rPr>
  </w:style>
  <w:style w:type="paragraph" w:customStyle="1" w:styleId="28">
    <w:name w:val="样式1"/>
    <w:basedOn w:val="1"/>
    <w:qFormat/>
    <w:uiPriority w:val="0"/>
    <w:pPr>
      <w:widowControl/>
      <w:ind w:firstLine="0" w:firstLineChars="0"/>
      <w:jc w:val="center"/>
      <w:textAlignment w:val="center"/>
    </w:pPr>
    <w:rPr>
      <w:rFonts w:hint="eastAsia" w:ascii="宋体" w:hAnsi="宋体" w:eastAsia="宋体" w:cs="宋体"/>
      <w:color w:val="000000"/>
      <w:kern w:val="0"/>
      <w:sz w:val="20"/>
      <w:szCs w:val="20"/>
      <w:u w:val="none"/>
      <w:lang w:bidi="ar"/>
    </w:rPr>
  </w:style>
  <w:style w:type="paragraph" w:customStyle="1" w:styleId="29">
    <w:name w:val="样式2"/>
    <w:basedOn w:val="1"/>
    <w:qFormat/>
    <w:uiPriority w:val="0"/>
    <w:pPr>
      <w:widowControl/>
      <w:spacing w:line="440" w:lineRule="exact"/>
      <w:ind w:firstLine="0" w:firstLineChars="0"/>
      <w:jc w:val="left"/>
      <w:textAlignment w:val="center"/>
    </w:pPr>
    <w:rPr>
      <w:rFonts w:hint="eastAsia" w:ascii="宋体" w:hAnsi="宋体" w:eastAsia="宋体" w:cs="宋体"/>
      <w:b/>
      <w:bCs/>
      <w:color w:val="000000"/>
      <w:kern w:val="0"/>
      <w:sz w:val="18"/>
      <w:szCs w:val="18"/>
      <w:u w:val="none"/>
      <w:lang w:eastAsia="zh-CN" w:bidi="ar"/>
    </w:rPr>
  </w:style>
  <w:style w:type="paragraph" w:customStyle="1" w:styleId="30">
    <w:name w:val="样式3"/>
    <w:basedOn w:val="1"/>
    <w:qFormat/>
    <w:uiPriority w:val="0"/>
    <w:pPr>
      <w:ind w:firstLine="0" w:firstLineChars="0"/>
    </w:pPr>
    <w:rPr>
      <w:rFonts w:hint="eastAsia"/>
      <w:lang w:val="zh-CN"/>
    </w:rPr>
  </w:style>
  <w:style w:type="paragraph" w:customStyle="1" w:styleId="31">
    <w:name w:val="样式4"/>
    <w:basedOn w:val="1"/>
    <w:qFormat/>
    <w:uiPriority w:val="0"/>
    <w:pPr>
      <w:widowControl/>
      <w:spacing w:line="240" w:lineRule="auto"/>
      <w:ind w:firstLine="0" w:firstLineChars="0"/>
      <w:jc w:val="center"/>
      <w:textAlignment w:val="center"/>
    </w:pPr>
    <w:rPr>
      <w:rFonts w:hint="eastAsia" w:ascii="宋体" w:hAnsi="宋体" w:eastAsia="宋体" w:cs="宋体"/>
      <w:color w:val="000000"/>
      <w:kern w:val="0"/>
      <w:sz w:val="18"/>
      <w:szCs w:val="18"/>
      <w:u w:val="none"/>
      <w:lang w:bidi="ar"/>
    </w:rPr>
  </w:style>
  <w:style w:type="paragraph" w:customStyle="1" w:styleId="32">
    <w:name w:val="图序"/>
    <w:basedOn w:val="1"/>
    <w:qFormat/>
    <w:uiPriority w:val="0"/>
    <w:pPr>
      <w:spacing w:line="240" w:lineRule="auto"/>
      <w:jc w:val="center"/>
    </w:pPr>
    <w:rPr>
      <w:rFonts w:hint="default" w:ascii="Times New Roman" w:hAnsi="Times New Roman" w:eastAsia="黑体" w:cs="Times New Roman"/>
      <w:sz w:val="21"/>
    </w:rPr>
  </w:style>
  <w:style w:type="character" w:customStyle="1" w:styleId="33">
    <w:name w:val="标题 1 Char"/>
    <w:link w:val="2"/>
    <w:qFormat/>
    <w:uiPriority w:val="0"/>
    <w:rPr>
      <w:rFonts w:ascii="Times New Roman" w:hAnsi="Times New Roman" w:eastAsia="宋体" w:cs="宋体"/>
      <w:b/>
      <w:snapToGrid w:val="0"/>
      <w:color w:val="000000"/>
      <w:kern w:val="44"/>
      <w:sz w:val="36"/>
      <w:szCs w:val="21"/>
      <w:lang w:eastAsia="en-US"/>
    </w:rPr>
  </w:style>
  <w:style w:type="paragraph" w:customStyle="1" w:styleId="34">
    <w:name w:val="目录"/>
    <w:basedOn w:val="1"/>
    <w:next w:val="1"/>
    <w:link w:val="35"/>
    <w:qFormat/>
    <w:uiPriority w:val="0"/>
    <w:pPr>
      <w:keepNext/>
      <w:keepLines/>
      <w:spacing w:line="360" w:lineRule="auto"/>
      <w:ind w:firstLine="0" w:firstLineChars="0"/>
      <w:jc w:val="center"/>
      <w:outlineLvl w:val="0"/>
    </w:pPr>
    <w:rPr>
      <w:rFonts w:ascii="Times New Roman" w:hAnsi="Times New Roman" w:eastAsia="宋体"/>
      <w:b/>
      <w:bCs/>
      <w:sz w:val="36"/>
      <w:szCs w:val="44"/>
    </w:rPr>
  </w:style>
  <w:style w:type="character" w:customStyle="1" w:styleId="35">
    <w:name w:val="目录 Char"/>
    <w:link w:val="34"/>
    <w:qFormat/>
    <w:uiPriority w:val="0"/>
    <w:rPr>
      <w:rFonts w:ascii="Times New Roman" w:hAnsi="Times New Roman" w:eastAsia="宋体"/>
      <w:b/>
      <w:bCs/>
      <w:sz w:val="36"/>
      <w:szCs w:val="44"/>
    </w:rPr>
  </w:style>
  <w:style w:type="paragraph" w:customStyle="1" w:styleId="36">
    <w:name w:val="目录1"/>
    <w:basedOn w:val="14"/>
    <w:next w:val="34"/>
    <w:qFormat/>
    <w:uiPriority w:val="0"/>
    <w:pPr>
      <w:tabs>
        <w:tab w:val="right" w:leader="dot" w:pos="8336"/>
      </w:tabs>
      <w:autoSpaceDE/>
      <w:autoSpaceDN/>
      <w:spacing w:line="360" w:lineRule="auto"/>
    </w:pPr>
    <w:rPr>
      <w:rFonts w:ascii="Times New Roman" w:hAnsi="Times New Roman" w:eastAsia="宋体" w:cs="Times New Roman"/>
      <w:bCs/>
      <w:spacing w:val="4"/>
      <w:sz w:val="28"/>
      <w:szCs w:val="43"/>
    </w:rPr>
  </w:style>
  <w:style w:type="paragraph" w:customStyle="1" w:styleId="37">
    <w:name w:val="图序与图名"/>
    <w:basedOn w:val="1"/>
    <w:link w:val="58"/>
    <w:qFormat/>
    <w:uiPriority w:val="0"/>
    <w:pPr>
      <w:spacing w:before="100" w:beforeLines="100" w:line="240" w:lineRule="auto"/>
      <w:ind w:left="0" w:firstLine="0" w:firstLineChars="0"/>
      <w:jc w:val="center"/>
    </w:pPr>
    <w:rPr>
      <w:rFonts w:ascii="宋体" w:hAnsi="宋体" w:eastAsia="宋体" w:cs="宋体"/>
      <w:spacing w:val="-2"/>
      <w:sz w:val="21"/>
      <w:szCs w:val="20"/>
    </w:rPr>
  </w:style>
  <w:style w:type="paragraph" w:customStyle="1" w:styleId="38">
    <w:name w:val="样式7"/>
    <w:basedOn w:val="1"/>
    <w:qFormat/>
    <w:uiPriority w:val="0"/>
    <w:pPr>
      <w:ind w:firstLine="0" w:firstLineChars="0"/>
      <w:jc w:val="center"/>
    </w:pPr>
    <w:rPr>
      <w:rFonts w:hint="eastAsia" w:ascii="宋体" w:hAnsi="宋体" w:eastAsia="宋体"/>
      <w:szCs w:val="22"/>
    </w:rPr>
  </w:style>
  <w:style w:type="paragraph" w:customStyle="1" w:styleId="39">
    <w:name w:val="摘要目录"/>
    <w:basedOn w:val="1"/>
    <w:next w:val="1"/>
    <w:qFormat/>
    <w:uiPriority w:val="0"/>
    <w:pPr>
      <w:keepNext/>
      <w:keepLines/>
      <w:pageBreakBefore/>
      <w:spacing w:line="360" w:lineRule="auto"/>
      <w:ind w:left="0" w:leftChars="0" w:firstLine="482" w:firstLineChars="200"/>
      <w:jc w:val="both"/>
      <w:outlineLvl w:val="0"/>
    </w:pPr>
    <w:rPr>
      <w:rFonts w:ascii="Times New Roman" w:hAnsi="Times New Roman" w:eastAsia="宋体"/>
      <w:b/>
      <w:bCs/>
      <w:kern w:val="44"/>
      <w:szCs w:val="44"/>
    </w:rPr>
  </w:style>
  <w:style w:type="paragraph" w:customStyle="1" w:styleId="40">
    <w:name w:val="样式8"/>
    <w:basedOn w:val="1"/>
    <w:qFormat/>
    <w:uiPriority w:val="0"/>
    <w:pPr>
      <w:widowControl/>
      <w:ind w:firstLine="0" w:firstLineChars="0"/>
      <w:jc w:val="center"/>
      <w:textAlignment w:val="center"/>
    </w:pPr>
    <w:rPr>
      <w:rFonts w:hint="eastAsia" w:ascii="宋体" w:hAnsi="宋体" w:eastAsia="宋体" w:cs="宋体"/>
      <w:color w:val="000000"/>
      <w:kern w:val="0"/>
      <w:sz w:val="20"/>
      <w:szCs w:val="20"/>
      <w:u w:val="none"/>
      <w:lang w:bidi="ar"/>
    </w:rPr>
  </w:style>
  <w:style w:type="paragraph" w:customStyle="1" w:styleId="41">
    <w:name w:val="目录摘要"/>
    <w:basedOn w:val="1"/>
    <w:qFormat/>
    <w:uiPriority w:val="0"/>
    <w:pPr>
      <w:spacing w:line="360" w:lineRule="auto"/>
      <w:ind w:left="0" w:right="0" w:firstLine="420" w:firstLineChars="200"/>
      <w:jc w:val="both"/>
      <w:outlineLvl w:val="0"/>
    </w:pPr>
    <w:rPr>
      <w:rFonts w:hint="eastAsia" w:ascii="微软雅黑" w:hAnsi="微软雅黑" w:eastAsia="宋体" w:cs="微软雅黑"/>
      <w:b/>
      <w:bCs/>
      <w:snapToGrid w:val="0"/>
      <w:color w:val="000000"/>
      <w:spacing w:val="9"/>
      <w:kern w:val="0"/>
      <w:sz w:val="24"/>
      <w:szCs w:val="29"/>
    </w:rPr>
  </w:style>
  <w:style w:type="paragraph" w:customStyle="1" w:styleId="42">
    <w:name w:val="样式9"/>
    <w:basedOn w:val="1"/>
    <w:qFormat/>
    <w:uiPriority w:val="0"/>
    <w:pPr>
      <w:widowControl/>
      <w:ind w:firstLine="0" w:firstLineChars="0"/>
      <w:jc w:val="center"/>
      <w:textAlignment w:val="center"/>
    </w:pPr>
    <w:rPr>
      <w:rFonts w:hint="eastAsia" w:ascii="宋体" w:hAnsi="宋体" w:eastAsia="宋体" w:cs="宋体"/>
      <w:color w:val="000000"/>
      <w:kern w:val="0"/>
      <w:sz w:val="16"/>
      <w:szCs w:val="20"/>
      <w:u w:val="none"/>
      <w:lang w:eastAsia="zh-CN" w:bidi="ar"/>
    </w:rPr>
  </w:style>
  <w:style w:type="paragraph" w:customStyle="1" w:styleId="43">
    <w:name w:val="样式10"/>
    <w:basedOn w:val="1"/>
    <w:qFormat/>
    <w:uiPriority w:val="0"/>
    <w:pPr>
      <w:widowControl/>
      <w:spacing w:line="240" w:lineRule="auto"/>
      <w:ind w:firstLine="0" w:firstLineChars="0"/>
      <w:jc w:val="center"/>
      <w:textAlignment w:val="center"/>
    </w:pPr>
    <w:rPr>
      <w:rFonts w:hint="eastAsia" w:ascii="宋体" w:hAnsi="宋体" w:eastAsia="宋体" w:cs="宋体"/>
      <w:b/>
      <w:bCs/>
      <w:color w:val="000000"/>
      <w:kern w:val="0"/>
      <w:sz w:val="15"/>
      <w:szCs w:val="18"/>
      <w:u w:val="none"/>
      <w:lang w:eastAsia="zh-CN" w:bidi="ar"/>
    </w:rPr>
  </w:style>
  <w:style w:type="paragraph" w:customStyle="1" w:styleId="44">
    <w:name w:val="图题"/>
    <w:basedOn w:val="1"/>
    <w:qFormat/>
    <w:uiPriority w:val="0"/>
    <w:rPr>
      <w:rFonts w:hint="default" w:ascii="Times New Roman" w:hAnsi="Times New Roman" w:eastAsia="宋体"/>
      <w:sz w:val="21"/>
    </w:rPr>
  </w:style>
  <w:style w:type="paragraph" w:customStyle="1" w:styleId="45">
    <w:name w:val="参考文献"/>
    <w:basedOn w:val="1"/>
    <w:next w:val="1"/>
    <w:qFormat/>
    <w:uiPriority w:val="0"/>
    <w:pPr>
      <w:numPr>
        <w:ilvl w:val="0"/>
        <w:numId w:val="2"/>
      </w:numPr>
      <w:tabs>
        <w:tab w:val="left" w:pos="0"/>
      </w:tabs>
      <w:spacing w:before="50" w:beforeLines="50" w:after="50" w:afterLines="50" w:line="240" w:lineRule="auto"/>
      <w:ind w:left="425" w:hanging="425"/>
      <w:jc w:val="center"/>
      <w:outlineLvl w:val="0"/>
    </w:pPr>
    <w:rPr>
      <w:rFonts w:hint="eastAsia" w:ascii="宋体" w:hAnsi="宋体" w:cs="宋体"/>
      <w:b/>
      <w:snapToGrid w:val="0"/>
      <w:color w:val="000000"/>
      <w:kern w:val="44"/>
      <w:sz w:val="28"/>
      <w:szCs w:val="32"/>
      <w:lang w:eastAsia="en-US"/>
    </w:rPr>
  </w:style>
  <w:style w:type="paragraph" w:customStyle="1" w:styleId="46">
    <w:name w:val="参考文献正文"/>
    <w:basedOn w:val="1"/>
    <w:qFormat/>
    <w:uiPriority w:val="0"/>
    <w:pPr>
      <w:numPr>
        <w:ilvl w:val="0"/>
        <w:numId w:val="3"/>
      </w:numPr>
      <w:spacing w:before="50" w:beforeLines="50" w:after="50" w:afterLines="50"/>
    </w:pPr>
    <w:rPr>
      <w:rFonts w:hint="eastAsia"/>
    </w:rPr>
  </w:style>
  <w:style w:type="character" w:customStyle="1" w:styleId="47">
    <w:name w:val="标题 4 Char"/>
    <w:link w:val="5"/>
    <w:qFormat/>
    <w:uiPriority w:val="0"/>
    <w:rPr>
      <w:rFonts w:ascii="Arial" w:hAnsi="Arial" w:eastAsia="宋体" w:cs="Times New Roman"/>
      <w:snapToGrid/>
      <w:sz w:val="24"/>
      <w:szCs w:val="24"/>
      <w:lang w:val="en-US" w:eastAsia="zh-CN" w:bidi="ar-SA"/>
    </w:rPr>
  </w:style>
  <w:style w:type="paragraph" w:customStyle="1" w:styleId="48">
    <w:name w:val="Table Text"/>
    <w:basedOn w:val="1"/>
    <w:semiHidden/>
    <w:qFormat/>
    <w:uiPriority w:val="0"/>
    <w:pPr>
      <w:snapToGrid w:val="0"/>
      <w:spacing w:line="360" w:lineRule="auto"/>
    </w:pPr>
    <w:rPr>
      <w:rFonts w:ascii="等线" w:hAnsi="等线" w:eastAsia="宋体" w:cs="等线"/>
      <w:sz w:val="20"/>
      <w:szCs w:val="20"/>
      <w:lang w:eastAsia="en-US"/>
    </w:rPr>
  </w:style>
  <w:style w:type="paragraph" w:customStyle="1" w:styleId="49">
    <w:name w:val="目录111"/>
    <w:basedOn w:val="1"/>
    <w:qFormat/>
    <w:uiPriority w:val="0"/>
    <w:pPr>
      <w:spacing w:before="80" w:beforeLines="80" w:after="50" w:afterLines="50" w:line="240" w:lineRule="auto"/>
      <w:ind w:firstLine="0" w:firstLineChars="0"/>
      <w:jc w:val="center"/>
    </w:pPr>
    <w:rPr>
      <w:rFonts w:ascii="宋体" w:hAnsi="宋体"/>
      <w:sz w:val="36"/>
    </w:rPr>
  </w:style>
  <w:style w:type="paragraph" w:customStyle="1" w:styleId="50">
    <w:name w:val="一级标题"/>
    <w:basedOn w:val="1"/>
    <w:link w:val="51"/>
    <w:autoRedefine/>
    <w:qFormat/>
    <w:uiPriority w:val="0"/>
    <w:pPr>
      <w:keepNext/>
      <w:keepLines/>
      <w:pageBreakBefore/>
      <w:spacing w:line="360" w:lineRule="auto"/>
      <w:jc w:val="center"/>
      <w:outlineLvl w:val="0"/>
    </w:pPr>
    <w:rPr>
      <w:rFonts w:ascii="黑体" w:hAnsi="黑体" w:eastAsia="黑体" w:cs="Times New Roman"/>
      <w:b/>
      <w:bCs/>
      <w:kern w:val="32"/>
      <w:sz w:val="36"/>
      <w:szCs w:val="36"/>
    </w:rPr>
  </w:style>
  <w:style w:type="character" w:customStyle="1" w:styleId="51">
    <w:name w:val="一级标题 Char"/>
    <w:link w:val="50"/>
    <w:autoRedefine/>
    <w:qFormat/>
    <w:uiPriority w:val="0"/>
    <w:rPr>
      <w:rFonts w:ascii="黑体" w:hAnsi="黑体" w:eastAsia="黑体" w:cs="Times New Roman"/>
      <w:b/>
      <w:bCs/>
      <w:kern w:val="32"/>
      <w:sz w:val="36"/>
      <w:szCs w:val="36"/>
    </w:rPr>
  </w:style>
  <w:style w:type="character" w:customStyle="1" w:styleId="52">
    <w:name w:val="页脚 字符"/>
    <w:link w:val="17"/>
    <w:qFormat/>
    <w:uiPriority w:val="99"/>
    <w:rPr>
      <w:rFonts w:ascii="Times New Roman" w:hAnsi="Times New Roman" w:eastAsia="宋体"/>
      <w:sz w:val="18"/>
    </w:rPr>
  </w:style>
  <w:style w:type="character" w:customStyle="1" w:styleId="53">
    <w:name w:val="标题 Char"/>
    <w:link w:val="22"/>
    <w:qFormat/>
    <w:uiPriority w:val="0"/>
    <w:rPr>
      <w:rFonts w:ascii="等线 Light" w:hAnsi="等线 Light" w:eastAsia="宋体"/>
      <w:b/>
      <w:bCs/>
      <w:kern w:val="2"/>
      <w:sz w:val="32"/>
      <w:szCs w:val="32"/>
    </w:rPr>
  </w:style>
  <w:style w:type="paragraph" w:customStyle="1" w:styleId="54">
    <w:name w:val="题标"/>
    <w:basedOn w:val="1"/>
    <w:next w:val="1"/>
    <w:qFormat/>
    <w:uiPriority w:val="0"/>
    <w:pPr>
      <w:keepNext/>
      <w:keepLines/>
      <w:numPr>
        <w:ilvl w:val="0"/>
        <w:numId w:val="4"/>
      </w:numPr>
      <w:spacing w:line="360" w:lineRule="auto"/>
      <w:ind w:firstLine="0" w:firstLineChars="0"/>
      <w:jc w:val="center"/>
      <w:outlineLvl w:val="9"/>
    </w:pPr>
    <w:rPr>
      <w:rFonts w:ascii="Times New Roman" w:hAnsi="Times New Roman" w:eastAsia="宋体" w:cs="Times New Roman"/>
      <w:bCs/>
      <w:sz w:val="21"/>
      <w:szCs w:val="32"/>
    </w:rPr>
  </w:style>
  <w:style w:type="paragraph" w:customStyle="1" w:styleId="55">
    <w:name w:val="表格"/>
    <w:basedOn w:val="1"/>
    <w:qFormat/>
    <w:uiPriority w:val="0"/>
    <w:pPr>
      <w:spacing w:line="240" w:lineRule="auto"/>
      <w:ind w:firstLine="0" w:firstLineChars="0"/>
      <w:jc w:val="center"/>
    </w:pPr>
    <w:rPr>
      <w:rFonts w:ascii="Times New Roman" w:hAnsi="Times New Roman" w:cs="宋体"/>
      <w:sz w:val="21"/>
      <w:szCs w:val="21"/>
    </w:rPr>
  </w:style>
  <w:style w:type="paragraph" w:customStyle="1" w:styleId="56">
    <w:name w:val="目录 题目"/>
    <w:basedOn w:val="1"/>
    <w:qFormat/>
    <w:uiPriority w:val="99"/>
    <w:pPr>
      <w:spacing w:line="300" w:lineRule="auto"/>
      <w:ind w:firstLine="0" w:firstLineChars="0"/>
      <w:jc w:val="center"/>
    </w:pPr>
    <w:rPr>
      <w:rFonts w:ascii="等线" w:hAnsi="等线" w:eastAsia="黑体" w:cs="宋体"/>
      <w:b/>
      <w:sz w:val="32"/>
      <w:szCs w:val="22"/>
    </w:rPr>
  </w:style>
  <w:style w:type="paragraph" w:customStyle="1" w:styleId="57">
    <w:name w:val="样式11"/>
    <w:basedOn w:val="1"/>
    <w:qFormat/>
    <w:uiPriority w:val="0"/>
    <w:pPr>
      <w:widowControl/>
      <w:ind w:firstLine="0" w:firstLineChars="0"/>
      <w:jc w:val="center"/>
      <w:textAlignment w:val="center"/>
    </w:pPr>
    <w:rPr>
      <w:rFonts w:hint="eastAsia" w:ascii="宋体" w:hAnsi="宋体" w:eastAsia="宋体" w:cs="宋体"/>
      <w:b/>
      <w:bCs/>
      <w:color w:val="000000"/>
      <w:kern w:val="0"/>
      <w:sz w:val="18"/>
      <w:szCs w:val="18"/>
      <w:u w:val="none"/>
      <w:lang w:bidi="ar"/>
    </w:rPr>
  </w:style>
  <w:style w:type="character" w:customStyle="1" w:styleId="58">
    <w:name w:val="图序与图名 Char"/>
    <w:link w:val="37"/>
    <w:qFormat/>
    <w:uiPriority w:val="0"/>
    <w:rPr>
      <w:rFonts w:ascii="宋体" w:hAnsi="宋体" w:eastAsia="宋体" w:cs="宋体"/>
      <w:spacing w:val="-2"/>
      <w:sz w:val="21"/>
      <w:szCs w:val="20"/>
    </w:rPr>
  </w:style>
  <w:style w:type="paragraph" w:customStyle="1" w:styleId="59">
    <w:name w:val="样式12"/>
    <w:basedOn w:val="1"/>
    <w:qFormat/>
    <w:uiPriority w:val="0"/>
    <w:pPr>
      <w:widowControl/>
      <w:ind w:firstLine="0" w:firstLineChars="0"/>
      <w:textAlignment w:val="center"/>
    </w:pPr>
    <w:rPr>
      <w:rFonts w:hint="eastAsia" w:ascii="宋体" w:hAnsi="宋体" w:eastAsia="宋体" w:cs="宋体"/>
      <w:b/>
      <w:bCs/>
      <w:color w:val="000000"/>
      <w:kern w:val="0"/>
      <w:sz w:val="18"/>
      <w:szCs w:val="18"/>
      <w:u w:val="none"/>
      <w:lang w:bidi="ar"/>
    </w:rPr>
  </w:style>
  <w:style w:type="paragraph" w:customStyle="1" w:styleId="60">
    <w:name w:val="样式13"/>
    <w:basedOn w:val="1"/>
    <w:qFormat/>
    <w:uiPriority w:val="0"/>
    <w:pPr>
      <w:spacing w:line="240" w:lineRule="auto"/>
      <w:ind w:firstLine="0" w:firstLineChars="0"/>
      <w:outlineLvl w:val="0"/>
    </w:pPr>
    <w:rPr>
      <w:rFonts w:hint="eastAsia" w:ascii="宋体" w:hAnsi="宋体" w:eastAsia="宋体" w:cs="宋体"/>
      <w:snapToGrid w:val="0"/>
      <w:color w:val="000000"/>
      <w:spacing w:val="-3"/>
      <w:kern w:val="0"/>
      <w:sz w:val="20"/>
      <w:szCs w:val="24"/>
      <w:lang w:eastAsia="en-US"/>
    </w:rPr>
  </w:style>
  <w:style w:type="paragraph" w:customStyle="1" w:styleId="61">
    <w:name w:val="序号"/>
    <w:basedOn w:val="1"/>
    <w:qFormat/>
    <w:uiPriority w:val="0"/>
    <w:pPr>
      <w:spacing w:line="360" w:lineRule="auto"/>
      <w:ind w:left="0" w:firstLine="0" w:firstLineChars="0"/>
      <w:jc w:val="center"/>
      <w:outlineLvl w:val="9"/>
    </w:pPr>
    <w:rPr>
      <w:rFonts w:ascii="Times New Roman" w:hAnsi="Times New Roman" w:cs="宋体"/>
      <w:spacing w:val="1"/>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microsoft.com/office/2006/relationships/keyMapCustomizations" Target="customizations.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1191</Words>
  <Characters>1459</Characters>
  <Lines>0</Lines>
  <Paragraphs>0</Paragraphs>
  <TotalTime>231</TotalTime>
  <ScaleCrop>false</ScaleCrop>
  <LinksUpToDate>false</LinksUpToDate>
  <CharactersWithSpaces>1459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2025-02-07T08:36:00Z</dcterms:created>
  <dc:creator>Administrator</dc:creator>
  <cp:lastModifiedBy>懂懂</cp:lastModifiedBy>
  <dcterms:modified xsi:type="dcterms:W3CDTF">2026-04-28T03:36:02Z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3E8A5A5ADFEE4507829EEADA89057BF7_13</vt:lpwstr>
  </property>
  <property fmtid="{D5CDD505-2E9C-101B-9397-08002B2CF9AE}" pid="4" name="KSOTemplateDocerSaveRecord">
    <vt:lpwstr>eyJoZGlkIjoiYTk5M2VlNGFjMjM5YWExMzRjYmJmMzI4YTY3NDdhN2MiLCJ1c2VySWQiOiIxMDM2NjI3NDI0In0=</vt:lpwstr>
  </property>
</Properties>
</file>