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781DE">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60" w:afterAutospacing="0" w:line="320" w:lineRule="atLeast"/>
        <w:ind w:left="0" w:right="0" w:firstLine="0" w:firstLineChars="0"/>
        <w:textAlignment w:val="auto"/>
        <w:rPr>
          <w:rFonts w:hint="eastAsia" w:ascii="宋体" w:hAnsi="宋体" w:eastAsia="宋体" w:cs="宋体"/>
          <w:b/>
          <w:bCs/>
          <w:caps w:val="0"/>
          <w:color w:val="0F1115"/>
          <w:spacing w:val="0"/>
          <w:sz w:val="18"/>
          <w:szCs w:val="18"/>
          <w:lang w:eastAsia="zh-CN"/>
        </w:rPr>
      </w:pPr>
      <w:r>
        <w:rPr>
          <w:rFonts w:hint="eastAsia" w:ascii="宋体" w:hAnsi="宋体" w:eastAsia="宋体" w:cs="宋体"/>
          <w:b/>
          <w:bCs/>
          <w:caps w:val="0"/>
          <w:color w:val="0F1115"/>
          <w:spacing w:val="0"/>
          <w:sz w:val="18"/>
          <w:szCs w:val="18"/>
          <w:shd w:val="clear" w:fill="FFFFFF"/>
        </w:rPr>
        <w:t>38.8万亿</w:t>
      </w:r>
      <w:r>
        <w:rPr>
          <w:rFonts w:hint="eastAsia" w:ascii="宋体" w:hAnsi="宋体" w:eastAsia="宋体" w:cs="宋体"/>
          <w:b/>
          <w:bCs/>
          <w:caps w:val="0"/>
          <w:color w:val="0F1115"/>
          <w:spacing w:val="0"/>
          <w:sz w:val="18"/>
          <w:szCs w:val="18"/>
          <w:shd w:val="clear" w:fill="FFFFFF"/>
          <w:lang w:val="en-US" w:eastAsia="zh-CN"/>
        </w:rPr>
        <w:t>的</w:t>
      </w:r>
      <w:r>
        <w:rPr>
          <w:rFonts w:hint="eastAsia" w:ascii="宋体" w:hAnsi="宋体" w:eastAsia="宋体" w:cs="宋体"/>
          <w:b/>
          <w:bCs/>
          <w:caps w:val="0"/>
          <w:color w:val="0F1115"/>
          <w:spacing w:val="0"/>
          <w:sz w:val="18"/>
          <w:szCs w:val="18"/>
          <w:shd w:val="clear" w:fill="FFFFFF"/>
        </w:rPr>
        <w:t>普惠小微不再考核增速</w:t>
      </w:r>
    </w:p>
    <w:p w14:paraId="3B900E1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lang w:eastAsia="zh-CN"/>
        </w:rPr>
      </w:pPr>
      <w:r>
        <w:rPr>
          <w:rFonts w:hint="eastAsia" w:ascii="宋体" w:hAnsi="宋体" w:eastAsia="宋体" w:cs="宋体"/>
          <w:i w:val="0"/>
          <w:iCs w:val="0"/>
          <w:caps w:val="0"/>
          <w:color w:val="0F1115"/>
          <w:spacing w:val="0"/>
          <w:sz w:val="18"/>
          <w:szCs w:val="18"/>
          <w:shd w:val="clear" w:fill="FFFFFF"/>
        </w:rPr>
        <w:t>2026年5月19日，金融监管总局发布《关于做好2026年小微企业金融服务工作的通知》，普惠小微贷款领域执行了多年的一项核心考核指标被正式删除</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lang w:val="en-US" w:eastAsia="zh-CN"/>
        </w:rPr>
        <w:t>即</w:t>
      </w:r>
      <w:r>
        <w:rPr>
          <w:rFonts w:hint="eastAsia" w:ascii="宋体" w:hAnsi="宋体" w:eastAsia="宋体" w:cs="宋体"/>
          <w:i w:val="0"/>
          <w:iCs w:val="0"/>
          <w:caps w:val="0"/>
          <w:color w:val="0F1115"/>
          <w:spacing w:val="0"/>
          <w:sz w:val="18"/>
          <w:szCs w:val="18"/>
          <w:shd w:val="clear" w:fill="FFFFFF"/>
        </w:rPr>
        <w:t>普惠型小微企业贷款增速不低于各项贷款增速不再出现在文件中</w:t>
      </w:r>
      <w:r>
        <w:rPr>
          <w:rFonts w:hint="eastAsia" w:ascii="宋体" w:hAnsi="宋体" w:eastAsia="宋体" w:cs="宋体"/>
          <w:i w:val="0"/>
          <w:iCs w:val="0"/>
          <w:caps w:val="0"/>
          <w:color w:val="0F1115"/>
          <w:spacing w:val="0"/>
          <w:sz w:val="18"/>
          <w:szCs w:val="18"/>
          <w:shd w:val="clear" w:fill="FFFFFF"/>
          <w:lang w:eastAsia="zh-CN"/>
        </w:rPr>
        <w:t>。</w:t>
      </w:r>
    </w:p>
    <w:p w14:paraId="5EF286A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b/>
          <w:bCs/>
          <w:i w:val="0"/>
          <w:iCs w:val="0"/>
          <w:caps w:val="0"/>
          <w:color w:val="0F1115"/>
          <w:spacing w:val="0"/>
          <w:sz w:val="18"/>
          <w:szCs w:val="18"/>
        </w:rPr>
      </w:pPr>
      <w:r>
        <w:rPr>
          <w:rFonts w:hint="eastAsia" w:ascii="宋体" w:hAnsi="宋体" w:eastAsia="宋体" w:cs="宋体"/>
          <w:b/>
          <w:bCs/>
          <w:i w:val="0"/>
          <w:iCs w:val="0"/>
          <w:caps w:val="0"/>
          <w:color w:val="0F1115"/>
          <w:spacing w:val="0"/>
          <w:sz w:val="18"/>
          <w:szCs w:val="18"/>
          <w:shd w:val="clear" w:fill="FFFFFF"/>
        </w:rPr>
        <w:t>取而代之的是稳投放、优结构、提质量、可持续四个关键词。</w:t>
      </w:r>
    </w:p>
    <w:p w14:paraId="405DBA9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这不只是一次措辞调整。四天前，5月15日金融监管总局发布的2026年一季度银行业主要指标数据，已经为这场转向铺好了注脚</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一季度末商业银行不良贷款率1.51%，较上季末上升0.02个百分点；不良贷款余额3.7万亿元，单季增加1742亿元。</w:t>
      </w:r>
    </w:p>
    <w:p w14:paraId="0DCC11E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尽管监管未按贷款类型公布不良明细，但过去两年多家市场机构发布的中国银行业年度报告已指出，普惠小微贷款不良率处于上行通道，且增幅高于各项贷款平均水平。</w:t>
      </w:r>
    </w:p>
    <w:p w14:paraId="66B126B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《通知》中提质量三个字后面紧跟着指导银行加强风险监测，提升信贷资产质量强化资产质量监测分析，做实贷款风险分类加强续贷管理，真实、准确反映续贷资产质量</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这是普惠小微政策文本中对资产质量问题着墨最多的一次。</w:t>
      </w:r>
    </w:p>
    <w:p w14:paraId="13C35D8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一面是普惠小微存量已逼近38.8万亿元，一面是不良率正在从低基数向上攀升。</w:t>
      </w:r>
    </w:p>
    <w:p w14:paraId="0094612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金融监管总局选择在这个时点撤掉增速考核指标，比任何一次口头提示风险都更有力地说明了问题。</w:t>
      </w:r>
    </w:p>
    <w:p w14:paraId="54F6078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160" w:afterAutospacing="0" w:line="300" w:lineRule="atLeast"/>
        <w:ind w:left="0" w:right="0" w:firstLine="0" w:firstLineChars="0"/>
        <w:textAlignment w:val="auto"/>
        <w:rPr>
          <w:rFonts w:hint="eastAsia" w:ascii="宋体" w:hAnsi="宋体" w:eastAsia="宋体" w:cs="宋体"/>
          <w:b/>
          <w:bCs/>
          <w:caps w:val="0"/>
          <w:color w:val="0F1115"/>
          <w:spacing w:val="0"/>
          <w:sz w:val="18"/>
          <w:szCs w:val="18"/>
        </w:rPr>
      </w:pPr>
      <w:r>
        <w:rPr>
          <w:rFonts w:hint="eastAsia" w:ascii="宋体" w:hAnsi="宋体" w:eastAsia="宋体" w:cs="宋体"/>
          <w:b/>
          <w:bCs/>
          <w:caps w:val="0"/>
          <w:color w:val="0F1115"/>
          <w:spacing w:val="0"/>
          <w:sz w:val="18"/>
          <w:szCs w:val="18"/>
          <w:shd w:val="clear" w:fill="FFFFFF"/>
        </w:rPr>
        <w:t>从三个不低于到不再设增速</w:t>
      </w:r>
      <w:r>
        <w:rPr>
          <w:rFonts w:hint="eastAsia" w:cs="宋体"/>
          <w:b/>
          <w:bCs/>
          <w:caps w:val="0"/>
          <w:color w:val="0F1115"/>
          <w:spacing w:val="0"/>
          <w:sz w:val="18"/>
          <w:szCs w:val="18"/>
          <w:shd w:val="clear" w:fill="FFFFFF"/>
          <w:lang w:eastAsia="zh-CN"/>
        </w:rPr>
        <w:t>，</w:t>
      </w:r>
      <w:r>
        <w:rPr>
          <w:rFonts w:hint="eastAsia" w:ascii="宋体" w:hAnsi="宋体" w:eastAsia="宋体" w:cs="宋体"/>
          <w:b/>
          <w:bCs/>
          <w:caps w:val="0"/>
          <w:color w:val="0F1115"/>
          <w:spacing w:val="0"/>
          <w:sz w:val="18"/>
          <w:szCs w:val="18"/>
          <w:shd w:val="clear" w:fill="FFFFFF"/>
        </w:rPr>
        <w:t>一份文件的五年之变</w:t>
      </w:r>
    </w:p>
    <w:p w14:paraId="14044B2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普惠小微金融服务目标的表述演变，是理解这场转向最好的钥匙。</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8"/>
        <w:gridCol w:w="2330"/>
        <w:gridCol w:w="3674"/>
        <w:gridCol w:w="1784"/>
      </w:tblGrid>
      <w:tr w14:paraId="50B3B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525846CF">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年份</w:t>
            </w:r>
          </w:p>
        </w:tc>
        <w:tc>
          <w:tcPr>
            <w:tcW w:w="0" w:type="auto"/>
            <w:tcBorders>
              <w:top w:val="nil"/>
            </w:tcBorders>
            <w:shd w:val="clear"/>
            <w:tcMar>
              <w:top w:w="100" w:type="dxa"/>
              <w:left w:w="160" w:type="dxa"/>
              <w:bottom w:w="100" w:type="dxa"/>
              <w:right w:w="160" w:type="dxa"/>
            </w:tcMar>
            <w:vAlign w:val="center"/>
          </w:tcPr>
          <w:p w14:paraId="13158BDB">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核心目标</w:t>
            </w:r>
          </w:p>
        </w:tc>
        <w:tc>
          <w:tcPr>
            <w:tcW w:w="0" w:type="auto"/>
            <w:tcBorders>
              <w:top w:val="nil"/>
            </w:tcBorders>
            <w:shd w:val="clear"/>
            <w:tcMar>
              <w:top w:w="100" w:type="dxa"/>
              <w:left w:w="160" w:type="dxa"/>
              <w:bottom w:w="100" w:type="dxa"/>
              <w:right w:w="160" w:type="dxa"/>
            </w:tcMar>
            <w:vAlign w:val="center"/>
          </w:tcPr>
          <w:p w14:paraId="5E579339">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关键表述</w:t>
            </w:r>
          </w:p>
        </w:tc>
        <w:tc>
          <w:tcPr>
            <w:tcW w:w="0" w:type="auto"/>
            <w:tcBorders>
              <w:top w:val="nil"/>
            </w:tcBorders>
            <w:shd w:val="clear"/>
            <w:tcMar>
              <w:top w:w="100" w:type="dxa"/>
              <w:left w:w="160" w:type="dxa"/>
              <w:bottom w:w="100" w:type="dxa"/>
              <w:right w:w="160" w:type="dxa"/>
            </w:tcMar>
            <w:vAlign w:val="center"/>
          </w:tcPr>
          <w:p w14:paraId="596C7BD2">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增速要求</w:t>
            </w:r>
          </w:p>
        </w:tc>
      </w:tr>
      <w:tr w14:paraId="4FAFB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6C99FF6">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2024年</w:t>
            </w:r>
          </w:p>
        </w:tc>
        <w:tc>
          <w:tcPr>
            <w:tcW w:w="0" w:type="auto"/>
            <w:shd w:val="clear"/>
            <w:tcMar>
              <w:top w:w="100" w:type="dxa"/>
              <w:left w:w="160" w:type="dxa"/>
              <w:bottom w:w="100" w:type="dxa"/>
              <w:right w:w="160" w:type="dxa"/>
            </w:tcMar>
            <w:vAlign w:val="center"/>
          </w:tcPr>
          <w:p w14:paraId="25E29757">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保量、稳价、优结构</w:t>
            </w:r>
          </w:p>
        </w:tc>
        <w:tc>
          <w:tcPr>
            <w:tcW w:w="0" w:type="auto"/>
            <w:shd w:val="clear"/>
            <w:tcMar>
              <w:top w:w="100" w:type="dxa"/>
              <w:left w:w="160" w:type="dxa"/>
              <w:bottom w:w="100" w:type="dxa"/>
              <w:right w:w="160" w:type="dxa"/>
            </w:tcMar>
            <w:vAlign w:val="center"/>
          </w:tcPr>
          <w:p w14:paraId="1DB7116B">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力争实现普惠型小微企业贷款增速不低于各项贷款增速</w:t>
            </w:r>
          </w:p>
        </w:tc>
        <w:tc>
          <w:tcPr>
            <w:tcW w:w="0" w:type="auto"/>
            <w:shd w:val="clear"/>
            <w:tcMar>
              <w:top w:w="100" w:type="dxa"/>
              <w:left w:w="160" w:type="dxa"/>
              <w:bottom w:w="100" w:type="dxa"/>
              <w:right w:w="0" w:type="dxa"/>
            </w:tcMar>
            <w:vAlign w:val="center"/>
          </w:tcPr>
          <w:p w14:paraId="03859675">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有明确量化目标</w:t>
            </w:r>
          </w:p>
        </w:tc>
      </w:tr>
      <w:tr w14:paraId="03D33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9501A19">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2025年</w:t>
            </w:r>
          </w:p>
        </w:tc>
        <w:tc>
          <w:tcPr>
            <w:tcW w:w="0" w:type="auto"/>
            <w:shd w:val="clear"/>
            <w:tcMar>
              <w:top w:w="100" w:type="dxa"/>
              <w:left w:w="160" w:type="dxa"/>
              <w:bottom w:w="100" w:type="dxa"/>
              <w:right w:w="160" w:type="dxa"/>
            </w:tcMar>
            <w:vAlign w:val="center"/>
          </w:tcPr>
          <w:p w14:paraId="30106298">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保量、提质、稳价、优结构</w:t>
            </w:r>
          </w:p>
        </w:tc>
        <w:tc>
          <w:tcPr>
            <w:tcW w:w="0" w:type="auto"/>
            <w:shd w:val="clear"/>
            <w:tcMar>
              <w:top w:w="100" w:type="dxa"/>
              <w:left w:w="160" w:type="dxa"/>
              <w:bottom w:w="100" w:type="dxa"/>
              <w:right w:w="160" w:type="dxa"/>
            </w:tcMar>
            <w:vAlign w:val="center"/>
          </w:tcPr>
          <w:p w14:paraId="2A975DC3">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力争实现全国普惠型小微企业贷款增速不低于各项贷款增速</w:t>
            </w:r>
          </w:p>
        </w:tc>
        <w:tc>
          <w:tcPr>
            <w:tcW w:w="0" w:type="auto"/>
            <w:shd w:val="clear"/>
            <w:tcMar>
              <w:top w:w="100" w:type="dxa"/>
              <w:left w:w="160" w:type="dxa"/>
              <w:bottom w:w="100" w:type="dxa"/>
              <w:right w:w="0" w:type="dxa"/>
            </w:tcMar>
            <w:vAlign w:val="center"/>
          </w:tcPr>
          <w:p w14:paraId="6B2AA11E">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有明确量化目标</w:t>
            </w:r>
          </w:p>
        </w:tc>
      </w:tr>
      <w:tr w14:paraId="32B85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CA33560">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2026年</w:t>
            </w:r>
          </w:p>
        </w:tc>
        <w:tc>
          <w:tcPr>
            <w:tcW w:w="0" w:type="auto"/>
            <w:shd w:val="clear"/>
            <w:tcMar>
              <w:top w:w="100" w:type="dxa"/>
              <w:left w:w="160" w:type="dxa"/>
              <w:bottom w:w="100" w:type="dxa"/>
              <w:right w:w="160" w:type="dxa"/>
            </w:tcMar>
            <w:vAlign w:val="center"/>
          </w:tcPr>
          <w:p w14:paraId="32FCB4F4">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稳投放、优结构、提质量、可持续</w:t>
            </w:r>
          </w:p>
        </w:tc>
        <w:tc>
          <w:tcPr>
            <w:tcW w:w="0" w:type="auto"/>
            <w:shd w:val="clear"/>
            <w:tcMar>
              <w:top w:w="100" w:type="dxa"/>
              <w:left w:w="160" w:type="dxa"/>
              <w:bottom w:w="100" w:type="dxa"/>
              <w:right w:w="160" w:type="dxa"/>
            </w:tcMar>
            <w:vAlign w:val="center"/>
          </w:tcPr>
          <w:p w14:paraId="705492BD">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实现贷款质的有效提升和量的合理增长</w:t>
            </w:r>
          </w:p>
        </w:tc>
        <w:tc>
          <w:tcPr>
            <w:tcW w:w="0" w:type="auto"/>
            <w:shd w:val="clear"/>
            <w:tcMar>
              <w:top w:w="100" w:type="dxa"/>
              <w:left w:w="160" w:type="dxa"/>
              <w:bottom w:w="100" w:type="dxa"/>
              <w:right w:w="0" w:type="dxa"/>
            </w:tcMar>
            <w:vAlign w:val="center"/>
          </w:tcPr>
          <w:p w14:paraId="5AD12ADC">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18"/>
                <w:szCs w:val="18"/>
              </w:rPr>
            </w:pPr>
            <w:r>
              <w:rPr>
                <w:rFonts w:hint="eastAsia" w:ascii="宋体" w:hAnsi="宋体" w:eastAsia="宋体" w:cs="宋体"/>
                <w:kern w:val="0"/>
                <w:sz w:val="18"/>
                <w:szCs w:val="18"/>
                <w:bdr w:val="none" w:color="auto" w:sz="0" w:space="0"/>
                <w:lang w:val="en-US" w:eastAsia="zh-CN" w:bidi="ar"/>
              </w:rPr>
              <w:t>不设全国统一硬性增速考核</w:t>
            </w:r>
          </w:p>
        </w:tc>
      </w:tr>
    </w:tbl>
    <w:p w14:paraId="321A98F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2025年的目标是在保量、稳价、优结构基础上新增了提质一项，增速要求仍然保留，但方向性微调已经开始。到了2026年，不仅增速不低于各项贷款增速的表述完全消失，整个目标体系的排序也彻底换了</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稳投放取代保量排在第一，提质量和可持续被单独列出，分别对应资产质量和商业可持续性。</w:t>
      </w:r>
    </w:p>
    <w:p w14:paraId="4C39CCC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这份文件不再提及两个不低于或三个不低于等任何增速红线，仅强调信贷供给要与经济发展相适应，与小微企业、民营企业需求相匹配，以及结合当地经济发展实际和小微企业融资需求，合理确定普惠型小微企业贷款投放力度。</w:t>
      </w:r>
    </w:p>
    <w:p w14:paraId="701DA7F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政策文本的转向，本质上是对两个现实的正视。一是存量基数已极其庞大</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央行统计显示，截至今年一季度末，人民币普惠小微贷款余额为38.38万亿元，同比增长10.3%，增速比各项贷款高4.6个百分点。</w:t>
      </w:r>
    </w:p>
    <w:p w14:paraId="2C4EB93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b/>
          <w:bCs/>
          <w:i w:val="0"/>
          <w:iCs w:val="0"/>
          <w:caps w:val="0"/>
          <w:color w:val="0F1115"/>
          <w:spacing w:val="0"/>
          <w:sz w:val="18"/>
          <w:szCs w:val="18"/>
          <w:shd w:val="clear" w:fill="FFFFFF"/>
        </w:rPr>
      </w:pPr>
      <w:r>
        <w:rPr>
          <w:rFonts w:hint="eastAsia" w:ascii="宋体" w:hAnsi="宋体" w:eastAsia="宋体" w:cs="宋体"/>
          <w:b/>
          <w:bCs/>
          <w:i w:val="0"/>
          <w:iCs w:val="0"/>
          <w:caps w:val="0"/>
          <w:color w:val="0F1115"/>
          <w:spacing w:val="0"/>
          <w:sz w:val="18"/>
          <w:szCs w:val="18"/>
          <w:shd w:val="clear" w:fill="FFFFFF"/>
        </w:rPr>
        <w:t>在38万亿体量上继续要求增速持续跑赢各项贷款，边际压力呈指数级上升。</w:t>
      </w:r>
    </w:p>
    <w:p w14:paraId="55EABBA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二是多重风险信号正在积累</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信贷需求趋弱、价格战压缩利差、不良率加速攀升，速度指标和质量指标之间的此消彼长已经到了需要硬决策的临界点。</w:t>
      </w:r>
    </w:p>
    <w:p w14:paraId="62E1422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default" w:ascii="宋体" w:hAnsi="宋体" w:eastAsia="宋体" w:cs="宋体"/>
          <w:b/>
          <w:bCs/>
          <w:i w:val="0"/>
          <w:iCs w:val="0"/>
          <w:caps w:val="0"/>
          <w:color w:val="0F1115"/>
          <w:spacing w:val="0"/>
          <w:sz w:val="18"/>
          <w:szCs w:val="18"/>
          <w:shd w:val="clear" w:fill="FFFFFF"/>
          <w:lang w:val="en-US" w:eastAsia="zh-CN"/>
        </w:rPr>
      </w:pPr>
      <w:r>
        <w:rPr>
          <w:rFonts w:hint="eastAsia" w:ascii="宋体" w:hAnsi="宋体" w:eastAsia="宋体" w:cs="宋体"/>
          <w:b/>
          <w:bCs/>
          <w:i w:val="0"/>
          <w:iCs w:val="0"/>
          <w:caps w:val="0"/>
          <w:color w:val="0F1115"/>
          <w:spacing w:val="0"/>
          <w:sz w:val="18"/>
          <w:szCs w:val="18"/>
          <w:shd w:val="clear" w:fill="FFFFFF"/>
          <w:lang w:val="en-US" w:eastAsia="zh-CN"/>
        </w:rPr>
        <w:t>说的更难听点，再当下内外部波动的时间里，更多的要去保证金融机构的稳定性了。</w:t>
      </w:r>
    </w:p>
    <w:p w14:paraId="6B77CE9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160" w:afterAutospacing="0" w:line="300" w:lineRule="atLeast"/>
        <w:ind w:left="0" w:right="0" w:firstLine="0" w:firstLineChars="0"/>
        <w:textAlignment w:val="auto"/>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fill="FFFFFF"/>
        </w:rPr>
        <w:t>一份通知里的三组关键词</w:t>
      </w:r>
    </w:p>
    <w:p w14:paraId="1363240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拆开《通知》原文，三个具体信号比取消增速这个总标题更加值得关注。</w:t>
      </w:r>
    </w:p>
    <w:p w14:paraId="394C6BD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信号一</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首次明确将资产质量提升至与信贷投放并重的位置。《通知》以独立段落要求提升资产质量，强调加强科技赋能，提升小微企业信贷业务尽职调查、授信评审及风险管理水平加强信贷资金流向监控，确保贷款资金用于企业生产经营保障和倾斜核销等处置资源，提高不良贷款处置效率。</w:t>
      </w:r>
    </w:p>
    <w:p w14:paraId="053F3E0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b/>
          <w:bCs/>
          <w:i w:val="0"/>
          <w:iCs w:val="0"/>
          <w:caps w:val="0"/>
          <w:color w:val="0F1115"/>
          <w:spacing w:val="0"/>
          <w:sz w:val="18"/>
          <w:szCs w:val="18"/>
        </w:rPr>
      </w:pPr>
      <w:r>
        <w:rPr>
          <w:rFonts w:hint="eastAsia" w:ascii="宋体" w:hAnsi="宋体" w:eastAsia="宋体" w:cs="宋体"/>
          <w:b/>
          <w:bCs/>
          <w:i w:val="0"/>
          <w:iCs w:val="0"/>
          <w:caps w:val="0"/>
          <w:color w:val="0F1115"/>
          <w:spacing w:val="0"/>
          <w:sz w:val="18"/>
          <w:szCs w:val="18"/>
          <w:shd w:val="clear" w:fill="FFFFFF"/>
        </w:rPr>
        <w:t>把信贷资金用途监控和不良核销资源倾斜这两项写入普惠金融指导文件，在过去几年从未出现。</w:t>
      </w:r>
    </w:p>
    <w:p w14:paraId="1862469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信号二</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首次明确不得设置所有制差别化条件。《通知》要求银行一视同仁向民营企业提供信贷服务，不得在授信、信贷管理、风控管理、服务收费等方面设置针对所有制的差别化条件，并要求指定专门部门牵头负责民营企业金融服务工作，将民营企业信贷业务纳入内部绩效考核。</w:t>
      </w:r>
    </w:p>
    <w:p w14:paraId="37F279A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信号三</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首次鼓励向新就业群体开发专属信贷产品。《通知》鼓励开发适合‘两司两员’（即货车司机、网约车司机、快递员、外卖配送员）等新就业群体实际融资需求、财务状况和风险水平的信贷产品。</w:t>
      </w:r>
    </w:p>
    <w:p w14:paraId="7348710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这三个信号串起了一条逻辑链</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普惠小微的信贷资源，要从过去几年已经充分覆盖的优质小微客户，向民营企业、新就业群体等此前服务不足的领域迁移。</w:t>
      </w:r>
    </w:p>
    <w:p w14:paraId="2FC317B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而这种迁移的前提，正是风险定价和资产质量管控能力的系统性升级</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否则只会加速不良率的攀升。</w:t>
      </w:r>
    </w:p>
    <w:p w14:paraId="5B36BFB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160" w:afterAutospacing="0" w:line="300" w:lineRule="atLeast"/>
        <w:ind w:left="0" w:right="0" w:firstLine="0" w:firstLineChars="0"/>
        <w:textAlignment w:val="auto"/>
        <w:rPr>
          <w:rFonts w:hint="eastAsia" w:ascii="宋体" w:hAnsi="宋体" w:eastAsia="宋体" w:cs="宋体"/>
          <w:b/>
          <w:bCs/>
          <w:caps w:val="0"/>
          <w:color w:val="0F1115"/>
          <w:spacing w:val="0"/>
          <w:sz w:val="18"/>
          <w:szCs w:val="18"/>
        </w:rPr>
      </w:pPr>
      <w:r>
        <w:rPr>
          <w:rFonts w:hint="eastAsia" w:ascii="宋体" w:hAnsi="宋体" w:eastAsia="宋体" w:cs="宋体"/>
          <w:b/>
          <w:bCs/>
          <w:caps w:val="0"/>
          <w:color w:val="0F1115"/>
          <w:spacing w:val="0"/>
          <w:sz w:val="18"/>
          <w:szCs w:val="18"/>
          <w:shd w:val="clear" w:fill="FFFFFF"/>
        </w:rPr>
        <w:t>不良率1.51%只是总账，背后的结构分化更值得追问</w:t>
      </w:r>
    </w:p>
    <w:p w14:paraId="497E4C9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金融监管总局5月15日公布的一季度数据，给出了全行业的总账</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不良贷款率1.51%，较上季末上升0.02个百分点；不良贷款余额3.7万亿元，单季增加1742亿元。</w:t>
      </w:r>
    </w:p>
    <w:p w14:paraId="261A364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这组数字背后，藏着两条机构间的分化线。</w:t>
      </w:r>
    </w:p>
    <w:p w14:paraId="7BFB4F2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第一条线是国有大行与中小银行在资产质量上的差距。过去五年，大型商业银行普惠小微市场份额从31.65%升至45.55%，农村金融机构从33.92%降至25.35%。</w:t>
      </w:r>
    </w:p>
    <w:p w14:paraId="05FBC53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大行依靠低成本资金和更强的风控能力持续下沉，拿走的往往是区域内最优质的那部分小微客户。中小行被迫留在风险更高的客群中，不良率持续抬升。2025年末已有城商行不良率达1.79%、农商行达2.72%，而大型商业银行为1.22%。</w:t>
      </w:r>
    </w:p>
    <w:p w14:paraId="69BCC89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b/>
          <w:bCs/>
          <w:i w:val="0"/>
          <w:iCs w:val="0"/>
          <w:caps w:val="0"/>
          <w:color w:val="0F1115"/>
          <w:spacing w:val="0"/>
          <w:sz w:val="18"/>
          <w:szCs w:val="18"/>
        </w:rPr>
      </w:pPr>
      <w:r>
        <w:rPr>
          <w:rFonts w:hint="eastAsia" w:ascii="宋体" w:hAnsi="宋体" w:eastAsia="宋体" w:cs="宋体"/>
          <w:b/>
          <w:bCs/>
          <w:i w:val="0"/>
          <w:iCs w:val="0"/>
          <w:caps w:val="0"/>
          <w:color w:val="0F1115"/>
          <w:spacing w:val="0"/>
          <w:sz w:val="18"/>
          <w:szCs w:val="18"/>
          <w:shd w:val="clear" w:fill="FFFFFF"/>
        </w:rPr>
        <w:t>大行拿走份额、中小行承担风险，这种隐性分工在增速指标取消后将面临更严峻的压力测试</w:t>
      </w:r>
      <w:r>
        <w:rPr>
          <w:rFonts w:hint="eastAsia" w:ascii="宋体" w:hAnsi="宋体" w:eastAsia="宋体" w:cs="宋体"/>
          <w:b/>
          <w:bCs/>
          <w:i w:val="0"/>
          <w:iCs w:val="0"/>
          <w:caps w:val="0"/>
          <w:color w:val="0F1115"/>
          <w:spacing w:val="0"/>
          <w:sz w:val="18"/>
          <w:szCs w:val="18"/>
          <w:shd w:val="clear" w:fill="FFFFFF"/>
          <w:lang w:eastAsia="zh-CN"/>
        </w:rPr>
        <w:t>，</w:t>
      </w:r>
      <w:r>
        <w:rPr>
          <w:rFonts w:hint="eastAsia" w:ascii="宋体" w:hAnsi="宋体" w:eastAsia="宋体" w:cs="宋体"/>
          <w:b/>
          <w:bCs/>
          <w:i w:val="0"/>
          <w:iCs w:val="0"/>
          <w:caps w:val="0"/>
          <w:color w:val="0F1115"/>
          <w:spacing w:val="0"/>
          <w:sz w:val="18"/>
          <w:szCs w:val="18"/>
          <w:shd w:val="clear" w:fill="FFFFFF"/>
        </w:rPr>
        <w:t>大行没有增速压力后，是否继续下沉？中小行还能从哪获取足够的优质客户？</w:t>
      </w:r>
    </w:p>
    <w:p w14:paraId="195A0B9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第二条线是不同贷款品类间的风险迁徙。普惠小微贷款余额38.38万亿元，其中个人经营性贷款是过去几年增速最快的组成部分。部分银行的个人经营贷不良率已从个位数攀升至3%以上，个别突破6%。</w:t>
      </w:r>
    </w:p>
    <w:p w14:paraId="5ADA941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信用卡不良率同期也在走高，工行已至4.61%，交通银行2.68%，两者叠加指向同一个事实</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居民部门资产负债表修复速度低于预期。</w:t>
      </w:r>
    </w:p>
    <w:p w14:paraId="5664DF0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一季度末拨备覆盖率203.14%，虽然行业整体安全垫仍然充足，但拨备消耗速度比2023至2024年明显加快。普惠小微贷款的信用成本率在2025年一度降至0.84%的十年新低，这种压低拨备换取利润的空间在资产质量边际恶化面前正在收窄。</w:t>
      </w:r>
    </w:p>
    <w:p w14:paraId="1846B86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160" w:afterAutospacing="0" w:line="300" w:lineRule="atLeast"/>
        <w:ind w:left="0" w:right="0" w:firstLine="0" w:firstLineChars="0"/>
        <w:textAlignment w:val="auto"/>
        <w:rPr>
          <w:rFonts w:hint="eastAsia" w:ascii="宋体" w:hAnsi="宋体" w:eastAsia="宋体" w:cs="宋体"/>
          <w:b/>
          <w:bCs/>
          <w:caps w:val="0"/>
          <w:color w:val="0F1115"/>
          <w:spacing w:val="0"/>
          <w:sz w:val="28"/>
          <w:szCs w:val="28"/>
          <w:lang w:eastAsia="zh-CN"/>
        </w:rPr>
      </w:pPr>
      <w:r>
        <w:rPr>
          <w:rFonts w:hint="eastAsia" w:ascii="宋体" w:hAnsi="宋体" w:eastAsia="宋体" w:cs="宋体"/>
          <w:b/>
          <w:bCs/>
          <w:caps w:val="0"/>
          <w:color w:val="0F1115"/>
          <w:spacing w:val="0"/>
          <w:sz w:val="28"/>
          <w:szCs w:val="28"/>
          <w:shd w:val="clear" w:fill="FFFFFF"/>
        </w:rPr>
        <w:t>38万亿之后</w:t>
      </w:r>
      <w:r>
        <w:rPr>
          <w:rFonts w:hint="eastAsia" w:cs="宋体"/>
          <w:b/>
          <w:bCs/>
          <w:caps w:val="0"/>
          <w:color w:val="0F1115"/>
          <w:spacing w:val="0"/>
          <w:sz w:val="28"/>
          <w:szCs w:val="28"/>
          <w:shd w:val="clear" w:fill="FFFFFF"/>
          <w:lang w:eastAsia="zh-CN"/>
        </w:rPr>
        <w:t>，</w:t>
      </w:r>
      <w:r>
        <w:rPr>
          <w:rFonts w:hint="eastAsia" w:ascii="宋体" w:hAnsi="宋体" w:eastAsia="宋体" w:cs="宋体"/>
          <w:b/>
          <w:bCs/>
          <w:caps w:val="0"/>
          <w:color w:val="0F1115"/>
          <w:spacing w:val="0"/>
          <w:sz w:val="28"/>
          <w:szCs w:val="28"/>
          <w:shd w:val="clear" w:fill="FFFFFF"/>
        </w:rPr>
        <w:t>从做大规模到做深客户</w:t>
      </w:r>
    </w:p>
    <w:p w14:paraId="1DD3037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38.38万亿元的存量余额，意味着普惠小微贷款已经从一个政策推动的高增长品种，变成了银行资产配置中的核心组成部分。增速目标退出后，关键问题不再是还能涨多快，而是存量能不能稳住。</w:t>
      </w:r>
    </w:p>
    <w:p w14:paraId="504E2F8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取消增速考核，对两类机构的影响截然不同。</w:t>
      </w:r>
    </w:p>
    <w:p w14:paraId="73BDC72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大行是主动的一方</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过去几年35%</w:t>
      </w:r>
      <w:r>
        <w:rPr>
          <w:rFonts w:hint="eastAsia" w:ascii="宋体" w:hAnsi="宋体" w:eastAsia="宋体" w:cs="宋体"/>
          <w:i w:val="0"/>
          <w:iCs w:val="0"/>
          <w:caps w:val="0"/>
          <w:color w:val="0F1115"/>
          <w:spacing w:val="0"/>
          <w:sz w:val="18"/>
          <w:szCs w:val="18"/>
          <w:shd w:val="clear" w:fill="FFFFFF"/>
          <w:lang w:val="en-US" w:eastAsia="zh-CN"/>
        </w:rPr>
        <w:t>、</w:t>
      </w:r>
      <w:r>
        <w:rPr>
          <w:rFonts w:hint="eastAsia" w:ascii="宋体" w:hAnsi="宋体" w:eastAsia="宋体" w:cs="宋体"/>
          <w:i w:val="0"/>
          <w:iCs w:val="0"/>
          <w:caps w:val="0"/>
          <w:color w:val="0F1115"/>
          <w:spacing w:val="0"/>
          <w:sz w:val="18"/>
          <w:szCs w:val="18"/>
          <w:shd w:val="clear" w:fill="FFFFFF"/>
        </w:rPr>
        <w:t>50%以上的高速增长积累了庞大的小微客户池，增速指标撤掉后，有能力也有意愿去做交叉销售、结算沉淀和综合服务覆盖，从铺面转向做深。</w:t>
      </w:r>
    </w:p>
    <w:p w14:paraId="460E135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中小行是被动的一方</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如果大行退出部分过度下沉的市场，中小行拿回来的是优质客户还是烂在手里的风险敞口，答案并不乐观。</w:t>
      </w:r>
    </w:p>
    <w:p w14:paraId="31F9C36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b/>
          <w:bCs/>
          <w:i w:val="0"/>
          <w:iCs w:val="0"/>
          <w:caps w:val="0"/>
          <w:color w:val="0F1115"/>
          <w:spacing w:val="0"/>
          <w:sz w:val="18"/>
          <w:szCs w:val="18"/>
        </w:rPr>
      </w:pPr>
      <w:r>
        <w:rPr>
          <w:rFonts w:hint="eastAsia" w:ascii="宋体" w:hAnsi="宋体" w:eastAsia="宋体" w:cs="宋体"/>
          <w:b/>
          <w:bCs/>
          <w:i w:val="0"/>
          <w:iCs w:val="0"/>
          <w:caps w:val="0"/>
          <w:color w:val="0F1115"/>
          <w:spacing w:val="0"/>
          <w:sz w:val="18"/>
          <w:szCs w:val="18"/>
          <w:shd w:val="clear" w:fill="FFFFFF"/>
        </w:rPr>
        <w:t>中小行过去被挤压到更次级客群所积累的不良，不会因为政策风向一变就自动修复。</w:t>
      </w:r>
    </w:p>
    <w:p w14:paraId="5A51725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文件里新增的几个方向，指向的是普惠金融下一个五年的底层逻辑</w:t>
      </w:r>
      <w:r>
        <w:rPr>
          <w:rFonts w:hint="eastAsia" w:ascii="宋体" w:hAnsi="宋体" w:eastAsia="宋体" w:cs="宋体"/>
          <w:i w:val="0"/>
          <w:iCs w:val="0"/>
          <w:caps w:val="0"/>
          <w:color w:val="0F1115"/>
          <w:spacing w:val="0"/>
          <w:sz w:val="18"/>
          <w:szCs w:val="18"/>
          <w:shd w:val="clear" w:fill="FFFFFF"/>
          <w:lang w:eastAsia="zh-CN"/>
        </w:rPr>
        <w:t>，</w:t>
      </w:r>
      <w:r>
        <w:rPr>
          <w:rFonts w:hint="eastAsia" w:ascii="宋体" w:hAnsi="宋体" w:eastAsia="宋体" w:cs="宋体"/>
          <w:i w:val="0"/>
          <w:iCs w:val="0"/>
          <w:caps w:val="0"/>
          <w:color w:val="0F1115"/>
          <w:spacing w:val="0"/>
          <w:sz w:val="18"/>
          <w:szCs w:val="18"/>
          <w:shd w:val="clear" w:fill="FFFFFF"/>
        </w:rPr>
        <w:t>新就业群体金融支持把服务半径从企业法人扩展到了个人劳动者，一视同仁向民营企业提供信贷服务把制度保障从口号变成了硬要求，保障和倾斜核销等处置资源，提高不良贷款处置效率则把不良出清从被动消化变成了主动管理。</w:t>
      </w:r>
    </w:p>
    <w:p w14:paraId="1CC9F7C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18"/>
          <w:szCs w:val="18"/>
        </w:rPr>
      </w:pPr>
      <w:r>
        <w:rPr>
          <w:rFonts w:hint="eastAsia" w:ascii="宋体" w:hAnsi="宋体" w:eastAsia="宋体" w:cs="宋体"/>
          <w:i w:val="0"/>
          <w:iCs w:val="0"/>
          <w:caps w:val="0"/>
          <w:color w:val="0F1115"/>
          <w:spacing w:val="0"/>
          <w:sz w:val="18"/>
          <w:szCs w:val="18"/>
          <w:shd w:val="clear" w:fill="FFFFFF"/>
        </w:rPr>
        <w:t>这些方向单靠文件推动不了，需要银行从内部的获客模型、风险定价模型、贷后监控模型以及考核导向系统性地重构。</w:t>
      </w:r>
    </w:p>
    <w:p w14:paraId="5744091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default" w:ascii="宋体" w:hAnsi="宋体" w:eastAsia="宋体" w:cs="宋体"/>
          <w:b/>
          <w:bCs/>
          <w:i w:val="0"/>
          <w:iCs w:val="0"/>
          <w:caps w:val="0"/>
          <w:color w:val="0F1115"/>
          <w:spacing w:val="0"/>
          <w:sz w:val="18"/>
          <w:szCs w:val="18"/>
          <w:shd w:val="clear" w:fill="FFFFFF"/>
          <w:lang w:val="en-US" w:eastAsia="zh-CN"/>
        </w:rPr>
      </w:pPr>
      <w:r>
        <w:rPr>
          <w:rFonts w:hint="eastAsia" w:ascii="宋体" w:hAnsi="宋体" w:eastAsia="宋体" w:cs="宋体"/>
          <w:i w:val="0"/>
          <w:iCs w:val="0"/>
          <w:caps w:val="0"/>
          <w:color w:val="0F1115"/>
          <w:spacing w:val="0"/>
          <w:sz w:val="18"/>
          <w:szCs w:val="18"/>
          <w:shd w:val="clear" w:fill="FFFFFF"/>
        </w:rPr>
        <w:t>增速指标消失不等于增长结束，而是增长的逻辑变了。</w:t>
      </w:r>
      <w:r>
        <w:rPr>
          <w:rFonts w:hint="eastAsia" w:ascii="宋体" w:hAnsi="宋体" w:eastAsia="宋体" w:cs="宋体"/>
          <w:b/>
          <w:bCs/>
          <w:i w:val="0"/>
          <w:iCs w:val="0"/>
          <w:caps w:val="0"/>
          <w:color w:val="0F1115"/>
          <w:spacing w:val="0"/>
          <w:sz w:val="18"/>
          <w:szCs w:val="18"/>
          <w:shd w:val="clear" w:fill="FFFFFF"/>
          <w:lang w:val="en-US" w:eastAsia="zh-CN"/>
        </w:rPr>
        <w:t>从20年以来，普惠增速被提上重要站位，是金融机构的守则与担当，而现在，需要去理解金融机构普</w:t>
      </w:r>
      <w:bookmarkStart w:id="0" w:name="_GoBack"/>
      <w:bookmarkEnd w:id="0"/>
      <w:r>
        <w:rPr>
          <w:rFonts w:hint="eastAsia" w:ascii="宋体" w:hAnsi="宋体" w:eastAsia="宋体" w:cs="宋体"/>
          <w:b/>
          <w:bCs/>
          <w:i w:val="0"/>
          <w:iCs w:val="0"/>
          <w:caps w:val="0"/>
          <w:color w:val="0F1115"/>
          <w:spacing w:val="0"/>
          <w:sz w:val="18"/>
          <w:szCs w:val="18"/>
          <w:shd w:val="clear" w:fill="FFFFFF"/>
          <w:lang w:val="en-US" w:eastAsia="zh-CN"/>
        </w:rPr>
        <w:t>惠业务的不易。</w:t>
      </w:r>
    </w:p>
    <w:p w14:paraId="7E0FCA2B">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sz w:val="18"/>
          <w:szCs w:val="1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C61301"/>
    <w:rsid w:val="0DC63D6E"/>
    <w:rsid w:val="2CD667E8"/>
    <w:rsid w:val="3C3B065F"/>
    <w:rsid w:val="4FF74123"/>
    <w:rsid w:val="53B4661F"/>
    <w:rsid w:val="6A9B7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1441" w:firstLineChars="200"/>
      <w:jc w:val="both"/>
    </w:pPr>
    <w:rPr>
      <w:rFonts w:ascii="Times New Roman" w:hAnsi="Times New Roman" w:eastAsia="宋体" w:cs="Times New Roman"/>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paragraph" w:customStyle="1" w:styleId="7">
    <w:name w:val="zhengwen"/>
    <w:basedOn w:val="1"/>
    <w:qFormat/>
    <w:uiPriority w:val="0"/>
    <w:pPr>
      <w:spacing w:line="360" w:lineRule="auto"/>
      <w:ind w:firstLine="1441" w:firstLineChars="200"/>
    </w:pPr>
    <w:rPr>
      <w:rFonts w:ascii="Times New Roman" w:hAnsi="Times New Roman" w:eastAsia="宋体"/>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2901</Words>
  <Characters>3071</Characters>
  <Lines>0</Lines>
  <Paragraphs>0</Paragraphs>
  <TotalTime>7</TotalTime>
  <ScaleCrop>false</ScaleCrop>
  <LinksUpToDate>false</LinksUpToDate>
  <CharactersWithSpaces>3071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2026-02-13T08:29:00Z</dcterms:created>
  <dc:creator>wu</dc:creator>
  <cp:lastModifiedBy>沉默的三百块</cp:lastModifiedBy>
  <dcterms:modified xsi:type="dcterms:W3CDTF">2026-05-19T20:36:07Z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CAA3C7ADB96A4F7CB6C1C7335D84CAE9_12</vt:lpwstr>
  </property>
  <property fmtid="{D5CDD505-2E9C-101B-9397-08002B2CF9AE}" pid="4" name="KSOTemplateDocerSaveRecord">
    <vt:lpwstr>eyJoZGlkIjoiYjAzYWJlZjVmY2E1Zjg2ZTU1Y2E2OTQ4YmNlODA1ZjAiLCJ1c2VySWQiOiIxNzAyNjY4ODk4In0=</vt:lpwstr>
  </property>
</Properties>
</file>