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26A9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bookmarkStart w:id="0" w:name="_GoBack"/>
      <w:bookmarkEnd w:id="0"/>
      <w:r>
        <w:rPr>
          <w:rFonts w:hint="eastAsia" w:ascii="宋体" w:hAnsi="宋体" w:eastAsia="宋体" w:cs="宋体"/>
          <w:i w:val="0"/>
          <w:iCs w:val="0"/>
          <w:caps w:val="0"/>
          <w:color w:val="0F1115"/>
          <w:spacing w:val="0"/>
          <w:sz w:val="21"/>
          <w:szCs w:val="21"/>
          <w:shd w:val="clear" w:fill="FFFFFF"/>
        </w:rPr>
        <w:t>2025年8月底才完成挂牌开业的吉林农村商业银行，用不到九个月的时间，同时触发了信用端、治理端和操作端三条战线的风险预警。</w:t>
      </w:r>
    </w:p>
    <w:p w14:paraId="7532D90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b/>
          <w:bCs/>
          <w:i w:val="0"/>
          <w:iCs w:val="0"/>
          <w:caps w:val="0"/>
          <w:color w:val="0F1115"/>
          <w:spacing w:val="0"/>
          <w:sz w:val="21"/>
          <w:szCs w:val="21"/>
          <w:shd w:val="clear" w:fill="FFFFFF"/>
        </w:rPr>
      </w:pPr>
      <w:r>
        <w:rPr>
          <w:rFonts w:hint="eastAsia" w:ascii="宋体" w:hAnsi="宋体" w:eastAsia="宋体" w:cs="宋体"/>
          <w:b/>
          <w:bCs/>
          <w:i w:val="0"/>
          <w:iCs w:val="0"/>
          <w:caps w:val="0"/>
          <w:color w:val="0F1115"/>
          <w:spacing w:val="0"/>
          <w:sz w:val="21"/>
          <w:szCs w:val="21"/>
          <w:shd w:val="clear" w:fill="FFFFFF"/>
        </w:rPr>
        <w:t>2026年5月19日，吉林农商行被证实有高管因违纪违法被查。</w:t>
      </w:r>
    </w:p>
    <w:p w14:paraId="45BD3EE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lang w:eastAsia="zh-CN"/>
        </w:rPr>
      </w:pPr>
      <w:r>
        <w:rPr>
          <w:rFonts w:hint="eastAsia" w:ascii="宋体" w:hAnsi="宋体" w:eastAsia="宋体" w:cs="宋体"/>
          <w:i w:val="0"/>
          <w:iCs w:val="0"/>
          <w:caps w:val="0"/>
          <w:color w:val="0F1115"/>
          <w:spacing w:val="0"/>
          <w:sz w:val="21"/>
          <w:szCs w:val="21"/>
          <w:shd w:val="clear" w:fill="FFFFFF"/>
        </w:rPr>
        <w:t>同期，吉林两家农商行存续二级资本债在行权期未按时支付利息。回溯至今年4月底，原扶余惠民村镇银行</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被吸收合并进吉林农商行的56家机构之一</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储户存款被员工盗取事件全面爆发</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一名员工涉嫌伪造签名私自转走储户1800万元用于炒股</w:t>
      </w:r>
      <w:r>
        <w:rPr>
          <w:rFonts w:hint="eastAsia" w:ascii="宋体" w:hAnsi="宋体" w:eastAsia="宋体" w:cs="宋体"/>
          <w:i w:val="0"/>
          <w:iCs w:val="0"/>
          <w:caps w:val="0"/>
          <w:color w:val="0F1115"/>
          <w:spacing w:val="0"/>
          <w:sz w:val="21"/>
          <w:szCs w:val="21"/>
          <w:shd w:val="clear" w:fill="FFFFFF"/>
          <w:lang w:eastAsia="zh-CN"/>
        </w:rPr>
        <w:t>。</w:t>
      </w:r>
    </w:p>
    <w:p w14:paraId="35F3C2B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事发后当事人喝农药轻生未遂，已被警方采取强制措施，被盗取的存款已被全额赔付。</w:t>
      </w:r>
    </w:p>
    <w:p w14:paraId="0E9B37F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b/>
          <w:bCs/>
          <w:i w:val="0"/>
          <w:iCs w:val="0"/>
          <w:caps w:val="0"/>
          <w:color w:val="0F1115"/>
          <w:spacing w:val="0"/>
          <w:sz w:val="30"/>
          <w:szCs w:val="30"/>
          <w:shd w:val="clear" w:fill="FFFFFF"/>
        </w:rPr>
      </w:pPr>
      <w:r>
        <w:rPr>
          <w:rFonts w:hint="eastAsia" w:ascii="宋体" w:hAnsi="宋体" w:eastAsia="宋体" w:cs="宋体"/>
          <w:b/>
          <w:bCs/>
          <w:i w:val="0"/>
          <w:iCs w:val="0"/>
          <w:caps w:val="0"/>
          <w:color w:val="0F1115"/>
          <w:spacing w:val="0"/>
          <w:sz w:val="30"/>
          <w:szCs w:val="30"/>
          <w:shd w:val="clear" w:fill="FFFFFF"/>
        </w:rPr>
        <w:t>从挂牌开业到三线同时</w:t>
      </w:r>
      <w:r>
        <w:rPr>
          <w:rFonts w:hint="eastAsia" w:ascii="宋体" w:hAnsi="宋体" w:eastAsia="宋体" w:cs="宋体"/>
          <w:b/>
          <w:bCs/>
          <w:i w:val="0"/>
          <w:iCs w:val="0"/>
          <w:caps w:val="0"/>
          <w:color w:val="0F1115"/>
          <w:spacing w:val="0"/>
          <w:sz w:val="30"/>
          <w:szCs w:val="30"/>
          <w:shd w:val="clear" w:fill="FFFFFF"/>
          <w:lang w:val="en-US" w:eastAsia="zh-CN"/>
        </w:rPr>
        <w:t>出问题</w:t>
      </w:r>
    </w:p>
    <w:p w14:paraId="787BFEF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这不是偶发性事件的随机叠加，而是一场合并式改革中系统性风险加速集中的深层剖面。</w:t>
      </w:r>
    </w:p>
    <w:p w14:paraId="2151910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160" w:afterAutospacing="0" w:line="300" w:lineRule="atLeast"/>
        <w:ind w:left="0" w:right="0" w:firstLine="0" w:firstLineChars="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三家前身机构的财务底牌</w:t>
      </w:r>
    </w:p>
    <w:p w14:paraId="4913632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吉林农商行由长春农商银行、四平城区农信社联社、宁江区联社等13家法人机构新设合并组建。已公开的财务数据全部集中在重组之前，披露范围有限，但两组关键数字足以说明这13家机构在合并前夜的财务脆弱性。</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6"/>
        <w:gridCol w:w="1320"/>
        <w:gridCol w:w="1784"/>
        <w:gridCol w:w="3506"/>
      </w:tblGrid>
      <w:tr w14:paraId="310B8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644F95F1">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机构</w:t>
            </w:r>
          </w:p>
        </w:tc>
        <w:tc>
          <w:tcPr>
            <w:tcW w:w="0" w:type="auto"/>
            <w:tcBorders>
              <w:top w:val="nil"/>
            </w:tcBorders>
            <w:shd w:val="clear"/>
            <w:tcMar>
              <w:top w:w="100" w:type="dxa"/>
              <w:left w:w="160" w:type="dxa"/>
              <w:bottom w:w="100" w:type="dxa"/>
              <w:right w:w="160" w:type="dxa"/>
            </w:tcMar>
            <w:vAlign w:val="center"/>
          </w:tcPr>
          <w:p w14:paraId="4A2A1B9F">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数据时点</w:t>
            </w:r>
          </w:p>
        </w:tc>
        <w:tc>
          <w:tcPr>
            <w:tcW w:w="0" w:type="auto"/>
            <w:tcBorders>
              <w:top w:val="nil"/>
            </w:tcBorders>
            <w:shd w:val="clear"/>
            <w:tcMar>
              <w:top w:w="100" w:type="dxa"/>
              <w:left w:w="160" w:type="dxa"/>
              <w:bottom w:w="100" w:type="dxa"/>
              <w:right w:w="160" w:type="dxa"/>
            </w:tcMar>
            <w:vAlign w:val="center"/>
          </w:tcPr>
          <w:p w14:paraId="2BA67800">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资产/资本概况</w:t>
            </w:r>
          </w:p>
        </w:tc>
        <w:tc>
          <w:tcPr>
            <w:tcW w:w="0" w:type="auto"/>
            <w:tcBorders>
              <w:top w:val="nil"/>
            </w:tcBorders>
            <w:shd w:val="clear"/>
            <w:tcMar>
              <w:top w:w="100" w:type="dxa"/>
              <w:left w:w="160" w:type="dxa"/>
              <w:bottom w:w="100" w:type="dxa"/>
              <w:right w:w="160" w:type="dxa"/>
            </w:tcMar>
            <w:vAlign w:val="center"/>
          </w:tcPr>
          <w:p w14:paraId="4491C962">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利润/损失概况</w:t>
            </w:r>
          </w:p>
        </w:tc>
      </w:tr>
      <w:tr w14:paraId="67FB8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CD4FEC">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长春农商行</w:t>
            </w:r>
          </w:p>
        </w:tc>
        <w:tc>
          <w:tcPr>
            <w:tcW w:w="0" w:type="auto"/>
            <w:shd w:val="clear"/>
            <w:tcMar>
              <w:top w:w="100" w:type="dxa"/>
              <w:left w:w="160" w:type="dxa"/>
              <w:bottom w:w="100" w:type="dxa"/>
              <w:right w:w="160" w:type="dxa"/>
            </w:tcMar>
            <w:vAlign w:val="center"/>
          </w:tcPr>
          <w:p w14:paraId="3440B0E1">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合并前末次披露</w:t>
            </w:r>
          </w:p>
        </w:tc>
        <w:tc>
          <w:tcPr>
            <w:tcW w:w="0" w:type="auto"/>
            <w:shd w:val="clear"/>
            <w:tcMar>
              <w:top w:w="100" w:type="dxa"/>
              <w:left w:w="160" w:type="dxa"/>
              <w:bottom w:w="100" w:type="dxa"/>
              <w:right w:w="160" w:type="dxa"/>
            </w:tcMar>
            <w:vAlign w:val="center"/>
          </w:tcPr>
          <w:p w14:paraId="0769B9AA">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总资产约1000亿元</w:t>
            </w:r>
          </w:p>
        </w:tc>
        <w:tc>
          <w:tcPr>
            <w:tcW w:w="0" w:type="auto"/>
            <w:shd w:val="clear"/>
            <w:tcMar>
              <w:top w:w="100" w:type="dxa"/>
              <w:left w:w="160" w:type="dxa"/>
              <w:bottom w:w="100" w:type="dxa"/>
              <w:right w:w="0" w:type="dxa"/>
            </w:tcMar>
            <w:vAlign w:val="center"/>
          </w:tcPr>
          <w:p w14:paraId="423A7A85">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w:t>
            </w:r>
          </w:p>
        </w:tc>
      </w:tr>
      <w:tr w14:paraId="40B0E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1CE3B9C">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四平城区农信社联社</w:t>
            </w:r>
          </w:p>
        </w:tc>
        <w:tc>
          <w:tcPr>
            <w:tcW w:w="0" w:type="auto"/>
            <w:shd w:val="clear"/>
            <w:tcMar>
              <w:top w:w="100" w:type="dxa"/>
              <w:left w:w="160" w:type="dxa"/>
              <w:bottom w:w="100" w:type="dxa"/>
              <w:right w:w="160" w:type="dxa"/>
            </w:tcMar>
            <w:vAlign w:val="center"/>
          </w:tcPr>
          <w:p w14:paraId="33527421">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合并前末次披露</w:t>
            </w:r>
          </w:p>
        </w:tc>
        <w:tc>
          <w:tcPr>
            <w:tcW w:w="0" w:type="auto"/>
            <w:shd w:val="clear"/>
            <w:tcMar>
              <w:top w:w="100" w:type="dxa"/>
              <w:left w:w="160" w:type="dxa"/>
              <w:bottom w:w="100" w:type="dxa"/>
              <w:right w:w="160" w:type="dxa"/>
            </w:tcMar>
            <w:vAlign w:val="center"/>
          </w:tcPr>
          <w:p w14:paraId="27C0EE06">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不良贷款率高于行业均值</w:t>
            </w:r>
          </w:p>
        </w:tc>
        <w:tc>
          <w:tcPr>
            <w:tcW w:w="0" w:type="auto"/>
            <w:shd w:val="clear"/>
            <w:tcMar>
              <w:top w:w="100" w:type="dxa"/>
              <w:left w:w="160" w:type="dxa"/>
              <w:bottom w:w="100" w:type="dxa"/>
              <w:right w:w="0" w:type="dxa"/>
            </w:tcMar>
            <w:vAlign w:val="center"/>
          </w:tcPr>
          <w:p w14:paraId="5F51BBFE">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w:t>
            </w:r>
          </w:p>
        </w:tc>
      </w:tr>
      <w:tr w14:paraId="2E673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F4C9672">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长春发展农商行（化险对象）</w:t>
            </w:r>
          </w:p>
        </w:tc>
        <w:tc>
          <w:tcPr>
            <w:tcW w:w="0" w:type="auto"/>
            <w:shd w:val="clear"/>
            <w:tcMar>
              <w:top w:w="100" w:type="dxa"/>
              <w:left w:w="160" w:type="dxa"/>
              <w:bottom w:w="100" w:type="dxa"/>
              <w:right w:w="160" w:type="dxa"/>
            </w:tcMar>
            <w:vAlign w:val="center"/>
          </w:tcPr>
          <w:p w14:paraId="6921B23A">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2025年3月</w:t>
            </w:r>
          </w:p>
        </w:tc>
        <w:tc>
          <w:tcPr>
            <w:tcW w:w="0" w:type="auto"/>
            <w:shd w:val="clear"/>
            <w:tcMar>
              <w:top w:w="100" w:type="dxa"/>
              <w:left w:w="160" w:type="dxa"/>
              <w:bottom w:w="100" w:type="dxa"/>
              <w:right w:w="160" w:type="dxa"/>
            </w:tcMar>
            <w:vAlign w:val="center"/>
          </w:tcPr>
          <w:p w14:paraId="71F8B201">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w:t>
            </w:r>
          </w:p>
        </w:tc>
        <w:tc>
          <w:tcPr>
            <w:tcW w:w="0" w:type="auto"/>
            <w:shd w:val="clear"/>
            <w:tcMar>
              <w:top w:w="100" w:type="dxa"/>
              <w:left w:w="160" w:type="dxa"/>
              <w:bottom w:w="100" w:type="dxa"/>
              <w:right w:w="0" w:type="dxa"/>
            </w:tcMar>
            <w:vAlign w:val="center"/>
          </w:tcPr>
          <w:p w14:paraId="50AAFA19">
            <w:pPr>
              <w:keepNext w:val="0"/>
              <w:keepLines w:val="0"/>
              <w:pageBreakBefore w:val="0"/>
              <w:widowControl/>
              <w:suppressLineNumbers w:val="0"/>
              <w:kinsoku/>
              <w:wordWrap/>
              <w:overflowPunct/>
              <w:topLinePunct w:val="0"/>
              <w:autoSpaceDE/>
              <w:autoSpaceDN/>
              <w:bidi w:val="0"/>
              <w:adjustRightInd/>
              <w:snapToGrid/>
              <w:spacing w:line="250" w:lineRule="atLeast"/>
              <w:ind w:firstLine="0" w:firstLineChars="0"/>
              <w:jc w:val="left"/>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暂缓支付21长春发展农商二级利息（6亿元，利率5.80%）</w:t>
            </w:r>
          </w:p>
        </w:tc>
      </w:tr>
    </w:tbl>
    <w:p w14:paraId="53B145D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被吸收合并的56家机构，财务数据几乎全部没有公开披露。</w:t>
      </w:r>
    </w:p>
    <w:p w14:paraId="065197A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原扶余惠民村镇银行、原吉林丰满惠民村镇银行等机构在被吸收前的资产负债表情况外界无从知晓。</w:t>
      </w:r>
    </w:p>
    <w:p w14:paraId="62D6EF3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公开信息仅显示，原扶余惠民村镇银行涉案员工已盗取储户存款</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存款科目是最核心的负债端科目，出现员工盗取事件反映出的是内部控制已出现实质性瓦解。</w:t>
      </w:r>
    </w:p>
    <w:p w14:paraId="7D21BD4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160" w:afterAutospacing="0" w:line="300" w:lineRule="atLeast"/>
        <w:ind w:left="0" w:right="0" w:firstLine="0" w:firstLineChars="0"/>
        <w:textAlignment w:val="auto"/>
        <w:rPr>
          <w:rFonts w:hint="eastAsia" w:ascii="宋体" w:hAnsi="宋体" w:eastAsia="宋体" w:cs="宋体"/>
          <w:b/>
          <w:bCs/>
          <w:caps w:val="0"/>
          <w:color w:val="0F1115"/>
          <w:spacing w:val="0"/>
          <w:sz w:val="32"/>
          <w:szCs w:val="32"/>
        </w:rPr>
      </w:pPr>
      <w:r>
        <w:rPr>
          <w:rFonts w:hint="eastAsia" w:ascii="宋体" w:hAnsi="宋体" w:eastAsia="宋体" w:cs="宋体"/>
          <w:b/>
          <w:bCs/>
          <w:caps w:val="0"/>
          <w:color w:val="0F1115"/>
          <w:spacing w:val="0"/>
          <w:sz w:val="32"/>
          <w:szCs w:val="32"/>
          <w:shd w:val="clear" w:fill="FFFFFF"/>
        </w:rPr>
        <w:t>二级资本债付息违约</w:t>
      </w:r>
    </w:p>
    <w:p w14:paraId="0103F1D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今年3月底，个别位于青海和吉林的中小农商行发生了存续二级资本债在行权期未行使赎回权以及未按时支付债券利息的情况。</w:t>
      </w:r>
    </w:p>
    <w:p w14:paraId="4527827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长春发展农商行暂缓支付21长春发展农商二级当期利息（债券规模6亿元，当期利率5.80%），同期宣布不行使赎回选择权。青海互助农商行同期也决定不行使21青海互助农商二级01赎回选择权。</w:t>
      </w:r>
    </w:p>
    <w:p w14:paraId="680CCBF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二级资本债不赎回在2021至2022年间曾集中爆发，截至2024年末累计不赎回金额389.27亿元。随后在监管强化风险化解的背景下有所减少。</w:t>
      </w:r>
    </w:p>
    <w:p w14:paraId="37289E0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但2026年一季度又出现集中不赎回叠加暂停付息的新情况，问题性质发生了关键变化</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不赎回只意味着投资者久期被动拉长、本金仍可存续，暂停付息则已触及契约约定的利息支付义务。从不赎回到暂停付息，信用风险的表征从技术性操作滑向了实质性违约。</w:t>
      </w:r>
    </w:p>
    <w:p w14:paraId="59ED7F8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将长春发展农商行和青海互助农商行置于各自的区域改革背景下看</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长春发展农商行已划归农业银行管理，旗下57家机构名称变更于2025年9月获监管批复；</w:t>
      </w:r>
    </w:p>
    <w:p w14:paraId="77E368F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青海互助农商行所在的海东市正在推进市级统一法人农商行组建。两家机构都处于合并重组过程之中。</w:t>
      </w:r>
    </w:p>
    <w:p w14:paraId="2BC7917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这种时间上的重合并非偶然</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当合并重组引发资产、负债、资本结构的大幅调整，短期偿债能力的波动会率先在二级资本债的付息义务上反映出来。</w:t>
      </w:r>
    </w:p>
    <w:p w14:paraId="428285F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20" w:beforeAutospacing="0" w:after="160" w:afterAutospacing="0" w:line="300" w:lineRule="atLeast"/>
        <w:ind w:left="0" w:right="0" w:firstLine="0" w:firstLineChars="0"/>
        <w:textAlignment w:val="auto"/>
        <w:rPr>
          <w:rFonts w:hint="eastAsia" w:ascii="宋体" w:hAnsi="宋体" w:eastAsia="宋体" w:cs="宋体"/>
          <w:b/>
          <w:bCs/>
          <w:caps w:val="0"/>
          <w:color w:val="0F1115"/>
          <w:spacing w:val="0"/>
          <w:sz w:val="32"/>
          <w:szCs w:val="32"/>
        </w:rPr>
      </w:pPr>
      <w:r>
        <w:rPr>
          <w:rFonts w:hint="eastAsia" w:ascii="宋体" w:hAnsi="宋体" w:eastAsia="宋体" w:cs="宋体"/>
          <w:b/>
          <w:bCs/>
          <w:caps w:val="0"/>
          <w:color w:val="0F1115"/>
          <w:spacing w:val="0"/>
          <w:sz w:val="32"/>
          <w:szCs w:val="32"/>
          <w:shd w:val="clear" w:fill="FFFFFF"/>
        </w:rPr>
        <w:t>千万存款流失事件</w:t>
      </w:r>
    </w:p>
    <w:p w14:paraId="339AFCF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被吸收合并进吉林农商行的原扶余惠民村镇银行爆出的存款被盗案，是操作风险集中暴露最典型的样本。</w:t>
      </w:r>
    </w:p>
    <w:p w14:paraId="33A3F06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一名员工涉嫌伪造签名，私自转走两名储户合计1800万元存款，用于个人炒股。2025年12月，扶余惠民村镇银行被吉林农商行合并。</w:t>
      </w:r>
    </w:p>
    <w:p w14:paraId="3E48BB2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2026年初，储户前往长春将此事反映给吉林农商行总行，总行工作人员承诺将在7天内将钱转回储户账户，然而到了承诺时间款项仍未到账。</w:t>
      </w:r>
    </w:p>
    <w:p w14:paraId="773C9FE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b/>
          <w:bCs/>
          <w:i w:val="0"/>
          <w:iCs w:val="0"/>
          <w:caps w:val="0"/>
          <w:color w:val="0F1115"/>
          <w:spacing w:val="0"/>
          <w:sz w:val="21"/>
          <w:szCs w:val="21"/>
        </w:rPr>
      </w:pPr>
      <w:r>
        <w:rPr>
          <w:rFonts w:hint="eastAsia" w:ascii="宋体" w:hAnsi="宋体" w:eastAsia="宋体" w:cs="宋体"/>
          <w:b/>
          <w:bCs/>
          <w:i w:val="0"/>
          <w:iCs w:val="0"/>
          <w:caps w:val="0"/>
          <w:color w:val="0F1115"/>
          <w:spacing w:val="0"/>
          <w:sz w:val="21"/>
          <w:szCs w:val="21"/>
          <w:shd w:val="clear" w:fill="FFFFFF"/>
        </w:rPr>
        <w:t>4月30日，吉林农商行正式表态</w:t>
      </w:r>
      <w:r>
        <w:rPr>
          <w:rFonts w:hint="eastAsia" w:ascii="宋体" w:hAnsi="宋体" w:eastAsia="宋体" w:cs="宋体"/>
          <w:b/>
          <w:bCs/>
          <w:i w:val="0"/>
          <w:iCs w:val="0"/>
          <w:caps w:val="0"/>
          <w:color w:val="0F1115"/>
          <w:spacing w:val="0"/>
          <w:sz w:val="21"/>
          <w:szCs w:val="21"/>
          <w:shd w:val="clear" w:fill="FFFFFF"/>
          <w:lang w:eastAsia="zh-CN"/>
        </w:rPr>
        <w:t>，</w:t>
      </w:r>
      <w:r>
        <w:rPr>
          <w:rFonts w:hint="eastAsia" w:ascii="宋体" w:hAnsi="宋体" w:eastAsia="宋体" w:cs="宋体"/>
          <w:b/>
          <w:bCs/>
          <w:i w:val="0"/>
          <w:iCs w:val="0"/>
          <w:caps w:val="0"/>
          <w:color w:val="0F1115"/>
          <w:spacing w:val="0"/>
          <w:sz w:val="21"/>
          <w:szCs w:val="21"/>
          <w:shd w:val="clear" w:fill="FFFFFF"/>
        </w:rPr>
        <w:t>涉案员工已被采取强制措施，被盗取的两笔合计1800万元存款本金及利息由银行全额赔付。</w:t>
      </w:r>
    </w:p>
    <w:p w14:paraId="18F04D7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1800万元对一家总资产千亿级的银行来说金额不算大，但两个关键细节暴露了严重的内控问题。</w:t>
      </w:r>
    </w:p>
    <w:p w14:paraId="351A976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b/>
          <w:bCs/>
          <w:i w:val="0"/>
          <w:iCs w:val="0"/>
          <w:caps w:val="0"/>
          <w:color w:val="0F1115"/>
          <w:spacing w:val="0"/>
          <w:sz w:val="21"/>
          <w:szCs w:val="21"/>
        </w:rPr>
      </w:pPr>
      <w:r>
        <w:rPr>
          <w:rFonts w:hint="eastAsia" w:ascii="宋体" w:hAnsi="宋体" w:eastAsia="宋体" w:cs="宋体"/>
          <w:b/>
          <w:bCs/>
          <w:i w:val="0"/>
          <w:iCs w:val="0"/>
          <w:caps w:val="0"/>
          <w:color w:val="0F1115"/>
          <w:spacing w:val="0"/>
          <w:sz w:val="21"/>
          <w:szCs w:val="21"/>
          <w:shd w:val="clear" w:fill="FFFFFF"/>
        </w:rPr>
        <w:t>一是作案手法极低级</w:t>
      </w:r>
      <w:r>
        <w:rPr>
          <w:rFonts w:hint="eastAsia" w:ascii="宋体" w:hAnsi="宋体" w:eastAsia="宋体" w:cs="宋体"/>
          <w:b/>
          <w:bCs/>
          <w:i w:val="0"/>
          <w:iCs w:val="0"/>
          <w:caps w:val="0"/>
          <w:color w:val="0F1115"/>
          <w:spacing w:val="0"/>
          <w:sz w:val="21"/>
          <w:szCs w:val="21"/>
          <w:shd w:val="clear" w:fill="FFFFFF"/>
          <w:lang w:eastAsia="zh-CN"/>
        </w:rPr>
        <w:t>，</w:t>
      </w:r>
      <w:r>
        <w:rPr>
          <w:rFonts w:hint="eastAsia" w:ascii="宋体" w:hAnsi="宋体" w:eastAsia="宋体" w:cs="宋体"/>
          <w:b/>
          <w:bCs/>
          <w:i w:val="0"/>
          <w:iCs w:val="0"/>
          <w:caps w:val="0"/>
          <w:color w:val="0F1115"/>
          <w:spacing w:val="0"/>
          <w:sz w:val="21"/>
          <w:szCs w:val="21"/>
          <w:shd w:val="clear" w:fill="FFFFFF"/>
        </w:rPr>
        <w:t>伪造签名即可转走储户存款，说明柜面授权、印章管理和客户身份核实流程形同虚设。二是承诺赔而不及时赔</w:t>
      </w:r>
      <w:r>
        <w:rPr>
          <w:rFonts w:hint="eastAsia" w:ascii="宋体" w:hAnsi="宋体" w:eastAsia="宋体" w:cs="宋体"/>
          <w:b/>
          <w:bCs/>
          <w:i w:val="0"/>
          <w:iCs w:val="0"/>
          <w:caps w:val="0"/>
          <w:color w:val="0F1115"/>
          <w:spacing w:val="0"/>
          <w:sz w:val="21"/>
          <w:szCs w:val="21"/>
          <w:shd w:val="clear" w:fill="FFFFFF"/>
          <w:lang w:eastAsia="zh-CN"/>
        </w:rPr>
        <w:t>，</w:t>
      </w:r>
      <w:r>
        <w:rPr>
          <w:rFonts w:hint="eastAsia" w:ascii="宋体" w:hAnsi="宋体" w:eastAsia="宋体" w:cs="宋体"/>
          <w:b/>
          <w:bCs/>
          <w:i w:val="0"/>
          <w:iCs w:val="0"/>
          <w:caps w:val="0"/>
          <w:color w:val="0F1115"/>
          <w:spacing w:val="0"/>
          <w:sz w:val="21"/>
          <w:szCs w:val="21"/>
          <w:shd w:val="clear" w:fill="FFFFFF"/>
        </w:rPr>
        <w:t>承诺7天赔付却未兑现，直至媒体和监管部门介入才最终落实，说明总行对分支机构的客户诉求响应机制严重失灵。</w:t>
      </w:r>
    </w:p>
    <w:p w14:paraId="7D3EC38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一家村镇银行在被吸收前的内控真空，是主发起行监督管理长期缺位的结果。</w:t>
      </w:r>
    </w:p>
    <w:p w14:paraId="537D4D4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原扶余惠民村镇银行的主发起行早在合并前就已无力对其实施有效风险管控，这些内控黑洞被吸收合并一并吞入吉林农商行的资产负债表。合并保住的只是账面资产，接管来的实际是未经充分审计的或有风险。</w:t>
      </w:r>
    </w:p>
    <w:p w14:paraId="27E0C72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这些吸收合并案有一个不容忽视的结构性特征</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被吸收机构几乎不对外披露审计后的财务状况。</w:t>
      </w:r>
    </w:p>
    <w:p w14:paraId="7435B05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投资者和存款人无从知道被吸并机构的真实不良率、拨备覆盖率和资本充足率。吸收方在交易公告中同样鲜有披露被吸收机构合并日的财务底稿。信息真空意味着风险真空</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吸收合并的风险再分布效应被整体性地隐藏在交易结构之内。</w:t>
      </w:r>
    </w:p>
    <w:p w14:paraId="2EE49C3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吉林农商行的三线告急只是这道裂谷最先暴露出来的部分。</w:t>
      </w:r>
    </w:p>
    <w:p w14:paraId="435671F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改革模式本身也在加速迭代。吉林省选择了最彻底的一步到位路线</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将13家法人机构一次性合并为省级统一法人。</w:t>
      </w:r>
    </w:p>
    <w:p w14:paraId="78112CF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这种模式的效率更高，但风险集中的速度和程度也更快。</w:t>
      </w:r>
    </w:p>
    <w:p w14:paraId="24A90AE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0" w:afterAutospacing="0"/>
        <w:ind w:left="0" w:right="0" w:firstLine="0" w:firstLineChars="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合并后的治理体系、内控机制和信用管理能力的建设跟不上资产规模膨胀的节奏，就会出现吉林农商行这种合并完、风险集中爆发的局面。</w:t>
      </w:r>
    </w:p>
    <w:p w14:paraId="2973619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0" w:afterAutospacing="0"/>
        <w:ind w:left="0" w:right="0" w:firstLine="0" w:firstLineChars="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这一风险已在吉林农商行开业不到九个月的信息中得到了验证。其他正在推进省级统一法人改革的省份，面对的考题和吉林并无本质区别。</w:t>
      </w:r>
    </w:p>
    <w:p w14:paraId="7E0FCA2B">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C61301"/>
    <w:rsid w:val="0DC63D6E"/>
    <w:rsid w:val="3C3B065F"/>
    <w:rsid w:val="4FF74123"/>
    <w:rsid w:val="53B4661F"/>
    <w:rsid w:val="6A9B7A95"/>
    <w:rsid w:val="78850FF2"/>
    <w:rsid w:val="7A017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1441" w:firstLineChars="200"/>
      <w:jc w:val="both"/>
    </w:pPr>
    <w:rPr>
      <w:rFonts w:ascii="Times New Roman" w:hAnsi="Times New Roman" w:eastAsia="宋体" w:cs="Times New Roman"/>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paragraph" w:customStyle="1" w:styleId="7">
    <w:name w:val="zhengwen"/>
    <w:basedOn w:val="1"/>
    <w:uiPriority w:val="0"/>
    <w:pPr>
      <w:spacing w:line="360" w:lineRule="auto"/>
      <w:ind w:firstLine="1441" w:firstLineChars="200"/>
    </w:pPr>
    <w:rPr>
      <w:rFonts w:ascii="Times New Roman" w:hAnsi="Times New Roman" w:eastAsia="宋体"/>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2026-02-13T08:29:00Z</dcterms:created>
  <dc:creator>wu</dc:creator>
  <cp:lastModifiedBy>沉默的三百块</cp:lastModifiedBy>
  <dcterms:modified xsi:type="dcterms:W3CDTF">2026-05-19T20:42:25Z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CAA3C7ADB96A4F7CB6C1C7335D84CAE9_12</vt:lpwstr>
  </property>
  <property fmtid="{D5CDD505-2E9C-101B-9397-08002B2CF9AE}" pid="4" name="KSOTemplateDocerSaveRecord">
    <vt:lpwstr>eyJoZGlkIjoiYjAzYWJlZjVmY2E1Zjg2ZTU1Y2E2OTQ4YmNlODA1ZjAiLCJ1c2VySWQiOiIxNzAyNjY4ODk4In0=</vt:lpwstr>
  </property>
</Properties>
</file>