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F1C239">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192" w:afterAutospacing="0"/>
        <w:ind w:left="0" w:right="0" w:firstLine="0" w:firstLineChars="0"/>
        <w:textAlignment w:val="auto"/>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2026年5月19日，金融监管总局印发《关于做好2026年小微企业金融服务工作的通知》，执行多年的普惠型小微企业贷款增速不低于各项贷款增速硬性考核指标被正式删除。</w:t>
      </w:r>
    </w:p>
    <w:p w14:paraId="5BA010C7">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ind w:left="0" w:right="0" w:firstLine="0" w:firstLineChars="0"/>
        <w:textAlignment w:val="auto"/>
        <w:rPr>
          <w:rFonts w:hint="default" w:ascii="Segoe UI" w:hAnsi="Segoe UI" w:eastAsia="Segoe UI" w:cs="Segoe UI"/>
          <w:b/>
          <w:bCs/>
          <w:i w:val="0"/>
          <w:iCs w:val="0"/>
          <w:caps w:val="0"/>
          <w:color w:val="0F1115"/>
          <w:spacing w:val="0"/>
          <w:sz w:val="19"/>
          <w:szCs w:val="19"/>
          <w:shd w:val="clear" w:fill="FFFFFF"/>
        </w:rPr>
      </w:pPr>
      <w:r>
        <w:rPr>
          <w:rFonts w:hint="default" w:ascii="Segoe UI" w:hAnsi="Segoe UI" w:eastAsia="Segoe UI" w:cs="Segoe UI"/>
          <w:b/>
          <w:bCs/>
          <w:i w:val="0"/>
          <w:iCs w:val="0"/>
          <w:caps w:val="0"/>
          <w:color w:val="0F1115"/>
          <w:spacing w:val="0"/>
          <w:sz w:val="19"/>
          <w:szCs w:val="19"/>
          <w:shd w:val="clear" w:fill="FFFFFF"/>
        </w:rPr>
        <w:t>这一天，行业已经等了至少五年。</w:t>
      </w:r>
    </w:p>
    <w:p w14:paraId="475DF073">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ind w:left="0" w:right="0" w:firstLine="0" w:firstLineChars="0"/>
        <w:textAlignment w:val="auto"/>
        <w:rPr>
          <w:rFonts w:hint="default" w:ascii="Segoe UI" w:hAnsi="Segoe UI" w:eastAsia="宋体" w:cs="Segoe UI"/>
          <w:b/>
          <w:bCs/>
          <w:i w:val="0"/>
          <w:iCs w:val="0"/>
          <w:caps w:val="0"/>
          <w:color w:val="0F1115"/>
          <w:spacing w:val="0"/>
          <w:sz w:val="32"/>
          <w:szCs w:val="32"/>
          <w:shd w:val="clear" w:fill="FFFFFF"/>
          <w:lang w:val="en-US" w:eastAsia="zh-CN"/>
        </w:rPr>
      </w:pPr>
      <w:r>
        <w:rPr>
          <w:rFonts w:hint="eastAsia" w:ascii="Segoe UI" w:hAnsi="Segoe UI" w:eastAsia="宋体" w:cs="Segoe UI"/>
          <w:b/>
          <w:bCs/>
          <w:i w:val="0"/>
          <w:iCs w:val="0"/>
          <w:caps w:val="0"/>
          <w:color w:val="0F1115"/>
          <w:spacing w:val="0"/>
          <w:sz w:val="32"/>
          <w:szCs w:val="32"/>
          <w:shd w:val="clear" w:fill="FFFFFF"/>
          <w:lang w:val="en-US" w:eastAsia="zh-CN"/>
        </w:rPr>
        <w:t>五年的普惠狂奔</w:t>
      </w:r>
    </w:p>
    <w:p w14:paraId="31CBB83B">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ind w:left="0" w:right="0" w:firstLine="0" w:firstLineChars="0"/>
        <w:textAlignment w:val="auto"/>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五年前，普惠型小微企业贷款余额不到10万亿元。到2026年一季度，这个数字变成了38.8万亿元，增长近3倍。</w:t>
      </w:r>
    </w:p>
    <w:p w14:paraId="6FAF10AF">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ind w:left="0" w:right="0" w:firstLine="0" w:firstLineChars="0"/>
        <w:textAlignment w:val="auto"/>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但比总量更值得追问的是，这三十多万亿贷款流向了谁，又由谁来承担风险。</w:t>
      </w:r>
    </w:p>
    <w:p w14:paraId="5555D8F2">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ind w:left="0" w:right="0" w:firstLine="0" w:firstLineChars="0"/>
        <w:textAlignment w:val="auto"/>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如果摊开银行业普惠小微贷款的市场份额表，一条鲜明的六年底色变化会出现在眼前。</w:t>
      </w:r>
    </w:p>
    <w:p w14:paraId="49D5586D">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ind w:left="0" w:right="0" w:firstLine="0" w:firstLineChars="0"/>
        <w:textAlignment w:val="auto"/>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从2020年末到2025年末，大型商业银行的份额从31.65%一路攀升至45.55%，六年抢走将近14个百分点；</w:t>
      </w:r>
    </w:p>
    <w:p w14:paraId="02752994">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ind w:left="0" w:right="0" w:firstLine="0" w:firstLineChars="0"/>
        <w:textAlignment w:val="auto"/>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与此同时，农村金融机构的份额从33.92%降至25.35%，六年丢失超过8个百分点。2025年四季度末，大行普惠小微贷款占比接近半壁江山，而农商行已退居四分之一。</w:t>
      </w:r>
    </w:p>
    <w:p w14:paraId="2BC432A3">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ind w:left="0" w:right="0" w:firstLine="0" w:firstLineChars="0"/>
        <w:textAlignment w:val="auto"/>
        <w:rPr>
          <w:rFonts w:hint="default" w:ascii="Segoe UI" w:hAnsi="Segoe UI" w:eastAsia="Segoe UI" w:cs="Segoe UI"/>
          <w:b/>
          <w:bCs/>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这组数字意味着，普惠金融的市场份额完成了一次彻底的权力转移</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b/>
          <w:bCs/>
          <w:i w:val="0"/>
          <w:iCs w:val="0"/>
          <w:caps w:val="0"/>
          <w:color w:val="0F1115"/>
          <w:spacing w:val="0"/>
          <w:sz w:val="19"/>
          <w:szCs w:val="19"/>
          <w:shd w:val="clear" w:fill="FFFFFF"/>
        </w:rPr>
        <w:t>农商行从主力变为配角，大行从配角变为主力。</w:t>
      </w:r>
    </w:p>
    <w:p w14:paraId="7BE8F663">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ind w:left="0" w:right="0" w:firstLine="0" w:firstLineChars="0"/>
        <w:textAlignment w:val="auto"/>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大行下沉抢市场依靠的首先是成本优势。</w:t>
      </w:r>
    </w:p>
    <w:p w14:paraId="4E803D29">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ind w:left="0" w:right="0" w:firstLine="0" w:firstLineChars="0"/>
        <w:textAlignment w:val="auto"/>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国有大行新发放普惠贷款利率集中在2.</w:t>
      </w:r>
      <w:r>
        <w:rPr>
          <w:rFonts w:hint="eastAsia" w:ascii="Segoe UI" w:hAnsi="Segoe UI" w:eastAsia="宋体" w:cs="Segoe UI"/>
          <w:i w:val="0"/>
          <w:iCs w:val="0"/>
          <w:caps w:val="0"/>
          <w:color w:val="0F1115"/>
          <w:spacing w:val="0"/>
          <w:sz w:val="19"/>
          <w:szCs w:val="19"/>
          <w:shd w:val="clear" w:fill="FFFFFF"/>
          <w:lang w:val="en-US" w:eastAsia="zh-CN"/>
        </w:rPr>
        <w:t>5</w:t>
      </w:r>
      <w:r>
        <w:rPr>
          <w:rFonts w:hint="default" w:ascii="Segoe UI" w:hAnsi="Segoe UI" w:eastAsia="Segoe UI" w:cs="Segoe UI"/>
          <w:i w:val="0"/>
          <w:iCs w:val="0"/>
          <w:caps w:val="0"/>
          <w:color w:val="0F1115"/>
          <w:spacing w:val="0"/>
          <w:sz w:val="19"/>
          <w:szCs w:val="19"/>
          <w:shd w:val="clear" w:fill="FFFFFF"/>
        </w:rPr>
        <w:t>%至3%之间，而农商行揽储成本普遍在1.8%以上，加上运营成本、信用成本和拨备，实际放贷成本远高于大行。</w:t>
      </w:r>
    </w:p>
    <w:p w14:paraId="2BAB22B9">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ind w:left="0" w:right="0" w:firstLine="0" w:firstLineChars="0"/>
        <w:textAlignment w:val="auto"/>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当大行把利率压到3%以下，中小银行要么跟进降价</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息差被打穿，要么坚守定价</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客户被抢走。</w:t>
      </w:r>
    </w:p>
    <w:p w14:paraId="5C05B5C9">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ind w:left="0" w:right="0" w:firstLine="0" w:firstLineChars="0"/>
        <w:textAlignment w:val="auto"/>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大行下沉真正致命的是掐尖效应</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专挑各区域最优质的头部小微客户下手</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有房产抵押、有纳税记录、有稳定经营流水的企业，被大行用低息从农商行手中直接挖走。</w:t>
      </w:r>
    </w:p>
    <w:p w14:paraId="5007C54C">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ind w:left="0" w:right="0" w:firstLine="0" w:firstLineChars="0"/>
        <w:textAlignment w:val="auto"/>
        <w:rPr>
          <w:rFonts w:hint="default" w:ascii="Segoe UI" w:hAnsi="Segoe UI" w:eastAsia="Segoe UI" w:cs="Segoe UI"/>
          <w:b/>
          <w:bCs/>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农商行被迫退守到更次级的客群。坏账率的增加随之成为大概率事件。</w:t>
      </w:r>
    </w:p>
    <w:tbl>
      <w:tblPr>
        <w:tblW w:w="902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10"/>
        <w:gridCol w:w="3857"/>
        <w:gridCol w:w="3857"/>
      </w:tblGrid>
      <w:tr w14:paraId="557FC1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20" w:type="dxa"/>
              <w:left w:w="0" w:type="dxa"/>
              <w:bottom w:w="120" w:type="dxa"/>
              <w:right w:w="192" w:type="dxa"/>
            </w:tcMar>
            <w:vAlign w:val="center"/>
          </w:tcPr>
          <w:p w14:paraId="469AD7AF">
            <w:pPr>
              <w:keepNext w:val="0"/>
              <w:keepLines w:val="0"/>
              <w:pageBreakBefore w:val="0"/>
              <w:widowControl/>
              <w:suppressLineNumbers w:val="0"/>
              <w:kinsoku/>
              <w:wordWrap/>
              <w:overflowPunct/>
              <w:topLinePunct w:val="0"/>
              <w:autoSpaceDE/>
              <w:autoSpaceDN/>
              <w:bidi w:val="0"/>
              <w:adjustRightInd/>
              <w:snapToGrid/>
              <w:spacing w:line="300" w:lineRule="atLeast"/>
              <w:ind w:firstLine="0" w:firstLineChars="0"/>
              <w:jc w:val="left"/>
              <w:textAlignment w:val="auto"/>
              <w:rPr>
                <w:rFonts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时间节点</w:t>
            </w:r>
          </w:p>
        </w:tc>
        <w:tc>
          <w:tcPr>
            <w:tcW w:w="0" w:type="auto"/>
            <w:tcBorders>
              <w:top w:val="nil"/>
            </w:tcBorders>
            <w:shd w:val="clear"/>
            <w:tcMar>
              <w:top w:w="120" w:type="dxa"/>
              <w:left w:w="192" w:type="dxa"/>
              <w:bottom w:w="120" w:type="dxa"/>
              <w:right w:w="192" w:type="dxa"/>
            </w:tcMar>
            <w:vAlign w:val="center"/>
          </w:tcPr>
          <w:p w14:paraId="219D4275">
            <w:pPr>
              <w:keepNext w:val="0"/>
              <w:keepLines w:val="0"/>
              <w:pageBreakBefore w:val="0"/>
              <w:widowControl/>
              <w:suppressLineNumbers w:val="0"/>
              <w:kinsoku/>
              <w:wordWrap/>
              <w:overflowPunct/>
              <w:topLinePunct w:val="0"/>
              <w:autoSpaceDE/>
              <w:autoSpaceDN/>
              <w:bidi w:val="0"/>
              <w:adjustRightInd/>
              <w:snapToGrid/>
              <w:spacing w:line="300" w:lineRule="atLeast"/>
              <w:ind w:firstLine="0" w:firstLineChars="0"/>
              <w:jc w:val="left"/>
              <w:textAlignment w:val="auto"/>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大型商业银行普惠小微市场份额</w:t>
            </w:r>
          </w:p>
        </w:tc>
        <w:tc>
          <w:tcPr>
            <w:tcW w:w="0" w:type="auto"/>
            <w:tcBorders>
              <w:top w:val="nil"/>
            </w:tcBorders>
            <w:shd w:val="clear"/>
            <w:tcMar>
              <w:top w:w="120" w:type="dxa"/>
              <w:left w:w="192" w:type="dxa"/>
              <w:bottom w:w="120" w:type="dxa"/>
              <w:right w:w="192" w:type="dxa"/>
            </w:tcMar>
            <w:vAlign w:val="center"/>
          </w:tcPr>
          <w:p w14:paraId="32690408">
            <w:pPr>
              <w:keepNext w:val="0"/>
              <w:keepLines w:val="0"/>
              <w:pageBreakBefore w:val="0"/>
              <w:widowControl/>
              <w:suppressLineNumbers w:val="0"/>
              <w:kinsoku/>
              <w:wordWrap/>
              <w:overflowPunct/>
              <w:topLinePunct w:val="0"/>
              <w:autoSpaceDE/>
              <w:autoSpaceDN/>
              <w:bidi w:val="0"/>
              <w:adjustRightInd/>
              <w:snapToGrid/>
              <w:spacing w:line="300" w:lineRule="atLeast"/>
              <w:ind w:firstLine="0" w:firstLineChars="0"/>
              <w:jc w:val="left"/>
              <w:textAlignment w:val="auto"/>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农村金融机构普惠小微市场份额</w:t>
            </w:r>
          </w:p>
        </w:tc>
      </w:tr>
      <w:tr w14:paraId="448543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72C592A2">
            <w:pPr>
              <w:keepNext w:val="0"/>
              <w:keepLines w:val="0"/>
              <w:pageBreakBefore w:val="0"/>
              <w:widowControl/>
              <w:suppressLineNumbers w:val="0"/>
              <w:kinsoku/>
              <w:wordWrap/>
              <w:overflowPunct/>
              <w:topLinePunct w:val="0"/>
              <w:autoSpaceDE/>
              <w:autoSpaceDN/>
              <w:bidi w:val="0"/>
              <w:adjustRightInd/>
              <w:snapToGrid/>
              <w:spacing w:line="300" w:lineRule="atLeast"/>
              <w:ind w:firstLine="0" w:firstLineChars="0"/>
              <w:jc w:val="left"/>
              <w:textAlignment w:val="auto"/>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2020年末</w:t>
            </w:r>
          </w:p>
        </w:tc>
        <w:tc>
          <w:tcPr>
            <w:tcW w:w="0" w:type="auto"/>
            <w:shd w:val="clear"/>
            <w:tcMar>
              <w:top w:w="120" w:type="dxa"/>
              <w:left w:w="192" w:type="dxa"/>
              <w:bottom w:w="120" w:type="dxa"/>
              <w:right w:w="192" w:type="dxa"/>
            </w:tcMar>
            <w:vAlign w:val="center"/>
          </w:tcPr>
          <w:p w14:paraId="014251EC">
            <w:pPr>
              <w:keepNext w:val="0"/>
              <w:keepLines w:val="0"/>
              <w:pageBreakBefore w:val="0"/>
              <w:widowControl/>
              <w:suppressLineNumbers w:val="0"/>
              <w:kinsoku/>
              <w:wordWrap/>
              <w:overflowPunct/>
              <w:topLinePunct w:val="0"/>
              <w:autoSpaceDE/>
              <w:autoSpaceDN/>
              <w:bidi w:val="0"/>
              <w:adjustRightInd/>
              <w:snapToGrid/>
              <w:spacing w:line="300" w:lineRule="atLeast"/>
              <w:ind w:firstLine="0" w:firstLineChars="0"/>
              <w:jc w:val="left"/>
              <w:textAlignment w:val="auto"/>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31.65%</w:t>
            </w:r>
          </w:p>
        </w:tc>
        <w:tc>
          <w:tcPr>
            <w:tcW w:w="0" w:type="auto"/>
            <w:shd w:val="clear"/>
            <w:tcMar>
              <w:top w:w="120" w:type="dxa"/>
              <w:left w:w="192" w:type="dxa"/>
              <w:bottom w:w="120" w:type="dxa"/>
              <w:right w:w="0" w:type="dxa"/>
            </w:tcMar>
            <w:vAlign w:val="center"/>
          </w:tcPr>
          <w:p w14:paraId="5F5BCE7F">
            <w:pPr>
              <w:keepNext w:val="0"/>
              <w:keepLines w:val="0"/>
              <w:pageBreakBefore w:val="0"/>
              <w:widowControl/>
              <w:suppressLineNumbers w:val="0"/>
              <w:kinsoku/>
              <w:wordWrap/>
              <w:overflowPunct/>
              <w:topLinePunct w:val="0"/>
              <w:autoSpaceDE/>
              <w:autoSpaceDN/>
              <w:bidi w:val="0"/>
              <w:adjustRightInd/>
              <w:snapToGrid/>
              <w:spacing w:line="300" w:lineRule="atLeast"/>
              <w:ind w:firstLine="0" w:firstLineChars="0"/>
              <w:jc w:val="left"/>
              <w:textAlignment w:val="auto"/>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33.92%</w:t>
            </w:r>
          </w:p>
        </w:tc>
      </w:tr>
      <w:tr w14:paraId="452DC1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059A0C35">
            <w:pPr>
              <w:keepNext w:val="0"/>
              <w:keepLines w:val="0"/>
              <w:pageBreakBefore w:val="0"/>
              <w:widowControl/>
              <w:suppressLineNumbers w:val="0"/>
              <w:kinsoku/>
              <w:wordWrap/>
              <w:overflowPunct/>
              <w:topLinePunct w:val="0"/>
              <w:autoSpaceDE/>
              <w:autoSpaceDN/>
              <w:bidi w:val="0"/>
              <w:adjustRightInd/>
              <w:snapToGrid/>
              <w:spacing w:line="300" w:lineRule="atLeast"/>
              <w:ind w:firstLine="0" w:firstLineChars="0"/>
              <w:jc w:val="left"/>
              <w:textAlignment w:val="auto"/>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2025年末</w:t>
            </w:r>
          </w:p>
        </w:tc>
        <w:tc>
          <w:tcPr>
            <w:tcW w:w="0" w:type="auto"/>
            <w:shd w:val="clear"/>
            <w:tcMar>
              <w:top w:w="120" w:type="dxa"/>
              <w:left w:w="192" w:type="dxa"/>
              <w:bottom w:w="120" w:type="dxa"/>
              <w:right w:w="192" w:type="dxa"/>
            </w:tcMar>
            <w:vAlign w:val="center"/>
          </w:tcPr>
          <w:p w14:paraId="418C0081">
            <w:pPr>
              <w:keepNext w:val="0"/>
              <w:keepLines w:val="0"/>
              <w:pageBreakBefore w:val="0"/>
              <w:widowControl/>
              <w:suppressLineNumbers w:val="0"/>
              <w:kinsoku/>
              <w:wordWrap/>
              <w:overflowPunct/>
              <w:topLinePunct w:val="0"/>
              <w:autoSpaceDE/>
              <w:autoSpaceDN/>
              <w:bidi w:val="0"/>
              <w:adjustRightInd/>
              <w:snapToGrid/>
              <w:spacing w:line="300" w:lineRule="atLeast"/>
              <w:ind w:firstLine="0" w:firstLineChars="0"/>
              <w:jc w:val="left"/>
              <w:textAlignment w:val="auto"/>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45.55%</w:t>
            </w:r>
          </w:p>
        </w:tc>
        <w:tc>
          <w:tcPr>
            <w:tcW w:w="0" w:type="auto"/>
            <w:shd w:val="clear"/>
            <w:tcMar>
              <w:top w:w="120" w:type="dxa"/>
              <w:left w:w="192" w:type="dxa"/>
              <w:bottom w:w="120" w:type="dxa"/>
              <w:right w:w="0" w:type="dxa"/>
            </w:tcMar>
            <w:vAlign w:val="center"/>
          </w:tcPr>
          <w:p w14:paraId="6ABEE54C">
            <w:pPr>
              <w:keepNext w:val="0"/>
              <w:keepLines w:val="0"/>
              <w:pageBreakBefore w:val="0"/>
              <w:widowControl/>
              <w:suppressLineNumbers w:val="0"/>
              <w:kinsoku/>
              <w:wordWrap/>
              <w:overflowPunct/>
              <w:topLinePunct w:val="0"/>
              <w:autoSpaceDE/>
              <w:autoSpaceDN/>
              <w:bidi w:val="0"/>
              <w:adjustRightInd/>
              <w:snapToGrid/>
              <w:spacing w:line="300" w:lineRule="atLeast"/>
              <w:ind w:firstLine="0" w:firstLineChars="0"/>
              <w:jc w:val="left"/>
              <w:textAlignment w:val="auto"/>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25.35%</w:t>
            </w:r>
          </w:p>
        </w:tc>
      </w:tr>
    </w:tbl>
    <w:p w14:paraId="3881B6AE">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ind w:left="0" w:right="0" w:firstLine="0" w:firstLineChars="0"/>
        <w:textAlignment w:val="auto"/>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被掐尖之后，农商行面对的是一个被筛选过的客户池。大行拿走了还款能力最强的那一批，留下的客户大多缺乏抵押物，经营现金流不稳定，纳税记录不完整。</w:t>
      </w:r>
    </w:p>
    <w:p w14:paraId="327B18B0">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ind w:left="0" w:right="0" w:firstLine="0" w:firstLineChars="0"/>
        <w:textAlignment w:val="auto"/>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基层客户经理面对这些客群，要完成总行摊派下来的放款指标，还要保证不良率不超标。三个目标</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增速达标、利率达标、风控达标</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被塞进同一张考核表，</w:t>
      </w:r>
      <w:r>
        <w:rPr>
          <w:rFonts w:hint="default" w:ascii="Segoe UI" w:hAnsi="Segoe UI" w:eastAsia="Segoe UI" w:cs="Segoe UI"/>
          <w:b/>
          <w:bCs/>
          <w:i w:val="0"/>
          <w:iCs w:val="0"/>
          <w:caps w:val="0"/>
          <w:color w:val="0F1115"/>
          <w:spacing w:val="0"/>
          <w:sz w:val="19"/>
          <w:szCs w:val="19"/>
          <w:shd w:val="clear" w:fill="FFFFFF"/>
        </w:rPr>
        <w:t>三者只能同时满足两个</w:t>
      </w:r>
      <w:r>
        <w:rPr>
          <w:rFonts w:hint="default" w:ascii="Segoe UI" w:hAnsi="Segoe UI" w:eastAsia="Segoe UI" w:cs="Segoe UI"/>
          <w:i w:val="0"/>
          <w:iCs w:val="0"/>
          <w:caps w:val="0"/>
          <w:color w:val="0F1115"/>
          <w:spacing w:val="0"/>
          <w:sz w:val="19"/>
          <w:szCs w:val="19"/>
          <w:shd w:val="clear" w:fill="FFFFFF"/>
        </w:rPr>
        <w:t>。</w:t>
      </w:r>
    </w:p>
    <w:p w14:paraId="7424BA92">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ind w:left="0" w:right="0" w:firstLine="0" w:firstLineChars="0"/>
        <w:textAlignment w:val="auto"/>
        <w:rPr>
          <w:rFonts w:hint="default" w:ascii="Segoe UI" w:hAnsi="Segoe UI" w:eastAsia="宋体" w:cs="Segoe UI"/>
          <w:b/>
          <w:bCs/>
          <w:i w:val="0"/>
          <w:iCs w:val="0"/>
          <w:caps w:val="0"/>
          <w:color w:val="0F1115"/>
          <w:spacing w:val="0"/>
          <w:sz w:val="19"/>
          <w:szCs w:val="19"/>
          <w:shd w:val="clear" w:fill="FFFFFF"/>
          <w:lang w:val="en-US" w:eastAsia="zh-CN"/>
        </w:rPr>
      </w:pPr>
      <w:r>
        <w:rPr>
          <w:rFonts w:hint="eastAsia" w:ascii="Segoe UI" w:hAnsi="Segoe UI" w:eastAsia="宋体" w:cs="Segoe UI"/>
          <w:b/>
          <w:bCs/>
          <w:i w:val="0"/>
          <w:iCs w:val="0"/>
          <w:caps w:val="0"/>
          <w:color w:val="0F1115"/>
          <w:spacing w:val="0"/>
          <w:sz w:val="19"/>
          <w:szCs w:val="19"/>
          <w:shd w:val="clear" w:fill="FFFFFF"/>
          <w:lang w:val="en-US" w:eastAsia="zh-CN"/>
        </w:rPr>
        <w:t>业务端的</w:t>
      </w:r>
      <w:r>
        <w:rPr>
          <w:rFonts w:hint="default" w:ascii="Segoe UI" w:hAnsi="Segoe UI" w:eastAsia="Segoe UI" w:cs="Segoe UI"/>
          <w:b/>
          <w:bCs/>
          <w:i w:val="0"/>
          <w:iCs w:val="0"/>
          <w:caps w:val="0"/>
          <w:color w:val="0F1115"/>
          <w:spacing w:val="0"/>
          <w:sz w:val="19"/>
          <w:szCs w:val="19"/>
          <w:shd w:val="clear" w:fill="FFFFFF"/>
        </w:rPr>
        <w:t>客户经理很快发现，越下沉客群素质越低，风险越高。</w:t>
      </w:r>
      <w:r>
        <w:rPr>
          <w:rFonts w:hint="eastAsia" w:ascii="Segoe UI" w:hAnsi="Segoe UI" w:eastAsia="宋体" w:cs="Segoe UI"/>
          <w:b/>
          <w:bCs/>
          <w:i w:val="0"/>
          <w:iCs w:val="0"/>
          <w:caps w:val="0"/>
          <w:color w:val="0F1115"/>
          <w:spacing w:val="0"/>
          <w:sz w:val="19"/>
          <w:szCs w:val="19"/>
          <w:shd w:val="clear" w:fill="FFFFFF"/>
          <w:lang w:val="en-US" w:eastAsia="zh-CN"/>
        </w:rPr>
        <w:t>而且沟通极度困难，每个客户都在挑战客户经理的良知与心态。</w:t>
      </w:r>
    </w:p>
    <w:p w14:paraId="6C99A640">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ind w:left="0" w:right="0" w:firstLine="0" w:firstLineChars="0"/>
        <w:textAlignment w:val="auto"/>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整村授信的大规模推进更让问题加剧。</w:t>
      </w:r>
      <w:r>
        <w:rPr>
          <w:rFonts w:hint="eastAsia" w:ascii="Segoe UI" w:hAnsi="Segoe UI" w:eastAsia="宋体" w:cs="Segoe UI"/>
          <w:i w:val="0"/>
          <w:iCs w:val="0"/>
          <w:caps w:val="0"/>
          <w:color w:val="0F1115"/>
          <w:spacing w:val="0"/>
          <w:sz w:val="19"/>
          <w:szCs w:val="19"/>
          <w:shd w:val="clear" w:fill="FFFFFF"/>
          <w:lang w:val="en-US" w:eastAsia="zh-CN"/>
        </w:rPr>
        <w:t>大部分</w:t>
      </w:r>
      <w:r>
        <w:rPr>
          <w:rFonts w:hint="default" w:ascii="Segoe UI" w:hAnsi="Segoe UI" w:eastAsia="Segoe UI" w:cs="Segoe UI"/>
          <w:i w:val="0"/>
          <w:iCs w:val="0"/>
          <w:caps w:val="0"/>
          <w:color w:val="0F1115"/>
          <w:spacing w:val="0"/>
          <w:sz w:val="19"/>
          <w:szCs w:val="19"/>
          <w:shd w:val="clear" w:fill="FFFFFF"/>
        </w:rPr>
        <w:t>农商行</w:t>
      </w:r>
      <w:r>
        <w:rPr>
          <w:rFonts w:hint="eastAsia" w:ascii="Segoe UI" w:hAnsi="Segoe UI" w:eastAsia="宋体" w:cs="Segoe UI"/>
          <w:i w:val="0"/>
          <w:iCs w:val="0"/>
          <w:caps w:val="0"/>
          <w:color w:val="0F1115"/>
          <w:spacing w:val="0"/>
          <w:sz w:val="19"/>
          <w:szCs w:val="19"/>
          <w:shd w:val="clear" w:fill="FFFFFF"/>
          <w:lang w:val="en-US" w:eastAsia="zh-CN"/>
        </w:rPr>
        <w:t>及村镇银行</w:t>
      </w:r>
      <w:r>
        <w:rPr>
          <w:rFonts w:hint="default" w:ascii="Segoe UI" w:hAnsi="Segoe UI" w:eastAsia="Segoe UI" w:cs="Segoe UI"/>
          <w:i w:val="0"/>
          <w:iCs w:val="0"/>
          <w:caps w:val="0"/>
          <w:color w:val="0F1115"/>
          <w:spacing w:val="0"/>
          <w:sz w:val="19"/>
          <w:szCs w:val="19"/>
          <w:shd w:val="clear" w:fill="FFFFFF"/>
        </w:rPr>
        <w:t>要求客户经理人均管护6到7个行政村，每个村由客户经理与村级联络员组成走访小组，逐户采集信息、评级授信。</w:t>
      </w:r>
    </w:p>
    <w:p w14:paraId="3EC3F49F">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ind w:left="0" w:right="0" w:firstLine="0" w:firstLineChars="0"/>
        <w:textAlignment w:val="auto"/>
        <w:rPr>
          <w:rFonts w:hint="default" w:ascii="Segoe UI" w:hAnsi="Segoe UI" w:eastAsia="宋体" w:cs="Segoe UI"/>
          <w:b/>
          <w:bCs/>
          <w:i w:val="0"/>
          <w:iCs w:val="0"/>
          <w:caps w:val="0"/>
          <w:color w:val="0F1115"/>
          <w:spacing w:val="0"/>
          <w:sz w:val="19"/>
          <w:szCs w:val="19"/>
          <w:shd w:val="clear" w:fill="FFFFFF"/>
          <w:lang w:val="en-US" w:eastAsia="zh-CN"/>
        </w:rPr>
      </w:pPr>
      <w:r>
        <w:rPr>
          <w:rFonts w:hint="default" w:ascii="Segoe UI" w:hAnsi="Segoe UI" w:eastAsia="Segoe UI" w:cs="Segoe UI"/>
          <w:b/>
          <w:bCs/>
          <w:i w:val="0"/>
          <w:iCs w:val="0"/>
          <w:caps w:val="0"/>
          <w:color w:val="0F1115"/>
          <w:spacing w:val="0"/>
          <w:sz w:val="19"/>
          <w:szCs w:val="19"/>
          <w:shd w:val="clear" w:fill="FFFFFF"/>
        </w:rPr>
        <w:t>在这种模式下，</w:t>
      </w:r>
      <w:r>
        <w:rPr>
          <w:rFonts w:hint="eastAsia" w:ascii="Segoe UI" w:hAnsi="Segoe UI" w:eastAsia="宋体" w:cs="Segoe UI"/>
          <w:b/>
          <w:bCs/>
          <w:i w:val="0"/>
          <w:iCs w:val="0"/>
          <w:caps w:val="0"/>
          <w:color w:val="0F1115"/>
          <w:spacing w:val="0"/>
          <w:sz w:val="19"/>
          <w:szCs w:val="19"/>
          <w:shd w:val="clear" w:fill="FFFFFF"/>
          <w:lang w:val="en-US" w:eastAsia="zh-CN"/>
        </w:rPr>
        <w:t>客户经理几乎成为当年富登进入国内放的那个宣传片中的表现，骑着摩托来到田间来给农民做IPC模式。但普惠做成了卖货小贩，客户经理也变得敏感。稍有犹豫会错过，做起来又心如刀割。</w:t>
      </w:r>
    </w:p>
    <w:p w14:paraId="1C373E02">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ind w:left="0" w:right="0" w:firstLine="0" w:firstLineChars="0"/>
        <w:textAlignment w:val="auto"/>
        <w:rPr>
          <w:rFonts w:hint="default" w:ascii="Segoe UI" w:hAnsi="Segoe UI" w:eastAsia="Segoe UI" w:cs="Segoe UI"/>
          <w:i w:val="0"/>
          <w:iCs w:val="0"/>
          <w:caps w:val="0"/>
          <w:color w:val="0F1115"/>
          <w:spacing w:val="0"/>
          <w:sz w:val="19"/>
          <w:szCs w:val="19"/>
          <w:shd w:val="clear" w:fill="FFFFFF"/>
        </w:rPr>
      </w:pPr>
      <w:r>
        <w:rPr>
          <w:rFonts w:hint="eastAsia" w:ascii="Segoe UI" w:hAnsi="Segoe UI" w:eastAsia="宋体" w:cs="Segoe UI"/>
          <w:i w:val="0"/>
          <w:iCs w:val="0"/>
          <w:caps w:val="0"/>
          <w:color w:val="0F1115"/>
          <w:spacing w:val="0"/>
          <w:sz w:val="19"/>
          <w:szCs w:val="19"/>
          <w:shd w:val="clear" w:fill="FFFFFF"/>
          <w:lang w:val="en-US" w:eastAsia="zh-CN"/>
        </w:rPr>
        <w:t>一个</w:t>
      </w:r>
      <w:r>
        <w:rPr>
          <w:rFonts w:hint="default" w:ascii="Segoe UI" w:hAnsi="Segoe UI" w:eastAsia="Segoe UI" w:cs="Segoe UI"/>
          <w:i w:val="0"/>
          <w:iCs w:val="0"/>
          <w:caps w:val="0"/>
          <w:color w:val="0F1115"/>
          <w:spacing w:val="0"/>
          <w:sz w:val="19"/>
          <w:szCs w:val="19"/>
          <w:shd w:val="clear" w:fill="FFFFFF"/>
        </w:rPr>
        <w:t>客户经理人均管户超过</w:t>
      </w:r>
      <w:r>
        <w:rPr>
          <w:rFonts w:hint="eastAsia" w:ascii="Segoe UI" w:hAnsi="Segoe UI" w:eastAsia="宋体" w:cs="Segoe UI"/>
          <w:i w:val="0"/>
          <w:iCs w:val="0"/>
          <w:caps w:val="0"/>
          <w:color w:val="0F1115"/>
          <w:spacing w:val="0"/>
          <w:sz w:val="19"/>
          <w:szCs w:val="19"/>
          <w:shd w:val="clear" w:fill="FFFFFF"/>
          <w:lang w:val="en-US" w:eastAsia="zh-CN"/>
        </w:rPr>
        <w:t>数百户</w:t>
      </w:r>
      <w:r>
        <w:rPr>
          <w:rFonts w:hint="default" w:ascii="Segoe UI" w:hAnsi="Segoe UI" w:eastAsia="Segoe UI" w:cs="Segoe UI"/>
          <w:i w:val="0"/>
          <w:iCs w:val="0"/>
          <w:caps w:val="0"/>
          <w:color w:val="0F1115"/>
          <w:spacing w:val="0"/>
          <w:sz w:val="19"/>
          <w:szCs w:val="19"/>
          <w:shd w:val="clear" w:fill="FFFFFF"/>
        </w:rPr>
        <w:t>，平均每户每年能花的时间</w:t>
      </w:r>
      <w:r>
        <w:rPr>
          <w:rFonts w:hint="eastAsia" w:ascii="Segoe UI" w:hAnsi="Segoe UI" w:eastAsia="宋体" w:cs="Segoe UI"/>
          <w:i w:val="0"/>
          <w:iCs w:val="0"/>
          <w:caps w:val="0"/>
          <w:color w:val="0F1115"/>
          <w:spacing w:val="0"/>
          <w:sz w:val="19"/>
          <w:szCs w:val="19"/>
          <w:shd w:val="clear" w:fill="FFFFFF"/>
          <w:lang w:val="en-US" w:eastAsia="zh-CN"/>
        </w:rPr>
        <w:t>只有几个</w:t>
      </w:r>
      <w:r>
        <w:rPr>
          <w:rFonts w:hint="default" w:ascii="Segoe UI" w:hAnsi="Segoe UI" w:eastAsia="Segoe UI" w:cs="Segoe UI"/>
          <w:i w:val="0"/>
          <w:iCs w:val="0"/>
          <w:caps w:val="0"/>
          <w:color w:val="0F1115"/>
          <w:spacing w:val="0"/>
          <w:sz w:val="19"/>
          <w:szCs w:val="19"/>
          <w:shd w:val="clear" w:fill="FFFFFF"/>
        </w:rPr>
        <w:t>小时。</w:t>
      </w:r>
      <w:r>
        <w:rPr>
          <w:rFonts w:hint="eastAsia" w:ascii="Segoe UI" w:hAnsi="Segoe UI" w:eastAsia="宋体" w:cs="Segoe UI"/>
          <w:i w:val="0"/>
          <w:iCs w:val="0"/>
          <w:caps w:val="0"/>
          <w:color w:val="0F1115"/>
          <w:spacing w:val="0"/>
          <w:sz w:val="19"/>
          <w:szCs w:val="19"/>
          <w:shd w:val="clear" w:fill="FFFFFF"/>
          <w:lang w:val="en-US" w:eastAsia="zh-CN"/>
        </w:rPr>
        <w:t>几个</w:t>
      </w:r>
      <w:r>
        <w:rPr>
          <w:rFonts w:hint="default" w:ascii="Segoe UI" w:hAnsi="Segoe UI" w:eastAsia="Segoe UI" w:cs="Segoe UI"/>
          <w:i w:val="0"/>
          <w:iCs w:val="0"/>
          <w:caps w:val="0"/>
          <w:color w:val="0F1115"/>
          <w:spacing w:val="0"/>
          <w:sz w:val="19"/>
          <w:szCs w:val="19"/>
          <w:shd w:val="clear" w:fill="FFFFFF"/>
        </w:rPr>
        <w:t>小时的接触就要完成评级授信、放款决策、贷后跟踪全部流程。</w:t>
      </w:r>
    </w:p>
    <w:p w14:paraId="15BA7D4E">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ind w:left="0" w:right="0" w:firstLine="0" w:firstLineChars="0"/>
        <w:textAlignment w:val="auto"/>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当客户量级超出</w:t>
      </w:r>
      <w:bookmarkStart w:id="0" w:name="_GoBack"/>
      <w:bookmarkEnd w:id="0"/>
      <w:r>
        <w:rPr>
          <w:rFonts w:hint="default" w:ascii="Segoe UI" w:hAnsi="Segoe UI" w:eastAsia="Segoe UI" w:cs="Segoe UI"/>
          <w:i w:val="0"/>
          <w:iCs w:val="0"/>
          <w:caps w:val="0"/>
          <w:color w:val="0F1115"/>
          <w:spacing w:val="0"/>
          <w:sz w:val="19"/>
          <w:szCs w:val="19"/>
          <w:shd w:val="clear" w:fill="FFFFFF"/>
        </w:rPr>
        <w:t>人的生理承受能力，所谓精细化风控就成了一纸空文。</w:t>
      </w:r>
    </w:p>
    <w:p w14:paraId="007588EA">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ind w:left="0" w:right="0" w:firstLine="0" w:firstLineChars="0"/>
        <w:textAlignment w:val="auto"/>
        <w:rPr>
          <w:rFonts w:hint="default" w:ascii="Segoe UI" w:hAnsi="Segoe UI" w:eastAsia="宋体" w:cs="Segoe UI"/>
          <w:b/>
          <w:bCs/>
          <w:i w:val="0"/>
          <w:iCs w:val="0"/>
          <w:caps w:val="0"/>
          <w:color w:val="0F1115"/>
          <w:spacing w:val="0"/>
          <w:sz w:val="28"/>
          <w:szCs w:val="28"/>
          <w:shd w:val="clear" w:fill="FFFFFF"/>
          <w:lang w:val="en-US" w:eastAsia="zh-CN"/>
        </w:rPr>
      </w:pPr>
      <w:r>
        <w:rPr>
          <w:rFonts w:hint="eastAsia" w:ascii="Segoe UI" w:hAnsi="Segoe UI" w:eastAsia="宋体" w:cs="Segoe UI"/>
          <w:b/>
          <w:bCs/>
          <w:i w:val="0"/>
          <w:iCs w:val="0"/>
          <w:caps w:val="0"/>
          <w:color w:val="0F1115"/>
          <w:spacing w:val="0"/>
          <w:sz w:val="28"/>
          <w:szCs w:val="28"/>
          <w:shd w:val="clear" w:fill="FFFFFF"/>
          <w:lang w:val="en-US" w:eastAsia="zh-CN"/>
        </w:rPr>
        <w:t>客户经理被两头夹击</w:t>
      </w:r>
    </w:p>
    <w:p w14:paraId="4CDFEA7C">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ind w:left="0" w:right="0" w:firstLine="0" w:firstLineChars="0"/>
        <w:textAlignment w:val="auto"/>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与此同时，下沉过程中涌现出大量中介包装户。中介替小微企业和农户包装流水、美化报表、统一口径应付银行审查，从中抽取贷款金额3%到5%不等的佣金。部分银行分支行默许这种操作，因为不找中介根本完不成指标。</w:t>
      </w:r>
    </w:p>
    <w:p w14:paraId="16D47124">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ind w:left="0" w:right="0" w:firstLine="0" w:firstLineChars="0"/>
        <w:textAlignment w:val="auto"/>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中介包装的客户进件材料看起规范完整，但实际经营状况、资金用途、还款来源全部是虚假的。银行从主动获客变为被动接单，风控体系的第一道防线早已形同虚设，客户经理从把关人沦为填表人。</w:t>
      </w:r>
      <w:r>
        <w:rPr>
          <w:rFonts w:hint="eastAsia" w:ascii="Segoe UI" w:hAnsi="Segoe UI" w:eastAsia="宋体" w:cs="Segoe UI"/>
          <w:i w:val="0"/>
          <w:iCs w:val="0"/>
          <w:caps w:val="0"/>
          <w:color w:val="0F1115"/>
          <w:spacing w:val="0"/>
          <w:sz w:val="19"/>
          <w:szCs w:val="19"/>
          <w:shd w:val="clear" w:fill="FFFFFF"/>
          <w:lang w:val="en-US" w:eastAsia="zh-CN"/>
        </w:rPr>
        <w:t>不仅如此</w:t>
      </w:r>
      <w:r>
        <w:rPr>
          <w:rFonts w:hint="default" w:ascii="Segoe UI" w:hAnsi="Segoe UI" w:eastAsia="Segoe UI" w:cs="Segoe UI"/>
          <w:i w:val="0"/>
          <w:iCs w:val="0"/>
          <w:caps w:val="0"/>
          <w:color w:val="0F1115"/>
          <w:spacing w:val="0"/>
          <w:sz w:val="19"/>
          <w:szCs w:val="19"/>
          <w:shd w:val="clear" w:fill="FFFFFF"/>
        </w:rPr>
        <w:t>客户经理上门催收。而一旦产生投诉，不管事实如何，客户经理往往先被银行内部处罚。</w:t>
      </w:r>
    </w:p>
    <w:tbl>
      <w:tblPr>
        <w:tblW w:w="902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431"/>
        <w:gridCol w:w="1278"/>
        <w:gridCol w:w="2315"/>
      </w:tblGrid>
      <w:tr w14:paraId="269C61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20" w:type="dxa"/>
              <w:left w:w="0" w:type="dxa"/>
              <w:bottom w:w="120" w:type="dxa"/>
              <w:right w:w="192" w:type="dxa"/>
            </w:tcMar>
            <w:vAlign w:val="center"/>
          </w:tcPr>
          <w:p w14:paraId="1E629AFE">
            <w:pPr>
              <w:keepNext w:val="0"/>
              <w:keepLines w:val="0"/>
              <w:pageBreakBefore w:val="0"/>
              <w:widowControl/>
              <w:suppressLineNumbers w:val="0"/>
              <w:kinsoku/>
              <w:wordWrap/>
              <w:overflowPunct/>
              <w:topLinePunct w:val="0"/>
              <w:autoSpaceDE/>
              <w:autoSpaceDN/>
              <w:bidi w:val="0"/>
              <w:adjustRightInd/>
              <w:snapToGrid/>
              <w:spacing w:line="300" w:lineRule="atLeast"/>
              <w:ind w:firstLine="0" w:firstLineChars="0"/>
              <w:jc w:val="left"/>
              <w:textAlignment w:val="auto"/>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处罚案例</w:t>
            </w:r>
          </w:p>
        </w:tc>
        <w:tc>
          <w:tcPr>
            <w:tcW w:w="0" w:type="auto"/>
            <w:tcBorders>
              <w:top w:val="nil"/>
            </w:tcBorders>
            <w:shd w:val="clear"/>
            <w:tcMar>
              <w:top w:w="120" w:type="dxa"/>
              <w:left w:w="192" w:type="dxa"/>
              <w:bottom w:w="120" w:type="dxa"/>
              <w:right w:w="192" w:type="dxa"/>
            </w:tcMar>
            <w:vAlign w:val="center"/>
          </w:tcPr>
          <w:p w14:paraId="6E15B373">
            <w:pPr>
              <w:keepNext w:val="0"/>
              <w:keepLines w:val="0"/>
              <w:pageBreakBefore w:val="0"/>
              <w:widowControl/>
              <w:suppressLineNumbers w:val="0"/>
              <w:kinsoku/>
              <w:wordWrap/>
              <w:overflowPunct/>
              <w:topLinePunct w:val="0"/>
              <w:autoSpaceDE/>
              <w:autoSpaceDN/>
              <w:bidi w:val="0"/>
              <w:adjustRightInd/>
              <w:snapToGrid/>
              <w:spacing w:line="300" w:lineRule="atLeast"/>
              <w:ind w:firstLine="0" w:firstLineChars="0"/>
              <w:jc w:val="left"/>
              <w:textAlignment w:val="auto"/>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处罚金额</w:t>
            </w:r>
          </w:p>
        </w:tc>
        <w:tc>
          <w:tcPr>
            <w:tcW w:w="0" w:type="auto"/>
            <w:tcBorders>
              <w:top w:val="nil"/>
            </w:tcBorders>
            <w:shd w:val="clear"/>
            <w:tcMar>
              <w:top w:w="120" w:type="dxa"/>
              <w:left w:w="192" w:type="dxa"/>
              <w:bottom w:w="120" w:type="dxa"/>
              <w:right w:w="192" w:type="dxa"/>
            </w:tcMar>
            <w:vAlign w:val="center"/>
          </w:tcPr>
          <w:p w14:paraId="38427331">
            <w:pPr>
              <w:keepNext w:val="0"/>
              <w:keepLines w:val="0"/>
              <w:pageBreakBefore w:val="0"/>
              <w:widowControl/>
              <w:suppressLineNumbers w:val="0"/>
              <w:kinsoku/>
              <w:wordWrap/>
              <w:overflowPunct/>
              <w:topLinePunct w:val="0"/>
              <w:autoSpaceDE/>
              <w:autoSpaceDN/>
              <w:bidi w:val="0"/>
              <w:adjustRightInd/>
              <w:snapToGrid/>
              <w:spacing w:line="300" w:lineRule="atLeast"/>
              <w:ind w:firstLine="0" w:firstLineChars="0"/>
              <w:jc w:val="left"/>
              <w:textAlignment w:val="auto"/>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问责类型</w:t>
            </w:r>
          </w:p>
        </w:tc>
      </w:tr>
      <w:tr w14:paraId="136B8A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2492A482">
            <w:pPr>
              <w:keepNext w:val="0"/>
              <w:keepLines w:val="0"/>
              <w:pageBreakBefore w:val="0"/>
              <w:widowControl/>
              <w:suppressLineNumbers w:val="0"/>
              <w:kinsoku/>
              <w:wordWrap/>
              <w:overflowPunct/>
              <w:topLinePunct w:val="0"/>
              <w:autoSpaceDE/>
              <w:autoSpaceDN/>
              <w:bidi w:val="0"/>
              <w:adjustRightInd/>
              <w:snapToGrid/>
              <w:spacing w:line="300" w:lineRule="atLeast"/>
              <w:ind w:firstLine="0" w:firstLineChars="0"/>
              <w:jc w:val="left"/>
              <w:textAlignment w:val="auto"/>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重庆三峡银行虚增普惠金融服务数据</w:t>
            </w:r>
          </w:p>
        </w:tc>
        <w:tc>
          <w:tcPr>
            <w:tcW w:w="0" w:type="auto"/>
            <w:shd w:val="clear"/>
            <w:tcMar>
              <w:top w:w="120" w:type="dxa"/>
              <w:left w:w="192" w:type="dxa"/>
              <w:bottom w:w="120" w:type="dxa"/>
              <w:right w:w="192" w:type="dxa"/>
            </w:tcMar>
            <w:vAlign w:val="center"/>
          </w:tcPr>
          <w:p w14:paraId="257BDA27">
            <w:pPr>
              <w:keepNext w:val="0"/>
              <w:keepLines w:val="0"/>
              <w:pageBreakBefore w:val="0"/>
              <w:widowControl/>
              <w:suppressLineNumbers w:val="0"/>
              <w:kinsoku/>
              <w:wordWrap/>
              <w:overflowPunct/>
              <w:topLinePunct w:val="0"/>
              <w:autoSpaceDE/>
              <w:autoSpaceDN/>
              <w:bidi w:val="0"/>
              <w:adjustRightInd/>
              <w:snapToGrid/>
              <w:spacing w:line="300" w:lineRule="atLeast"/>
              <w:ind w:firstLine="0" w:firstLineChars="0"/>
              <w:jc w:val="left"/>
              <w:textAlignment w:val="auto"/>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890万元</w:t>
            </w:r>
          </w:p>
        </w:tc>
        <w:tc>
          <w:tcPr>
            <w:tcW w:w="0" w:type="auto"/>
            <w:shd w:val="clear"/>
            <w:tcMar>
              <w:top w:w="120" w:type="dxa"/>
              <w:left w:w="192" w:type="dxa"/>
              <w:bottom w:w="120" w:type="dxa"/>
              <w:right w:w="0" w:type="dxa"/>
            </w:tcMar>
            <w:vAlign w:val="center"/>
          </w:tcPr>
          <w:p w14:paraId="2F8869F9">
            <w:pPr>
              <w:keepNext w:val="0"/>
              <w:keepLines w:val="0"/>
              <w:pageBreakBefore w:val="0"/>
              <w:widowControl/>
              <w:suppressLineNumbers w:val="0"/>
              <w:kinsoku/>
              <w:wordWrap/>
              <w:overflowPunct/>
              <w:topLinePunct w:val="0"/>
              <w:autoSpaceDE/>
              <w:autoSpaceDN/>
              <w:bidi w:val="0"/>
              <w:adjustRightInd/>
              <w:snapToGrid/>
              <w:spacing w:line="300" w:lineRule="atLeast"/>
              <w:ind w:firstLine="0" w:firstLineChars="0"/>
              <w:jc w:val="left"/>
              <w:textAlignment w:val="auto"/>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多名高管罚款或禁业</w:t>
            </w:r>
          </w:p>
        </w:tc>
      </w:tr>
      <w:tr w14:paraId="4C17BC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46EE7ECC">
            <w:pPr>
              <w:keepNext w:val="0"/>
              <w:keepLines w:val="0"/>
              <w:pageBreakBefore w:val="0"/>
              <w:widowControl/>
              <w:suppressLineNumbers w:val="0"/>
              <w:kinsoku/>
              <w:wordWrap/>
              <w:overflowPunct/>
              <w:topLinePunct w:val="0"/>
              <w:autoSpaceDE/>
              <w:autoSpaceDN/>
              <w:bidi w:val="0"/>
              <w:adjustRightInd/>
              <w:snapToGrid/>
              <w:spacing w:line="300" w:lineRule="atLeast"/>
              <w:ind w:firstLine="0" w:firstLineChars="0"/>
              <w:jc w:val="left"/>
              <w:textAlignment w:val="auto"/>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邮储银行三门峡分行普惠型小微企业贷款数据不真实</w:t>
            </w:r>
          </w:p>
        </w:tc>
        <w:tc>
          <w:tcPr>
            <w:tcW w:w="0" w:type="auto"/>
            <w:shd w:val="clear"/>
            <w:tcMar>
              <w:top w:w="120" w:type="dxa"/>
              <w:left w:w="192" w:type="dxa"/>
              <w:bottom w:w="120" w:type="dxa"/>
              <w:right w:w="192" w:type="dxa"/>
            </w:tcMar>
            <w:vAlign w:val="center"/>
          </w:tcPr>
          <w:p w14:paraId="545227DA">
            <w:pPr>
              <w:keepNext w:val="0"/>
              <w:keepLines w:val="0"/>
              <w:pageBreakBefore w:val="0"/>
              <w:widowControl/>
              <w:suppressLineNumbers w:val="0"/>
              <w:kinsoku/>
              <w:wordWrap/>
              <w:overflowPunct/>
              <w:topLinePunct w:val="0"/>
              <w:autoSpaceDE/>
              <w:autoSpaceDN/>
              <w:bidi w:val="0"/>
              <w:adjustRightInd/>
              <w:snapToGrid/>
              <w:spacing w:line="300" w:lineRule="atLeast"/>
              <w:ind w:firstLine="0" w:firstLineChars="0"/>
              <w:jc w:val="left"/>
              <w:textAlignment w:val="auto"/>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45万元</w:t>
            </w:r>
          </w:p>
        </w:tc>
        <w:tc>
          <w:tcPr>
            <w:tcW w:w="0" w:type="auto"/>
            <w:shd w:val="clear"/>
            <w:tcMar>
              <w:top w:w="120" w:type="dxa"/>
              <w:left w:w="192" w:type="dxa"/>
              <w:bottom w:w="120" w:type="dxa"/>
              <w:right w:w="0" w:type="dxa"/>
            </w:tcMar>
            <w:vAlign w:val="center"/>
          </w:tcPr>
          <w:p w14:paraId="10409E93">
            <w:pPr>
              <w:keepNext w:val="0"/>
              <w:keepLines w:val="0"/>
              <w:pageBreakBefore w:val="0"/>
              <w:widowControl/>
              <w:suppressLineNumbers w:val="0"/>
              <w:kinsoku/>
              <w:wordWrap/>
              <w:overflowPunct/>
              <w:topLinePunct w:val="0"/>
              <w:autoSpaceDE/>
              <w:autoSpaceDN/>
              <w:bidi w:val="0"/>
              <w:adjustRightInd/>
              <w:snapToGrid/>
              <w:spacing w:line="300" w:lineRule="atLeast"/>
              <w:ind w:firstLine="0" w:firstLineChars="0"/>
              <w:jc w:val="left"/>
              <w:textAlignment w:val="auto"/>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w:t>
            </w:r>
          </w:p>
        </w:tc>
      </w:tr>
      <w:tr w14:paraId="32DBD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78979882">
            <w:pPr>
              <w:keepNext w:val="0"/>
              <w:keepLines w:val="0"/>
              <w:pageBreakBefore w:val="0"/>
              <w:widowControl/>
              <w:suppressLineNumbers w:val="0"/>
              <w:kinsoku/>
              <w:wordWrap/>
              <w:overflowPunct/>
              <w:topLinePunct w:val="0"/>
              <w:autoSpaceDE/>
              <w:autoSpaceDN/>
              <w:bidi w:val="0"/>
              <w:adjustRightInd/>
              <w:snapToGrid/>
              <w:spacing w:line="300" w:lineRule="atLeast"/>
              <w:ind w:firstLine="0" w:firstLineChars="0"/>
              <w:jc w:val="left"/>
              <w:textAlignment w:val="auto"/>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四川梓潼农商行虚增存贷款、普惠型农户贷款数据不真实</w:t>
            </w:r>
          </w:p>
        </w:tc>
        <w:tc>
          <w:tcPr>
            <w:tcW w:w="0" w:type="auto"/>
            <w:shd w:val="clear"/>
            <w:tcMar>
              <w:top w:w="120" w:type="dxa"/>
              <w:left w:w="192" w:type="dxa"/>
              <w:bottom w:w="120" w:type="dxa"/>
              <w:right w:w="192" w:type="dxa"/>
            </w:tcMar>
            <w:vAlign w:val="center"/>
          </w:tcPr>
          <w:p w14:paraId="7FFBE73B">
            <w:pPr>
              <w:keepNext w:val="0"/>
              <w:keepLines w:val="0"/>
              <w:pageBreakBefore w:val="0"/>
              <w:widowControl/>
              <w:suppressLineNumbers w:val="0"/>
              <w:kinsoku/>
              <w:wordWrap/>
              <w:overflowPunct/>
              <w:topLinePunct w:val="0"/>
              <w:autoSpaceDE/>
              <w:autoSpaceDN/>
              <w:bidi w:val="0"/>
              <w:adjustRightInd/>
              <w:snapToGrid/>
              <w:spacing w:line="300" w:lineRule="atLeast"/>
              <w:ind w:firstLine="0" w:firstLineChars="0"/>
              <w:jc w:val="left"/>
              <w:textAlignment w:val="auto"/>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60万元</w:t>
            </w:r>
          </w:p>
        </w:tc>
        <w:tc>
          <w:tcPr>
            <w:tcW w:w="0" w:type="auto"/>
            <w:shd w:val="clear"/>
            <w:tcMar>
              <w:top w:w="120" w:type="dxa"/>
              <w:left w:w="192" w:type="dxa"/>
              <w:bottom w:w="120" w:type="dxa"/>
              <w:right w:w="0" w:type="dxa"/>
            </w:tcMar>
            <w:vAlign w:val="center"/>
          </w:tcPr>
          <w:p w14:paraId="4D7E01D9">
            <w:pPr>
              <w:keepNext w:val="0"/>
              <w:keepLines w:val="0"/>
              <w:pageBreakBefore w:val="0"/>
              <w:widowControl/>
              <w:suppressLineNumbers w:val="0"/>
              <w:kinsoku/>
              <w:wordWrap/>
              <w:overflowPunct/>
              <w:topLinePunct w:val="0"/>
              <w:autoSpaceDE/>
              <w:autoSpaceDN/>
              <w:bidi w:val="0"/>
              <w:adjustRightInd/>
              <w:snapToGrid/>
              <w:spacing w:line="300" w:lineRule="atLeast"/>
              <w:ind w:firstLine="0" w:firstLineChars="0"/>
              <w:jc w:val="left"/>
              <w:textAlignment w:val="auto"/>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行长警告并罚款8万元</w:t>
            </w:r>
          </w:p>
        </w:tc>
      </w:tr>
      <w:tr w14:paraId="5C8167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755D0A45">
            <w:pPr>
              <w:keepNext w:val="0"/>
              <w:keepLines w:val="0"/>
              <w:pageBreakBefore w:val="0"/>
              <w:widowControl/>
              <w:suppressLineNumbers w:val="0"/>
              <w:kinsoku/>
              <w:wordWrap/>
              <w:overflowPunct/>
              <w:topLinePunct w:val="0"/>
              <w:autoSpaceDE/>
              <w:autoSpaceDN/>
              <w:bidi w:val="0"/>
              <w:adjustRightInd/>
              <w:snapToGrid/>
              <w:spacing w:line="300" w:lineRule="atLeast"/>
              <w:ind w:firstLine="0" w:firstLineChars="0"/>
              <w:jc w:val="left"/>
              <w:textAlignment w:val="auto"/>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徽商银行淮北分行虚增普惠金融贷款数据</w:t>
            </w:r>
          </w:p>
        </w:tc>
        <w:tc>
          <w:tcPr>
            <w:tcW w:w="0" w:type="auto"/>
            <w:shd w:val="clear"/>
            <w:tcMar>
              <w:top w:w="120" w:type="dxa"/>
              <w:left w:w="192" w:type="dxa"/>
              <w:bottom w:w="120" w:type="dxa"/>
              <w:right w:w="192" w:type="dxa"/>
            </w:tcMar>
            <w:vAlign w:val="center"/>
          </w:tcPr>
          <w:p w14:paraId="67EA24B9">
            <w:pPr>
              <w:keepNext w:val="0"/>
              <w:keepLines w:val="0"/>
              <w:pageBreakBefore w:val="0"/>
              <w:widowControl/>
              <w:suppressLineNumbers w:val="0"/>
              <w:kinsoku/>
              <w:wordWrap/>
              <w:overflowPunct/>
              <w:topLinePunct w:val="0"/>
              <w:autoSpaceDE/>
              <w:autoSpaceDN/>
              <w:bidi w:val="0"/>
              <w:adjustRightInd/>
              <w:snapToGrid/>
              <w:spacing w:line="300" w:lineRule="atLeast"/>
              <w:ind w:firstLine="0" w:firstLineChars="0"/>
              <w:jc w:val="left"/>
              <w:textAlignment w:val="auto"/>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41万元</w:t>
            </w:r>
          </w:p>
        </w:tc>
        <w:tc>
          <w:tcPr>
            <w:tcW w:w="0" w:type="auto"/>
            <w:shd w:val="clear"/>
            <w:tcMar>
              <w:top w:w="120" w:type="dxa"/>
              <w:left w:w="192" w:type="dxa"/>
              <w:bottom w:w="120" w:type="dxa"/>
              <w:right w:w="0" w:type="dxa"/>
            </w:tcMar>
            <w:vAlign w:val="center"/>
          </w:tcPr>
          <w:p w14:paraId="7371075A">
            <w:pPr>
              <w:keepNext w:val="0"/>
              <w:keepLines w:val="0"/>
              <w:pageBreakBefore w:val="0"/>
              <w:widowControl/>
              <w:suppressLineNumbers w:val="0"/>
              <w:kinsoku/>
              <w:wordWrap/>
              <w:overflowPunct/>
              <w:topLinePunct w:val="0"/>
              <w:autoSpaceDE/>
              <w:autoSpaceDN/>
              <w:bidi w:val="0"/>
              <w:adjustRightInd/>
              <w:snapToGrid/>
              <w:spacing w:line="300" w:lineRule="atLeast"/>
              <w:ind w:firstLine="0" w:firstLineChars="0"/>
              <w:jc w:val="left"/>
              <w:textAlignment w:val="auto"/>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w:t>
            </w:r>
          </w:p>
        </w:tc>
      </w:tr>
    </w:tbl>
    <w:p w14:paraId="0CF923DE">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ind w:left="0" w:right="0" w:firstLine="0" w:firstLineChars="0"/>
        <w:textAlignment w:val="auto"/>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当增速指标压到头顶，造假就成了某些机构的应激反应。</w:t>
      </w:r>
    </w:p>
    <w:p w14:paraId="3D39BE8D">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ind w:left="0" w:right="0" w:firstLine="0" w:firstLineChars="0"/>
        <w:textAlignment w:val="auto"/>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2025年，重庆三峡银行因虚增普惠金融服务数据等违法违规行为被罚款890万元，已离任多年的原董事长被终身禁业，另有7名相关责任人被追责。</w:t>
      </w:r>
    </w:p>
    <w:p w14:paraId="7A716038">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ind w:left="0" w:right="0" w:firstLine="0" w:firstLineChars="0"/>
        <w:textAlignment w:val="auto"/>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四川梓潼农商行因普惠型农户贷款数据不真实被罚60万元，时任行长被警告并罚款。邮储银行三门峡市分行因普惠型小微企业贷款数据不真实被罚45万元。徽商银行淮北分行同样因虚增普惠金融贷款数据被罚41万元。</w:t>
      </w:r>
    </w:p>
    <w:p w14:paraId="0A93397B">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ind w:left="0" w:right="0" w:firstLine="0" w:firstLineChars="0"/>
        <w:textAlignment w:val="auto"/>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指标变形的末梢一律落在基层。贷款出问题之后，责任追究的名单里，客户经理是一个高频词。</w:t>
      </w:r>
    </w:p>
    <w:p w14:paraId="2B369BBE">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ind w:left="0" w:right="0" w:firstLine="0" w:firstLineChars="0"/>
        <w:textAlignment w:val="auto"/>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邮储银行庆阳分行因信贷管理违规被罚40万元，同步追责21人，其中时任公司业务部客户经理王飞、王玮晶被处以终身禁止从事银行业工作的顶格处罚。酒泉分行贷款三查不尽职被罚，时任客户经理张斌被警告并罚款5万元。</w:t>
      </w:r>
    </w:p>
    <w:p w14:paraId="61C91D1A">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ind w:left="0" w:right="0" w:firstLine="0" w:firstLineChars="0"/>
        <w:textAlignment w:val="auto"/>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梅州农商行客户经理廖永欣因超借款人实际需求发放流动资金贷款被认定为直接责任人。阜平县农信联社客户经理李文、工作组组长孟东奇因违法违规发放贷款被终身禁业。保定市清苑区农信联社两名小额贷款中心客户经理被同时警告。</w:t>
      </w:r>
    </w:p>
    <w:p w14:paraId="44A7C3EA">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ind w:left="0" w:right="0" w:firstLine="0" w:firstLineChars="0"/>
        <w:textAlignment w:val="auto"/>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放贷时被催着快放、多放，出了问题被认定不审慎、不尽职</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基层客户经理被夹在总行指标和监管罚单中间，任何一个步骤的失误都可能成为职业生涯的断崖。</w:t>
      </w:r>
    </w:p>
    <w:p w14:paraId="628BBDFD">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ind w:left="0" w:right="0" w:firstLine="0" w:firstLineChars="0"/>
        <w:textAlignment w:val="auto"/>
        <w:rPr>
          <w:rFonts w:hint="default" w:ascii="Segoe UI" w:hAnsi="Segoe UI" w:eastAsia="Segoe UI" w:cs="Segoe UI"/>
          <w:b/>
          <w:bCs/>
          <w:i w:val="0"/>
          <w:iCs w:val="0"/>
          <w:caps w:val="0"/>
          <w:color w:val="0F1115"/>
          <w:spacing w:val="0"/>
          <w:sz w:val="19"/>
          <w:szCs w:val="19"/>
          <w:shd w:val="clear" w:fill="FFFFFF"/>
        </w:rPr>
      </w:pPr>
      <w:r>
        <w:rPr>
          <w:rFonts w:hint="default" w:ascii="Segoe UI" w:hAnsi="Segoe UI" w:eastAsia="Segoe UI" w:cs="Segoe UI"/>
          <w:b/>
          <w:bCs/>
          <w:i w:val="0"/>
          <w:iCs w:val="0"/>
          <w:caps w:val="0"/>
          <w:color w:val="0F1115"/>
          <w:spacing w:val="0"/>
          <w:sz w:val="19"/>
          <w:szCs w:val="19"/>
          <w:shd w:val="clear" w:fill="FFFFFF"/>
        </w:rPr>
        <w:t>2025年出台的《关于普惠信贷尽职免责工作的通知》明确无确切证据证明失职或履职不到位的，原则上应免除全部责任，2026年《通知》进一步强调举证责任倒置。</w:t>
      </w:r>
    </w:p>
    <w:p w14:paraId="1DC5FFAC">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ind w:left="0" w:right="0" w:firstLine="0" w:firstLineChars="0"/>
        <w:textAlignment w:val="auto"/>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但从邮储银行单家2026年以来信贷违规问责超60人的数据看，尽职免责在实际操作中依然是一道需要申请、认定、审批的门槛，而不是一道自动生效的防线。</w:t>
      </w:r>
    </w:p>
    <w:p w14:paraId="5E2DF929">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ind w:left="0" w:right="0" w:firstLine="0" w:firstLineChars="0"/>
        <w:textAlignment w:val="auto"/>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什么算尽职的贷前调查，什么算到位的贷后管理，标准仍然模糊。担心多做多错的情绪已经让一部分基层客户经理从敢贷滑向了惜贷</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宁愿少做，不做不错。</w:t>
      </w:r>
    </w:p>
    <w:p w14:paraId="430F47DB">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0" w:afterAutospacing="0"/>
        <w:ind w:left="0" w:right="0" w:firstLine="0" w:firstLineChars="0"/>
        <w:textAlignment w:val="auto"/>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2026年《通知》删除增速指标，是普惠金融从规模扩张转向质量精耕的一道明确信号。</w:t>
      </w:r>
    </w:p>
    <w:p w14:paraId="1AE17EDB">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0" w:afterAutospacing="0"/>
        <w:ind w:left="0" w:right="0" w:firstLine="0" w:firstLineChars="0"/>
        <w:textAlignment w:val="auto"/>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但38.8万亿元存量贷款的资产质量账不会因为一份文件就自动结清。那些在增速高压下被仓促投放的贷款，那些被中介包装后混入的劣质客户，那些借新还旧一再续贷的风险敞口，仍然需要在未来数年由一线客户经理一笔一笔去消化、去清收、去接受问责。</w:t>
      </w:r>
    </w:p>
    <w:p w14:paraId="1BCC01AE">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0" w:afterAutospacing="0"/>
        <w:ind w:left="0" w:right="0" w:firstLine="0" w:firstLineChars="0"/>
        <w:textAlignment w:val="auto"/>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对于银行人而言，真正苦的不是普惠本身，而是被指标压到变形的普惠。</w:t>
      </w:r>
    </w:p>
    <w:p w14:paraId="772AB7E8">
      <w:pPr>
        <w:keepNext w:val="0"/>
        <w:keepLines w:val="0"/>
        <w:pageBreakBefore w:val="0"/>
        <w:kinsoku/>
        <w:wordWrap/>
        <w:overflowPunct/>
        <w:topLinePunct w:val="0"/>
        <w:autoSpaceDE/>
        <w:autoSpaceDN/>
        <w:bidi w:val="0"/>
        <w:adjustRightInd/>
        <w:snapToGrid/>
        <w:ind w:firstLine="0" w:firstLineChars="0"/>
        <w:textAlignment w:val="auto"/>
      </w:pPr>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151">
      <wne:acd wne:acdName="acd0"/>
    </wne:keymap>
    <wne:keymap wne:kcmPrimary="0432">
      <wne:acd wne:acdName="acd1"/>
    </wne:keymap>
  </wne:keymaps>
  <wne:acds>
    <wne:acd wne:argValue="AQAAAAEA" wne:acdName="acd0" wne:fciIndexBasedOn="0065"/>
    <wne:acd wne:argValue="AQAAAAIA" wne:acdName="acd1"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551px;height:284px" o:bullet="t">
        <v:imagedata r:id="rId1" o:title=""/>
      </v:shape>
    </w:pict>
  </w:numPicBullet>
  <w:abstractNum w:abstractNumId="0">
    <w:nsid w:val="930DDC92"/>
    <w:multiLevelType w:val="multilevel"/>
    <w:tmpl w:val="930DDC92"/>
    <w:lvl w:ilvl="0" w:tentative="0">
      <w:start w:val="1"/>
      <w:numFmt w:val="decimal"/>
      <w:pStyle w:val="4"/>
      <w:suff w:val="space"/>
      <w:lvlText w:val="%1"/>
      <w:lvlJc w:val="left"/>
      <w:pPr>
        <w:tabs>
          <w:tab w:val="left" w:pos="0"/>
        </w:tabs>
        <w:ind w:left="425" w:hanging="425"/>
      </w:pPr>
      <w:rPr>
        <w:rFonts w:hint="default" w:eastAsia="黑体"/>
        <w:sz w:val="32"/>
        <w:szCs w:val="32"/>
      </w:rPr>
    </w:lvl>
    <w:lvl w:ilvl="1" w:tentative="0">
      <w:start w:val="1"/>
      <w:numFmt w:val="decimal"/>
      <w:lvlText w:val="%1.%2"/>
      <w:lvlJc w:val="left"/>
      <w:pPr>
        <w:ind w:left="567" w:hanging="567"/>
      </w:pPr>
      <w:rPr>
        <w:rFonts w:hint="default" w:eastAsia="黑体"/>
        <w:sz w:val="30"/>
        <w:szCs w:val="30"/>
      </w:rPr>
    </w:lvl>
    <w:lvl w:ilvl="2" w:tentative="0">
      <w:start w:val="1"/>
      <w:numFmt w:val="decimal"/>
      <w:lvlText w:val="%1.%2.%3"/>
      <w:lvlJc w:val="left"/>
      <w:pPr>
        <w:tabs>
          <w:tab w:val="left" w:pos="420"/>
        </w:tabs>
        <w:ind w:left="709" w:hanging="709"/>
      </w:pPr>
      <w:rPr>
        <w:rFonts w:hint="default" w:eastAsia="黑体"/>
        <w:sz w:val="28"/>
        <w:szCs w:val="28"/>
      </w:rPr>
    </w:lvl>
    <w:lvl w:ilvl="3" w:tentative="0">
      <w:start w:val="1"/>
      <w:numFmt w:val="decimal"/>
      <w:lvlText w:val="%1.%2.%3.%4 "/>
      <w:lvlJc w:val="left"/>
      <w:pPr>
        <w:ind w:left="850" w:hanging="850"/>
      </w:pPr>
      <w:rPr>
        <w:rFonts w:hint="default"/>
        <w:sz w:val="24"/>
        <w:szCs w:val="24"/>
      </w:rPr>
    </w:lvl>
    <w:lvl w:ilvl="4" w:tentative="0">
      <w:start w:val="1"/>
      <w:numFmt w:val="decimal"/>
      <w:lvlText w:val="%1.%2.%3.%4.%5 "/>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C78B17FF"/>
    <w:multiLevelType w:val="singleLevel"/>
    <w:tmpl w:val="C78B17FF"/>
    <w:lvl w:ilvl="0" w:tentative="0">
      <w:start w:val="1"/>
      <w:numFmt w:val="decimal"/>
      <w:pStyle w:val="45"/>
      <w:suff w:val="space"/>
      <w:lvlText w:val="[%1]"/>
      <w:lvlJc w:val="left"/>
      <w:pPr>
        <w:tabs>
          <w:tab w:val="left" w:pos="0"/>
        </w:tabs>
      </w:pPr>
      <w:rPr>
        <w:rFonts w:hint="default"/>
      </w:rPr>
    </w:lvl>
  </w:abstractNum>
  <w:abstractNum w:abstractNumId="2">
    <w:nsid w:val="D4C22AF2"/>
    <w:multiLevelType w:val="multilevel"/>
    <w:tmpl w:val="D4C22AF2"/>
    <w:lvl w:ilvl="0" w:tentative="0">
      <w:start w:val="1"/>
      <w:numFmt w:val="decimal"/>
      <w:suff w:val="nothing"/>
      <w:lvlText w:val="%1 "/>
      <w:lvlJc w:val="left"/>
      <w:pPr>
        <w:tabs>
          <w:tab w:val="left" w:pos="0"/>
        </w:tabs>
        <w:ind w:left="0" w:leftChars="0" w:firstLine="0" w:firstLineChars="0"/>
      </w:pPr>
      <w:rPr>
        <w:rFonts w:hint="default"/>
      </w:rPr>
    </w:lvl>
    <w:lvl w:ilvl="1" w:tentative="0">
      <w:start w:val="1"/>
      <w:numFmt w:val="decimal"/>
      <w:suff w:val="nothing"/>
      <w:lvlText w:val="%1.%2 "/>
      <w:lvlJc w:val="left"/>
      <w:pPr>
        <w:tabs>
          <w:tab w:val="left" w:pos="0"/>
        </w:tabs>
        <w:ind w:left="575" w:hanging="575"/>
      </w:pPr>
      <w:rPr>
        <w:rFonts w:hint="default" w:ascii="宋体" w:hAnsi="宋体" w:eastAsia="宋体" w:cs="宋体"/>
      </w:rPr>
    </w:lvl>
    <w:lvl w:ilvl="2" w:tentative="0">
      <w:start w:val="1"/>
      <w:numFmt w:val="decimal"/>
      <w:suff w:val="nothing"/>
      <w:lvlText w:val="%1.%2.%3 "/>
      <w:lvlJc w:val="left"/>
      <w:pPr>
        <w:tabs>
          <w:tab w:val="left" w:pos="0"/>
        </w:tabs>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8"/>
      <w:lvlText w:val="%1.%2.%3.%4.%5.%6."/>
      <w:lvlJc w:val="left"/>
      <w:pPr>
        <w:ind w:left="1151" w:hanging="1151"/>
      </w:pPr>
      <w:rPr>
        <w:rFonts w:hint="default"/>
      </w:rPr>
    </w:lvl>
    <w:lvl w:ilvl="6" w:tentative="0">
      <w:start w:val="1"/>
      <w:numFmt w:val="decimal"/>
      <w:pStyle w:val="9"/>
      <w:lvlText w:val="%1.%2.%3.%4.%5.%6.%7."/>
      <w:lvlJc w:val="left"/>
      <w:pPr>
        <w:ind w:left="1296" w:hanging="1296"/>
      </w:pPr>
      <w:rPr>
        <w:rFonts w:hint="default"/>
      </w:rPr>
    </w:lvl>
    <w:lvl w:ilvl="7" w:tentative="0">
      <w:start w:val="1"/>
      <w:numFmt w:val="decimal"/>
      <w:pStyle w:val="10"/>
      <w:lvlText w:val="%1.%2.%3.%4.%5.%6.%7.%8."/>
      <w:lvlJc w:val="left"/>
      <w:pPr>
        <w:ind w:left="1440" w:hanging="1440"/>
      </w:pPr>
      <w:rPr>
        <w:rFonts w:hint="default"/>
      </w:rPr>
    </w:lvl>
    <w:lvl w:ilvl="8" w:tentative="0">
      <w:start w:val="1"/>
      <w:numFmt w:val="decimal"/>
      <w:pStyle w:val="11"/>
      <w:lvlText w:val="%1.%2.%3.%4.%5.%6.%7.%8.%9."/>
      <w:lvlJc w:val="left"/>
      <w:pPr>
        <w:ind w:left="1583" w:hanging="1583"/>
      </w:pPr>
      <w:rPr>
        <w:rFonts w:hint="default"/>
      </w:rPr>
    </w:lvl>
  </w:abstractNum>
  <w:abstractNum w:abstractNumId="3">
    <w:nsid w:val="DEC0C9E0"/>
    <w:multiLevelType w:val="multilevel"/>
    <w:tmpl w:val="DEC0C9E0"/>
    <w:lvl w:ilvl="0" w:tentative="0">
      <w:start w:val="1"/>
      <w:numFmt w:val="decimal"/>
      <w:pStyle w:val="3"/>
      <w:lvlText w:val="%1"/>
      <w:lvlJc w:val="left"/>
      <w:pPr>
        <w:ind w:left="425" w:hanging="425"/>
      </w:pPr>
      <w:rPr>
        <w:rFonts w:hint="default" w:eastAsia="黑体"/>
        <w:sz w:val="32"/>
        <w:szCs w:val="32"/>
      </w:rPr>
    </w:lvl>
    <w:lvl w:ilvl="1" w:tentative="0">
      <w:start w:val="1"/>
      <w:numFmt w:val="decimal"/>
      <w:lvlText w:val="%1.%2"/>
      <w:lvlJc w:val="left"/>
      <w:pPr>
        <w:ind w:left="567" w:hanging="567"/>
      </w:pPr>
      <w:rPr>
        <w:rFonts w:hint="default" w:eastAsia="黑体"/>
        <w:sz w:val="30"/>
        <w:szCs w:val="30"/>
      </w:rPr>
    </w:lvl>
    <w:lvl w:ilvl="2" w:tentative="0">
      <w:start w:val="1"/>
      <w:numFmt w:val="decimal"/>
      <w:lvlText w:val="%1.%2.%3"/>
      <w:lvlJc w:val="left"/>
      <w:pPr>
        <w:ind w:left="709" w:hanging="709"/>
      </w:pPr>
      <w:rPr>
        <w:rFonts w:hint="default" w:eastAsia="黑体"/>
        <w:sz w:val="28"/>
        <w:szCs w:val="28"/>
      </w:rPr>
    </w:lvl>
    <w:lvl w:ilvl="3" w:tentative="0">
      <w:start w:val="1"/>
      <w:numFmt w:val="decimal"/>
      <w:lvlText w:val="%1.%2.%3.%4 "/>
      <w:lvlJc w:val="left"/>
      <w:pPr>
        <w:ind w:left="850" w:hanging="850"/>
      </w:pPr>
      <w:rPr>
        <w:rFonts w:hint="default"/>
        <w:sz w:val="24"/>
        <w:szCs w:val="24"/>
      </w:rPr>
    </w:lvl>
    <w:lvl w:ilvl="4" w:tentative="0">
      <w:start w:val="1"/>
      <w:numFmt w:val="decimal"/>
      <w:lvlText w:val="%1.%2.%3.%4.%5 "/>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4">
    <w:nsid w:val="EFE2F7AC"/>
    <w:multiLevelType w:val="multilevel"/>
    <w:tmpl w:val="EFE2F7AC"/>
    <w:lvl w:ilvl="0" w:tentative="0">
      <w:start w:val="1"/>
      <w:numFmt w:val="decimal"/>
      <w:pStyle w:val="44"/>
      <w:lvlText w:val="%1"/>
      <w:lvlJc w:val="left"/>
      <w:pPr>
        <w:ind w:left="425" w:hanging="425"/>
      </w:pPr>
      <w:rPr>
        <w:rFonts w:hint="default" w:ascii="微软雅黑" w:hAnsi="微软雅黑" w:eastAsia="微软雅黑"/>
      </w:rPr>
    </w:lvl>
    <w:lvl w:ilvl="1" w:tentative="0">
      <w:start w:val="1"/>
      <w:numFmt w:val="decimal"/>
      <w:lvlText w:val="%1.%2"/>
      <w:lvlJc w:val="left"/>
      <w:pPr>
        <w:ind w:left="567" w:hanging="567"/>
      </w:pPr>
      <w:rPr>
        <w:rFonts w:hint="default" w:ascii="微软雅黑" w:hAnsi="微软雅黑" w:eastAsia="宋体"/>
      </w:rPr>
    </w:lvl>
    <w:lvl w:ilvl="2" w:tentative="0">
      <w:start w:val="1"/>
      <w:numFmt w:val="decimal"/>
      <w:lvlText w:val="%1.%2.%3"/>
      <w:lvlJc w:val="left"/>
      <w:pPr>
        <w:ind w:left="709" w:hanging="709"/>
      </w:pPr>
      <w:rPr>
        <w:rFonts w:hint="default" w:ascii="微软雅黑" w:hAnsi="微软雅黑" w:eastAsia="微软雅黑"/>
      </w:rPr>
    </w:lvl>
    <w:lvl w:ilvl="3" w:tentative="0">
      <w:start w:val="1"/>
      <w:numFmt w:val="decimal"/>
      <w:lvlText w:val="%1.%2.%3.%4."/>
      <w:lvlJc w:val="left"/>
      <w:pPr>
        <w:ind w:left="850" w:hanging="850"/>
      </w:pPr>
      <w:rPr>
        <w:rFonts w:hint="default" w:ascii="微软雅黑" w:hAnsi="微软雅黑" w:eastAsia="微软雅黑"/>
      </w:rPr>
    </w:lvl>
    <w:lvl w:ilvl="4" w:tentative="0">
      <w:start w:val="1"/>
      <w:numFmt w:val="decimal"/>
      <w:lvlText w:val="%1.%2.%3.%4.%5."/>
      <w:lvlJc w:val="left"/>
      <w:pPr>
        <w:ind w:left="991" w:hanging="991"/>
      </w:pPr>
      <w:rPr>
        <w:rFonts w:hint="default" w:ascii="微软雅黑" w:hAnsi="微软雅黑" w:eastAsia="微软雅黑"/>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5">
    <w:nsid w:val="FACE2DB4"/>
    <w:multiLevelType w:val="singleLevel"/>
    <w:tmpl w:val="FACE2DB4"/>
    <w:lvl w:ilvl="0" w:tentative="0">
      <w:start w:val="1"/>
      <w:numFmt w:val="decimal"/>
      <w:pStyle w:val="53"/>
      <w:lvlText w:val="图4-%1"/>
      <w:lvlJc w:val="left"/>
      <w:pPr>
        <w:tabs>
          <w:tab w:val="left" w:pos="567"/>
        </w:tabs>
        <w:ind w:left="0" w:leftChars="0" w:firstLine="0" w:firstLineChars="0"/>
      </w:pPr>
      <w:rPr>
        <w:rFonts w:hint="default"/>
      </w:rPr>
    </w:lvl>
  </w:abstractNum>
  <w:abstractNum w:abstractNumId="6">
    <w:nsid w:val="0C50E9EE"/>
    <w:multiLevelType w:val="multilevel"/>
    <w:tmpl w:val="0C50E9EE"/>
    <w:lvl w:ilvl="0" w:tentative="0">
      <w:start w:val="1"/>
      <w:numFmt w:val="decimal"/>
      <w:pStyle w:val="2"/>
      <w:lvlText w:val="%1"/>
      <w:lvlJc w:val="left"/>
      <w:pPr>
        <w:ind w:left="425" w:hanging="425"/>
      </w:pPr>
      <w:rPr>
        <w:rFonts w:hint="default" w:eastAsia="黑体"/>
        <w:sz w:val="32"/>
        <w:szCs w:val="32"/>
      </w:rPr>
    </w:lvl>
    <w:lvl w:ilvl="1" w:tentative="0">
      <w:start w:val="1"/>
      <w:numFmt w:val="decimal"/>
      <w:lvlText w:val="%1.%2"/>
      <w:lvlJc w:val="left"/>
      <w:pPr>
        <w:ind w:left="567" w:hanging="567"/>
      </w:pPr>
      <w:rPr>
        <w:rFonts w:hint="default" w:eastAsia="黑体"/>
        <w:sz w:val="30"/>
        <w:szCs w:val="30"/>
      </w:rPr>
    </w:lvl>
    <w:lvl w:ilvl="2" w:tentative="0">
      <w:start w:val="1"/>
      <w:numFmt w:val="decimal"/>
      <w:lvlText w:val="%1.%2.%3"/>
      <w:lvlJc w:val="left"/>
      <w:pPr>
        <w:ind w:left="709" w:hanging="709"/>
      </w:pPr>
      <w:rPr>
        <w:rFonts w:hint="default" w:eastAsia="黑体"/>
        <w:sz w:val="28"/>
        <w:szCs w:val="28"/>
      </w:rPr>
    </w:lvl>
    <w:lvl w:ilvl="3" w:tentative="0">
      <w:start w:val="1"/>
      <w:numFmt w:val="decimal"/>
      <w:lvlText w:val="%1.%2.%3.%4 "/>
      <w:lvlJc w:val="left"/>
      <w:pPr>
        <w:ind w:left="850" w:hanging="850"/>
      </w:pPr>
      <w:rPr>
        <w:rFonts w:hint="default"/>
        <w:sz w:val="24"/>
        <w:szCs w:val="24"/>
      </w:rPr>
    </w:lvl>
    <w:lvl w:ilvl="4" w:tentative="0">
      <w:start w:val="1"/>
      <w:numFmt w:val="decimal"/>
      <w:lvlText w:val="%1.%2.%3.%4.%5 "/>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7">
    <w:nsid w:val="0D9E75AE"/>
    <w:multiLevelType w:val="multilevel"/>
    <w:tmpl w:val="0D9E75AE"/>
    <w:lvl w:ilvl="0" w:tentative="0">
      <w:start w:val="1"/>
      <w:numFmt w:val="bullet"/>
      <w:pStyle w:val="62"/>
      <w:lvlText w:val=""/>
      <w:lvlPicBulletId w:val="0"/>
      <w:lvlJc w:val="left"/>
      <w:pPr>
        <w:tabs>
          <w:tab w:val="left" w:pos="420"/>
        </w:tabs>
        <w:ind w:left="420" w:firstLine="0"/>
      </w:pPr>
      <w:rPr>
        <w:rFonts w:hint="default" w:ascii="Symbol" w:hAnsi="Symbol"/>
      </w:rPr>
    </w:lvl>
    <w:lvl w:ilvl="1" w:tentative="0">
      <w:start w:val="1"/>
      <w:numFmt w:val="bullet"/>
      <w:lvlText w:val=""/>
      <w:lvlJc w:val="left"/>
      <w:pPr>
        <w:tabs>
          <w:tab w:val="left" w:pos="840"/>
        </w:tabs>
        <w:ind w:left="840" w:firstLine="0"/>
      </w:pPr>
      <w:rPr>
        <w:rFonts w:hint="default" w:ascii="Symbol" w:hAnsi="Symbol"/>
      </w:rPr>
    </w:lvl>
    <w:lvl w:ilvl="2" w:tentative="0">
      <w:start w:val="1"/>
      <w:numFmt w:val="bullet"/>
      <w:lvlText w:val=""/>
      <w:lvlJc w:val="left"/>
      <w:pPr>
        <w:tabs>
          <w:tab w:val="left" w:pos="1260"/>
        </w:tabs>
        <w:ind w:left="1260" w:firstLine="0"/>
      </w:pPr>
      <w:rPr>
        <w:rFonts w:hint="default" w:ascii="Symbol" w:hAnsi="Symbol"/>
      </w:rPr>
    </w:lvl>
    <w:lvl w:ilvl="3" w:tentative="0">
      <w:start w:val="1"/>
      <w:numFmt w:val="bullet"/>
      <w:lvlText w:val=""/>
      <w:lvlJc w:val="left"/>
      <w:pPr>
        <w:tabs>
          <w:tab w:val="left" w:pos="1680"/>
        </w:tabs>
        <w:ind w:left="1680" w:firstLine="0"/>
      </w:pPr>
      <w:rPr>
        <w:rFonts w:hint="default" w:ascii="Symbol" w:hAnsi="Symbol"/>
      </w:rPr>
    </w:lvl>
    <w:lvl w:ilvl="4" w:tentative="0">
      <w:start w:val="1"/>
      <w:numFmt w:val="bullet"/>
      <w:lvlText w:val=""/>
      <w:lvlJc w:val="left"/>
      <w:pPr>
        <w:tabs>
          <w:tab w:val="left" w:pos="2100"/>
        </w:tabs>
        <w:ind w:left="2100" w:firstLine="0"/>
      </w:pPr>
      <w:rPr>
        <w:rFonts w:hint="default" w:ascii="Symbol" w:hAnsi="Symbol"/>
      </w:rPr>
    </w:lvl>
    <w:lvl w:ilvl="5" w:tentative="0">
      <w:start w:val="1"/>
      <w:numFmt w:val="bullet"/>
      <w:lvlText w:val=""/>
      <w:lvlJc w:val="left"/>
      <w:pPr>
        <w:tabs>
          <w:tab w:val="left" w:pos="2520"/>
        </w:tabs>
        <w:ind w:left="2520" w:firstLine="0"/>
      </w:pPr>
      <w:rPr>
        <w:rFonts w:hint="default" w:ascii="Symbol" w:hAnsi="Symbol"/>
      </w:rPr>
    </w:lvl>
    <w:lvl w:ilvl="6" w:tentative="0">
      <w:start w:val="1"/>
      <w:numFmt w:val="bullet"/>
      <w:lvlText w:val=""/>
      <w:lvlJc w:val="left"/>
      <w:pPr>
        <w:tabs>
          <w:tab w:val="left" w:pos="2940"/>
        </w:tabs>
        <w:ind w:left="2940" w:firstLine="0"/>
      </w:pPr>
      <w:rPr>
        <w:rFonts w:hint="default" w:ascii="Symbol" w:hAnsi="Symbol"/>
      </w:rPr>
    </w:lvl>
    <w:lvl w:ilvl="7" w:tentative="0">
      <w:start w:val="1"/>
      <w:numFmt w:val="bullet"/>
      <w:lvlText w:val=""/>
      <w:lvlJc w:val="left"/>
      <w:pPr>
        <w:tabs>
          <w:tab w:val="left" w:pos="3360"/>
        </w:tabs>
        <w:ind w:left="3360" w:firstLine="0"/>
      </w:pPr>
      <w:rPr>
        <w:rFonts w:hint="default" w:ascii="Symbol" w:hAnsi="Symbol"/>
      </w:rPr>
    </w:lvl>
    <w:lvl w:ilvl="8" w:tentative="0">
      <w:start w:val="1"/>
      <w:numFmt w:val="bullet"/>
      <w:lvlText w:val=""/>
      <w:lvlJc w:val="left"/>
      <w:pPr>
        <w:tabs>
          <w:tab w:val="left" w:pos="3780"/>
        </w:tabs>
        <w:ind w:left="3780" w:firstLine="0"/>
      </w:pPr>
      <w:rPr>
        <w:rFonts w:hint="default" w:ascii="Symbol" w:hAnsi="Symbol"/>
      </w:rPr>
    </w:lvl>
  </w:abstractNum>
  <w:abstractNum w:abstractNumId="8">
    <w:nsid w:val="2FE72756"/>
    <w:multiLevelType w:val="multilevel"/>
    <w:tmpl w:val="2FE72756"/>
    <w:lvl w:ilvl="0" w:tentative="0">
      <w:start w:val="1"/>
      <w:numFmt w:val="decimal"/>
      <w:pStyle w:val="5"/>
      <w:lvlText w:val="%1 "/>
      <w:lvlJc w:val="left"/>
      <w:pPr>
        <w:ind w:left="425" w:hanging="425"/>
      </w:pPr>
      <w:rPr>
        <w:rFonts w:hint="default"/>
        <w:sz w:val="24"/>
        <w:szCs w:val="24"/>
      </w:rPr>
    </w:lvl>
    <w:lvl w:ilvl="1" w:tentative="0">
      <w:start w:val="1"/>
      <w:numFmt w:val="decimal"/>
      <w:lvlText w:val="%1.%2 "/>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suff w:val="nothing"/>
      <w:lvlText w:val="%1.%2.%3.%4 "/>
      <w:lvlJc w:val="left"/>
      <w:pPr>
        <w:ind w:left="850" w:hanging="850"/>
      </w:pPr>
      <w:rPr>
        <w:rFonts w:hint="default"/>
        <w:color w:val="auto"/>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6"/>
  </w:num>
  <w:num w:numId="2">
    <w:abstractNumId w:val="3"/>
  </w:num>
  <w:num w:numId="3">
    <w:abstractNumId w:val="0"/>
  </w:num>
  <w:num w:numId="4">
    <w:abstractNumId w:val="8"/>
  </w:num>
  <w:num w:numId="5">
    <w:abstractNumId w:val="2"/>
  </w:num>
  <w:num w:numId="6">
    <w:abstractNumId w:val="4"/>
  </w:num>
  <w:num w:numId="7">
    <w:abstractNumId w:val="1"/>
  </w:num>
  <w:num w:numId="8">
    <w:abstractNumId w:val="5"/>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A029C"/>
    <w:rsid w:val="001F3403"/>
    <w:rsid w:val="002506FA"/>
    <w:rsid w:val="002B59D3"/>
    <w:rsid w:val="00CB3C44"/>
    <w:rsid w:val="00CD3778"/>
    <w:rsid w:val="00F275F0"/>
    <w:rsid w:val="00FF1B91"/>
    <w:rsid w:val="015A69DF"/>
    <w:rsid w:val="01A43D9C"/>
    <w:rsid w:val="01A77B35"/>
    <w:rsid w:val="01D23333"/>
    <w:rsid w:val="01E67C51"/>
    <w:rsid w:val="020E1A24"/>
    <w:rsid w:val="023E7B4D"/>
    <w:rsid w:val="02937356"/>
    <w:rsid w:val="02B60C69"/>
    <w:rsid w:val="02C25ED8"/>
    <w:rsid w:val="02DB3572"/>
    <w:rsid w:val="03250E34"/>
    <w:rsid w:val="032B0EBC"/>
    <w:rsid w:val="039713C7"/>
    <w:rsid w:val="03A4723E"/>
    <w:rsid w:val="03CC7FEE"/>
    <w:rsid w:val="04106BDD"/>
    <w:rsid w:val="047E1B60"/>
    <w:rsid w:val="048D4B54"/>
    <w:rsid w:val="04C500CA"/>
    <w:rsid w:val="04E41CE1"/>
    <w:rsid w:val="05244516"/>
    <w:rsid w:val="057B460B"/>
    <w:rsid w:val="058B2A44"/>
    <w:rsid w:val="05A33BF0"/>
    <w:rsid w:val="05DA2561"/>
    <w:rsid w:val="062C5D5F"/>
    <w:rsid w:val="06752E14"/>
    <w:rsid w:val="068D7423"/>
    <w:rsid w:val="074946C8"/>
    <w:rsid w:val="07C713FA"/>
    <w:rsid w:val="08B017DE"/>
    <w:rsid w:val="09483977"/>
    <w:rsid w:val="099072AF"/>
    <w:rsid w:val="09A07101"/>
    <w:rsid w:val="09AF2E8B"/>
    <w:rsid w:val="0A4047F0"/>
    <w:rsid w:val="0A48594F"/>
    <w:rsid w:val="0AB47859"/>
    <w:rsid w:val="0B177CD5"/>
    <w:rsid w:val="0B2F2881"/>
    <w:rsid w:val="0B705418"/>
    <w:rsid w:val="0BC72059"/>
    <w:rsid w:val="0BCB5B13"/>
    <w:rsid w:val="0BCF5FF3"/>
    <w:rsid w:val="0BD9123D"/>
    <w:rsid w:val="0BE37DF5"/>
    <w:rsid w:val="0C311396"/>
    <w:rsid w:val="0C5C5076"/>
    <w:rsid w:val="0C692CAD"/>
    <w:rsid w:val="0D681B8E"/>
    <w:rsid w:val="0D9F3011"/>
    <w:rsid w:val="0DC00151"/>
    <w:rsid w:val="0DE43478"/>
    <w:rsid w:val="0DEE56BA"/>
    <w:rsid w:val="0E306947"/>
    <w:rsid w:val="0E9F4874"/>
    <w:rsid w:val="0EAC08FD"/>
    <w:rsid w:val="0EE07D03"/>
    <w:rsid w:val="0F1F3A83"/>
    <w:rsid w:val="0F2C385D"/>
    <w:rsid w:val="0F3B7E78"/>
    <w:rsid w:val="0F587B28"/>
    <w:rsid w:val="0FDB387C"/>
    <w:rsid w:val="10160593"/>
    <w:rsid w:val="10284EE7"/>
    <w:rsid w:val="103234C6"/>
    <w:rsid w:val="10790217"/>
    <w:rsid w:val="11366F3E"/>
    <w:rsid w:val="11420290"/>
    <w:rsid w:val="118424E6"/>
    <w:rsid w:val="11B607CE"/>
    <w:rsid w:val="11D43A27"/>
    <w:rsid w:val="11F80CB0"/>
    <w:rsid w:val="12690D63"/>
    <w:rsid w:val="126C0647"/>
    <w:rsid w:val="127B49BD"/>
    <w:rsid w:val="128A65A2"/>
    <w:rsid w:val="12961468"/>
    <w:rsid w:val="130C45D2"/>
    <w:rsid w:val="134B7000"/>
    <w:rsid w:val="13511BBE"/>
    <w:rsid w:val="13EE7251"/>
    <w:rsid w:val="14185CAF"/>
    <w:rsid w:val="14454DAD"/>
    <w:rsid w:val="145B29CE"/>
    <w:rsid w:val="151D4243"/>
    <w:rsid w:val="151F5A1F"/>
    <w:rsid w:val="16650F55"/>
    <w:rsid w:val="169A3FAE"/>
    <w:rsid w:val="16A71FAA"/>
    <w:rsid w:val="17B108CB"/>
    <w:rsid w:val="17F964D3"/>
    <w:rsid w:val="17FE5D44"/>
    <w:rsid w:val="180D588B"/>
    <w:rsid w:val="18545193"/>
    <w:rsid w:val="185736BF"/>
    <w:rsid w:val="188F1F1C"/>
    <w:rsid w:val="18A3688F"/>
    <w:rsid w:val="18B90D7E"/>
    <w:rsid w:val="195B507D"/>
    <w:rsid w:val="199C3A5F"/>
    <w:rsid w:val="19B90824"/>
    <w:rsid w:val="19BE7C49"/>
    <w:rsid w:val="19CD1D13"/>
    <w:rsid w:val="1AB142A0"/>
    <w:rsid w:val="1AE46932"/>
    <w:rsid w:val="1B120167"/>
    <w:rsid w:val="1B841991"/>
    <w:rsid w:val="1B9510AD"/>
    <w:rsid w:val="1BCC5575"/>
    <w:rsid w:val="1BE428CB"/>
    <w:rsid w:val="1BE438B9"/>
    <w:rsid w:val="1C1E21F6"/>
    <w:rsid w:val="1C250273"/>
    <w:rsid w:val="1C2F0AC3"/>
    <w:rsid w:val="1C6C2094"/>
    <w:rsid w:val="1CA0747F"/>
    <w:rsid w:val="1CAD0C3E"/>
    <w:rsid w:val="1CCC4063"/>
    <w:rsid w:val="1CF159FF"/>
    <w:rsid w:val="1D3F0444"/>
    <w:rsid w:val="1D547AAF"/>
    <w:rsid w:val="1DC91D6E"/>
    <w:rsid w:val="1E2A28EC"/>
    <w:rsid w:val="1E3316FE"/>
    <w:rsid w:val="1E3836E8"/>
    <w:rsid w:val="1E5E09D7"/>
    <w:rsid w:val="1E7249D5"/>
    <w:rsid w:val="1E8258F9"/>
    <w:rsid w:val="1E8B65A8"/>
    <w:rsid w:val="1EC271F2"/>
    <w:rsid w:val="1EED04D9"/>
    <w:rsid w:val="1FA64B1C"/>
    <w:rsid w:val="1FB92215"/>
    <w:rsid w:val="2014438F"/>
    <w:rsid w:val="20193933"/>
    <w:rsid w:val="202B7144"/>
    <w:rsid w:val="203B6335"/>
    <w:rsid w:val="20971BD3"/>
    <w:rsid w:val="217A1B37"/>
    <w:rsid w:val="22025912"/>
    <w:rsid w:val="221423A4"/>
    <w:rsid w:val="2216237D"/>
    <w:rsid w:val="22437F2D"/>
    <w:rsid w:val="229A27C8"/>
    <w:rsid w:val="22CC1220"/>
    <w:rsid w:val="2376267A"/>
    <w:rsid w:val="24991786"/>
    <w:rsid w:val="249E68AC"/>
    <w:rsid w:val="24E011A6"/>
    <w:rsid w:val="2528684B"/>
    <w:rsid w:val="252F1318"/>
    <w:rsid w:val="25391977"/>
    <w:rsid w:val="26015614"/>
    <w:rsid w:val="263A3D46"/>
    <w:rsid w:val="265A0F55"/>
    <w:rsid w:val="26995303"/>
    <w:rsid w:val="26A74667"/>
    <w:rsid w:val="26C24DA3"/>
    <w:rsid w:val="27440052"/>
    <w:rsid w:val="277F4129"/>
    <w:rsid w:val="278A1FD7"/>
    <w:rsid w:val="27A50527"/>
    <w:rsid w:val="27D42352"/>
    <w:rsid w:val="280200EF"/>
    <w:rsid w:val="28657B53"/>
    <w:rsid w:val="28894493"/>
    <w:rsid w:val="288D2228"/>
    <w:rsid w:val="28DD7CC7"/>
    <w:rsid w:val="2912123B"/>
    <w:rsid w:val="2985180D"/>
    <w:rsid w:val="29C84DF6"/>
    <w:rsid w:val="2A8146B4"/>
    <w:rsid w:val="2A86490F"/>
    <w:rsid w:val="2ABC352B"/>
    <w:rsid w:val="2B5602AA"/>
    <w:rsid w:val="2B681F2A"/>
    <w:rsid w:val="2B7037B2"/>
    <w:rsid w:val="2B785E5C"/>
    <w:rsid w:val="2BD477EF"/>
    <w:rsid w:val="2BE41871"/>
    <w:rsid w:val="2BFD7535"/>
    <w:rsid w:val="2C78619D"/>
    <w:rsid w:val="2C836296"/>
    <w:rsid w:val="2CA42CDA"/>
    <w:rsid w:val="2CC97F56"/>
    <w:rsid w:val="2CD00241"/>
    <w:rsid w:val="2CD92B68"/>
    <w:rsid w:val="2D4C0A89"/>
    <w:rsid w:val="2D74468D"/>
    <w:rsid w:val="2D87193E"/>
    <w:rsid w:val="2D902F3B"/>
    <w:rsid w:val="2DBD39CF"/>
    <w:rsid w:val="2EB74DCD"/>
    <w:rsid w:val="2ECB0E5F"/>
    <w:rsid w:val="2EE937AE"/>
    <w:rsid w:val="2EF602CE"/>
    <w:rsid w:val="2EF84F00"/>
    <w:rsid w:val="2F086617"/>
    <w:rsid w:val="2F7610DD"/>
    <w:rsid w:val="30130B79"/>
    <w:rsid w:val="304F65E2"/>
    <w:rsid w:val="30922B28"/>
    <w:rsid w:val="30D61664"/>
    <w:rsid w:val="3103797D"/>
    <w:rsid w:val="314459E3"/>
    <w:rsid w:val="320735BB"/>
    <w:rsid w:val="324F1E45"/>
    <w:rsid w:val="32916AD0"/>
    <w:rsid w:val="32942776"/>
    <w:rsid w:val="32D035E7"/>
    <w:rsid w:val="32E8568A"/>
    <w:rsid w:val="330D5210"/>
    <w:rsid w:val="33241CD7"/>
    <w:rsid w:val="33516380"/>
    <w:rsid w:val="337B3084"/>
    <w:rsid w:val="339E023F"/>
    <w:rsid w:val="33C5422D"/>
    <w:rsid w:val="3433272D"/>
    <w:rsid w:val="34427A31"/>
    <w:rsid w:val="34475B03"/>
    <w:rsid w:val="34545F5E"/>
    <w:rsid w:val="34635580"/>
    <w:rsid w:val="35354782"/>
    <w:rsid w:val="35490860"/>
    <w:rsid w:val="35E12C8E"/>
    <w:rsid w:val="360C4BAB"/>
    <w:rsid w:val="365F3090"/>
    <w:rsid w:val="36733C31"/>
    <w:rsid w:val="36926BFA"/>
    <w:rsid w:val="369923B0"/>
    <w:rsid w:val="36BD386F"/>
    <w:rsid w:val="36F94157"/>
    <w:rsid w:val="373E7885"/>
    <w:rsid w:val="379E127C"/>
    <w:rsid w:val="37BB0EFF"/>
    <w:rsid w:val="38001ED1"/>
    <w:rsid w:val="385F1BB6"/>
    <w:rsid w:val="38BD549E"/>
    <w:rsid w:val="3A6213AD"/>
    <w:rsid w:val="3A872066"/>
    <w:rsid w:val="3B2E12D2"/>
    <w:rsid w:val="3B4267EB"/>
    <w:rsid w:val="3B7732A3"/>
    <w:rsid w:val="3BF67DB3"/>
    <w:rsid w:val="3C413199"/>
    <w:rsid w:val="3D043BDA"/>
    <w:rsid w:val="3D4845E5"/>
    <w:rsid w:val="3D954890"/>
    <w:rsid w:val="3DA41C67"/>
    <w:rsid w:val="3DBA2D6A"/>
    <w:rsid w:val="3DDD1B25"/>
    <w:rsid w:val="3E5A1BA6"/>
    <w:rsid w:val="3E6671CB"/>
    <w:rsid w:val="3E7C44C3"/>
    <w:rsid w:val="3EAF2378"/>
    <w:rsid w:val="3EC42F0D"/>
    <w:rsid w:val="3F162913"/>
    <w:rsid w:val="40713D5C"/>
    <w:rsid w:val="408A5219"/>
    <w:rsid w:val="40A9648B"/>
    <w:rsid w:val="40E4749D"/>
    <w:rsid w:val="41413F6F"/>
    <w:rsid w:val="41791BBD"/>
    <w:rsid w:val="41867134"/>
    <w:rsid w:val="41AB4010"/>
    <w:rsid w:val="41BF6404"/>
    <w:rsid w:val="41CC0BF5"/>
    <w:rsid w:val="422A026F"/>
    <w:rsid w:val="42611CA0"/>
    <w:rsid w:val="42884F34"/>
    <w:rsid w:val="4291098B"/>
    <w:rsid w:val="42B6747F"/>
    <w:rsid w:val="434902A0"/>
    <w:rsid w:val="43B600AD"/>
    <w:rsid w:val="44116024"/>
    <w:rsid w:val="4446233C"/>
    <w:rsid w:val="444A4106"/>
    <w:rsid w:val="45131232"/>
    <w:rsid w:val="45A91659"/>
    <w:rsid w:val="460F757E"/>
    <w:rsid w:val="462D6C1B"/>
    <w:rsid w:val="464553D9"/>
    <w:rsid w:val="46470102"/>
    <w:rsid w:val="464E783B"/>
    <w:rsid w:val="46B05D19"/>
    <w:rsid w:val="46F12854"/>
    <w:rsid w:val="46F336A8"/>
    <w:rsid w:val="473E7AE9"/>
    <w:rsid w:val="478916C5"/>
    <w:rsid w:val="47AC5A0E"/>
    <w:rsid w:val="47DE7B5D"/>
    <w:rsid w:val="48027576"/>
    <w:rsid w:val="480E4336"/>
    <w:rsid w:val="48197D55"/>
    <w:rsid w:val="482963CC"/>
    <w:rsid w:val="48567BBA"/>
    <w:rsid w:val="48C651E6"/>
    <w:rsid w:val="48D868DF"/>
    <w:rsid w:val="4911763B"/>
    <w:rsid w:val="493C4382"/>
    <w:rsid w:val="496156B3"/>
    <w:rsid w:val="4982662C"/>
    <w:rsid w:val="499C726F"/>
    <w:rsid w:val="49A800A8"/>
    <w:rsid w:val="49CC4E4A"/>
    <w:rsid w:val="49D36A6F"/>
    <w:rsid w:val="49DD6E6B"/>
    <w:rsid w:val="49F81268"/>
    <w:rsid w:val="4A5C02CB"/>
    <w:rsid w:val="4A755B2D"/>
    <w:rsid w:val="4AA52299"/>
    <w:rsid w:val="4AB91025"/>
    <w:rsid w:val="4B3A65C3"/>
    <w:rsid w:val="4B4E12A3"/>
    <w:rsid w:val="4C1415C9"/>
    <w:rsid w:val="4C3C52A0"/>
    <w:rsid w:val="4CC2216C"/>
    <w:rsid w:val="4D29482B"/>
    <w:rsid w:val="4D5E0195"/>
    <w:rsid w:val="4DA8622E"/>
    <w:rsid w:val="4DDB2F6B"/>
    <w:rsid w:val="4E716E93"/>
    <w:rsid w:val="4EAA1EE0"/>
    <w:rsid w:val="4F556B17"/>
    <w:rsid w:val="50290A0F"/>
    <w:rsid w:val="503E0E60"/>
    <w:rsid w:val="50716043"/>
    <w:rsid w:val="50C647C0"/>
    <w:rsid w:val="50F42B5F"/>
    <w:rsid w:val="513244C6"/>
    <w:rsid w:val="5157600F"/>
    <w:rsid w:val="515F165B"/>
    <w:rsid w:val="51A54381"/>
    <w:rsid w:val="52176C0D"/>
    <w:rsid w:val="521B2258"/>
    <w:rsid w:val="52D229F0"/>
    <w:rsid w:val="52E07598"/>
    <w:rsid w:val="531342F1"/>
    <w:rsid w:val="53165761"/>
    <w:rsid w:val="531A63DD"/>
    <w:rsid w:val="534C7C93"/>
    <w:rsid w:val="53A91B0A"/>
    <w:rsid w:val="53B447E3"/>
    <w:rsid w:val="53F57A7C"/>
    <w:rsid w:val="5414351A"/>
    <w:rsid w:val="54197E99"/>
    <w:rsid w:val="544016A4"/>
    <w:rsid w:val="54604C7D"/>
    <w:rsid w:val="5483286F"/>
    <w:rsid w:val="549C2042"/>
    <w:rsid w:val="549F5861"/>
    <w:rsid w:val="54EA154E"/>
    <w:rsid w:val="552F5A0A"/>
    <w:rsid w:val="553C29B5"/>
    <w:rsid w:val="555925CB"/>
    <w:rsid w:val="555E131C"/>
    <w:rsid w:val="555E7EC9"/>
    <w:rsid w:val="557A4846"/>
    <w:rsid w:val="55835CD9"/>
    <w:rsid w:val="55A92401"/>
    <w:rsid w:val="55CD5C05"/>
    <w:rsid w:val="55CF10F9"/>
    <w:rsid w:val="55E465DD"/>
    <w:rsid w:val="5622235F"/>
    <w:rsid w:val="56F94885"/>
    <w:rsid w:val="57225D22"/>
    <w:rsid w:val="57434EB8"/>
    <w:rsid w:val="5870380D"/>
    <w:rsid w:val="58BA2F3F"/>
    <w:rsid w:val="59335B42"/>
    <w:rsid w:val="594C23E9"/>
    <w:rsid w:val="5967213C"/>
    <w:rsid w:val="59A820C6"/>
    <w:rsid w:val="59C1539E"/>
    <w:rsid w:val="59DB3E06"/>
    <w:rsid w:val="59F2261A"/>
    <w:rsid w:val="5AE4556F"/>
    <w:rsid w:val="5AEA1C2E"/>
    <w:rsid w:val="5AFB2832"/>
    <w:rsid w:val="5B060359"/>
    <w:rsid w:val="5B2C66AB"/>
    <w:rsid w:val="5B9B4FF1"/>
    <w:rsid w:val="5BAA6E73"/>
    <w:rsid w:val="5BB75528"/>
    <w:rsid w:val="5BFE5405"/>
    <w:rsid w:val="5C7F2933"/>
    <w:rsid w:val="5C826630"/>
    <w:rsid w:val="5C8C1C39"/>
    <w:rsid w:val="5CA37385"/>
    <w:rsid w:val="5D5C131E"/>
    <w:rsid w:val="5D834128"/>
    <w:rsid w:val="5DC66198"/>
    <w:rsid w:val="5E0A57D7"/>
    <w:rsid w:val="5E3B0611"/>
    <w:rsid w:val="5E4567B6"/>
    <w:rsid w:val="5E5341F0"/>
    <w:rsid w:val="5E845908"/>
    <w:rsid w:val="5E8A56FD"/>
    <w:rsid w:val="5EB500DD"/>
    <w:rsid w:val="5EB65AE3"/>
    <w:rsid w:val="5F026119"/>
    <w:rsid w:val="5F060EBB"/>
    <w:rsid w:val="5F4D7619"/>
    <w:rsid w:val="5F574DB8"/>
    <w:rsid w:val="5F5937B5"/>
    <w:rsid w:val="609A667C"/>
    <w:rsid w:val="60A206C0"/>
    <w:rsid w:val="60B0308E"/>
    <w:rsid w:val="60EC4890"/>
    <w:rsid w:val="614D2BB5"/>
    <w:rsid w:val="618D5C6B"/>
    <w:rsid w:val="61D61F3C"/>
    <w:rsid w:val="61F80635"/>
    <w:rsid w:val="623612A1"/>
    <w:rsid w:val="62364CF5"/>
    <w:rsid w:val="629249E2"/>
    <w:rsid w:val="63001DEA"/>
    <w:rsid w:val="637A5353"/>
    <w:rsid w:val="647C54E3"/>
    <w:rsid w:val="64A37553"/>
    <w:rsid w:val="64D23CFE"/>
    <w:rsid w:val="651D3ACA"/>
    <w:rsid w:val="65B913E7"/>
    <w:rsid w:val="65CD384B"/>
    <w:rsid w:val="65E25712"/>
    <w:rsid w:val="65F9319B"/>
    <w:rsid w:val="660065E3"/>
    <w:rsid w:val="66031C41"/>
    <w:rsid w:val="662369C9"/>
    <w:rsid w:val="663C0421"/>
    <w:rsid w:val="663F15CE"/>
    <w:rsid w:val="66457FCD"/>
    <w:rsid w:val="666F3F89"/>
    <w:rsid w:val="669A52F6"/>
    <w:rsid w:val="67243570"/>
    <w:rsid w:val="6728083A"/>
    <w:rsid w:val="672C6851"/>
    <w:rsid w:val="6795761D"/>
    <w:rsid w:val="681A6810"/>
    <w:rsid w:val="682E257A"/>
    <w:rsid w:val="68573C08"/>
    <w:rsid w:val="68A240DF"/>
    <w:rsid w:val="68F47BF7"/>
    <w:rsid w:val="68FE7928"/>
    <w:rsid w:val="69212716"/>
    <w:rsid w:val="699A59FC"/>
    <w:rsid w:val="6A072332"/>
    <w:rsid w:val="6A077D43"/>
    <w:rsid w:val="6A0C1AA2"/>
    <w:rsid w:val="6A266C5C"/>
    <w:rsid w:val="6A336057"/>
    <w:rsid w:val="6A401C7B"/>
    <w:rsid w:val="6A443CD9"/>
    <w:rsid w:val="6AAE7116"/>
    <w:rsid w:val="6AF4360E"/>
    <w:rsid w:val="6BAE18B0"/>
    <w:rsid w:val="6BF33F5B"/>
    <w:rsid w:val="6C2C4C83"/>
    <w:rsid w:val="6C587129"/>
    <w:rsid w:val="6D404BA8"/>
    <w:rsid w:val="6D4C4156"/>
    <w:rsid w:val="6D73789E"/>
    <w:rsid w:val="6DA1107A"/>
    <w:rsid w:val="6DD65992"/>
    <w:rsid w:val="6DE45640"/>
    <w:rsid w:val="6DE73CDD"/>
    <w:rsid w:val="6E0445EC"/>
    <w:rsid w:val="6E1814A6"/>
    <w:rsid w:val="6E3A38F3"/>
    <w:rsid w:val="6E573394"/>
    <w:rsid w:val="6EA95512"/>
    <w:rsid w:val="6ED93AA3"/>
    <w:rsid w:val="6F011CC7"/>
    <w:rsid w:val="6F141745"/>
    <w:rsid w:val="6F2135B9"/>
    <w:rsid w:val="700F248B"/>
    <w:rsid w:val="701C1351"/>
    <w:rsid w:val="70270BF5"/>
    <w:rsid w:val="70273C3A"/>
    <w:rsid w:val="707539AD"/>
    <w:rsid w:val="70960DFB"/>
    <w:rsid w:val="70C426AE"/>
    <w:rsid w:val="70E502E8"/>
    <w:rsid w:val="710B1931"/>
    <w:rsid w:val="711E1809"/>
    <w:rsid w:val="7156451C"/>
    <w:rsid w:val="71AC5B4C"/>
    <w:rsid w:val="71B82D06"/>
    <w:rsid w:val="721169B3"/>
    <w:rsid w:val="723E4E4F"/>
    <w:rsid w:val="72F44A27"/>
    <w:rsid w:val="73033F5A"/>
    <w:rsid w:val="73590446"/>
    <w:rsid w:val="738B271B"/>
    <w:rsid w:val="73D46CB4"/>
    <w:rsid w:val="73D71451"/>
    <w:rsid w:val="7410466E"/>
    <w:rsid w:val="74104F53"/>
    <w:rsid w:val="746232DB"/>
    <w:rsid w:val="74CE7B18"/>
    <w:rsid w:val="74D63BBF"/>
    <w:rsid w:val="74F457F1"/>
    <w:rsid w:val="74F8544F"/>
    <w:rsid w:val="750B05EF"/>
    <w:rsid w:val="759A6034"/>
    <w:rsid w:val="75A632A4"/>
    <w:rsid w:val="75A83AFD"/>
    <w:rsid w:val="75DF1923"/>
    <w:rsid w:val="75EA6029"/>
    <w:rsid w:val="76EE1CCF"/>
    <w:rsid w:val="770D709B"/>
    <w:rsid w:val="77935DDC"/>
    <w:rsid w:val="77CA2A48"/>
    <w:rsid w:val="77DF4F5D"/>
    <w:rsid w:val="78024BAC"/>
    <w:rsid w:val="78192717"/>
    <w:rsid w:val="7843265A"/>
    <w:rsid w:val="786106CA"/>
    <w:rsid w:val="78A83C61"/>
    <w:rsid w:val="78C837FD"/>
    <w:rsid w:val="78D93E53"/>
    <w:rsid w:val="78DC157F"/>
    <w:rsid w:val="79652624"/>
    <w:rsid w:val="798D6205"/>
    <w:rsid w:val="79A5003A"/>
    <w:rsid w:val="7A05115D"/>
    <w:rsid w:val="7A294D85"/>
    <w:rsid w:val="7A377D18"/>
    <w:rsid w:val="7A9A1DAD"/>
    <w:rsid w:val="7AB362CC"/>
    <w:rsid w:val="7B32448A"/>
    <w:rsid w:val="7B8557C4"/>
    <w:rsid w:val="7BE81D4E"/>
    <w:rsid w:val="7C096DF1"/>
    <w:rsid w:val="7C233A31"/>
    <w:rsid w:val="7CA8740A"/>
    <w:rsid w:val="7CF04147"/>
    <w:rsid w:val="7D3431E5"/>
    <w:rsid w:val="7D6F2271"/>
    <w:rsid w:val="7D974D3C"/>
    <w:rsid w:val="7DBF6A8F"/>
    <w:rsid w:val="7E531884"/>
    <w:rsid w:val="7E610FE3"/>
    <w:rsid w:val="7EAA65BE"/>
    <w:rsid w:val="7F0B1F34"/>
    <w:rsid w:val="7F9E155B"/>
    <w:rsid w:val="7FE43E0D"/>
    <w:rsid w:val="7FE8461C"/>
    <w:rsid w:val="7FF14D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bidi w:val="0"/>
      <w:spacing w:line="300" w:lineRule="auto"/>
      <w:ind w:firstLine="640" w:firstLineChars="200"/>
      <w:jc w:val="both"/>
    </w:pPr>
    <w:rPr>
      <w:rFonts w:ascii="Times New Roman" w:hAnsi="Times New Roman" w:eastAsia="宋体" w:cs="宋体"/>
      <w:kern w:val="2"/>
      <w:sz w:val="24"/>
      <w:szCs w:val="22"/>
      <w:lang w:val="en-US" w:eastAsia="zh-CN" w:bidi="ar-SA"/>
    </w:rPr>
  </w:style>
  <w:style w:type="paragraph" w:styleId="2">
    <w:name w:val="heading 1"/>
    <w:next w:val="3"/>
    <w:link w:val="27"/>
    <w:qFormat/>
    <w:uiPriority w:val="0"/>
    <w:pPr>
      <w:keepNext/>
      <w:numPr>
        <w:ilvl w:val="0"/>
        <w:numId w:val="1"/>
      </w:numPr>
      <w:spacing w:line="400" w:lineRule="atLeast"/>
      <w:ind w:left="0" w:right="0" w:rightChars="0" w:firstLine="0"/>
      <w:jc w:val="left"/>
      <w:outlineLvl w:val="0"/>
    </w:pPr>
    <w:rPr>
      <w:rFonts w:ascii="Times New Roman" w:hAnsi="Times New Roman" w:eastAsia="黑体" w:cstheme="minorBidi"/>
      <w:sz w:val="32"/>
    </w:rPr>
  </w:style>
  <w:style w:type="paragraph" w:styleId="3">
    <w:name w:val="heading 2"/>
    <w:basedOn w:val="1"/>
    <w:next w:val="1"/>
    <w:link w:val="33"/>
    <w:semiHidden/>
    <w:unhideWhenUsed/>
    <w:qFormat/>
    <w:uiPriority w:val="0"/>
    <w:pPr>
      <w:keepNext/>
      <w:numPr>
        <w:ilvl w:val="0"/>
        <w:numId w:val="2"/>
      </w:numPr>
      <w:spacing w:line="400" w:lineRule="atLeast"/>
      <w:ind w:left="0" w:firstLine="0"/>
      <w:jc w:val="left"/>
      <w:outlineLvl w:val="1"/>
    </w:pPr>
    <w:rPr>
      <w:rFonts w:eastAsia="黑体" w:asciiTheme="minorAscii" w:hAnsiTheme="minorAscii"/>
      <w:sz w:val="28"/>
    </w:rPr>
  </w:style>
  <w:style w:type="paragraph" w:styleId="4">
    <w:name w:val="heading 3"/>
    <w:basedOn w:val="1"/>
    <w:next w:val="1"/>
    <w:link w:val="34"/>
    <w:semiHidden/>
    <w:unhideWhenUsed/>
    <w:qFormat/>
    <w:uiPriority w:val="0"/>
    <w:pPr>
      <w:numPr>
        <w:ilvl w:val="0"/>
        <w:numId w:val="3"/>
      </w:numPr>
      <w:spacing w:before="0" w:beforeAutospacing="1" w:after="0" w:afterAutospacing="1"/>
      <w:jc w:val="left"/>
      <w:outlineLvl w:val="2"/>
    </w:pPr>
    <w:rPr>
      <w:rFonts w:eastAsia="黑体" w:cs="宋体"/>
      <w:bCs/>
      <w:kern w:val="0"/>
      <w:sz w:val="28"/>
      <w:szCs w:val="27"/>
      <w:lang w:bidi="ar"/>
    </w:rPr>
  </w:style>
  <w:style w:type="paragraph" w:styleId="5">
    <w:name w:val="heading 4"/>
    <w:basedOn w:val="1"/>
    <w:next w:val="1"/>
    <w:link w:val="46"/>
    <w:semiHidden/>
    <w:unhideWhenUsed/>
    <w:qFormat/>
    <w:uiPriority w:val="0"/>
    <w:pPr>
      <w:keepNext/>
      <w:numPr>
        <w:ilvl w:val="0"/>
        <w:numId w:val="4"/>
      </w:numPr>
      <w:spacing w:line="400" w:lineRule="atLeast"/>
      <w:ind w:left="0" w:right="0" w:rightChars="0" w:firstLine="0" w:firstLineChars="0"/>
      <w:jc w:val="left"/>
      <w:outlineLvl w:val="3"/>
    </w:pPr>
  </w:style>
  <w:style w:type="paragraph" w:styleId="6">
    <w:name w:val="heading 5"/>
    <w:next w:val="7"/>
    <w:semiHidden/>
    <w:unhideWhenUsed/>
    <w:qFormat/>
    <w:uiPriority w:val="0"/>
    <w:pPr>
      <w:numPr>
        <w:ilvl w:val="4"/>
        <w:numId w:val="5"/>
      </w:numPr>
      <w:tabs>
        <w:tab w:val="left" w:pos="312"/>
      </w:tabs>
      <w:spacing w:line="360" w:lineRule="auto"/>
      <w:ind w:left="1008" w:hanging="1008"/>
      <w:outlineLvl w:val="4"/>
    </w:pPr>
    <w:rPr>
      <w:rFonts w:ascii="Arial" w:hAnsi="Arial" w:eastAsia="宋体" w:cstheme="minorBidi"/>
      <w:sz w:val="28"/>
      <w:szCs w:val="22"/>
      <w:lang w:val="en-US" w:eastAsia="zh-CN" w:bidi="ar-SA"/>
    </w:rPr>
  </w:style>
  <w:style w:type="paragraph" w:styleId="8">
    <w:name w:val="heading 6"/>
    <w:basedOn w:val="1"/>
    <w:next w:val="1"/>
    <w:semiHidden/>
    <w:unhideWhenUsed/>
    <w:qFormat/>
    <w:uiPriority w:val="0"/>
    <w:pPr>
      <w:keepNext/>
      <w:keepLines/>
      <w:numPr>
        <w:ilvl w:val="5"/>
        <w:numId w:val="5"/>
      </w:numPr>
      <w:tabs>
        <w:tab w:val="left" w:pos="0"/>
      </w:tabs>
      <w:spacing w:before="240" w:beforeLines="0" w:beforeAutospacing="0" w:after="64" w:afterLines="0" w:afterAutospacing="0" w:line="317" w:lineRule="auto"/>
      <w:ind w:left="1151" w:hanging="1151" w:firstLineChars="0"/>
      <w:outlineLvl w:val="5"/>
    </w:pPr>
    <w:rPr>
      <w:rFonts w:ascii="Arial" w:hAnsi="Arial" w:eastAsia="黑体"/>
      <w:b/>
      <w:sz w:val="24"/>
    </w:rPr>
  </w:style>
  <w:style w:type="paragraph" w:styleId="9">
    <w:name w:val="heading 7"/>
    <w:basedOn w:val="1"/>
    <w:next w:val="1"/>
    <w:semiHidden/>
    <w:unhideWhenUsed/>
    <w:qFormat/>
    <w:uiPriority w:val="0"/>
    <w:pPr>
      <w:keepNext/>
      <w:keepLines/>
      <w:numPr>
        <w:ilvl w:val="6"/>
        <w:numId w:val="5"/>
      </w:numPr>
      <w:tabs>
        <w:tab w:val="left" w:pos="0"/>
      </w:tabs>
      <w:spacing w:before="240" w:beforeLines="0" w:beforeAutospacing="0" w:after="64" w:afterLines="0" w:afterAutospacing="0" w:line="317" w:lineRule="auto"/>
      <w:ind w:left="1296" w:hanging="1296" w:firstLineChars="0"/>
      <w:outlineLvl w:val="6"/>
    </w:pPr>
    <w:rPr>
      <w:b/>
      <w:sz w:val="24"/>
    </w:rPr>
  </w:style>
  <w:style w:type="paragraph" w:styleId="10">
    <w:name w:val="heading 8"/>
    <w:basedOn w:val="1"/>
    <w:next w:val="1"/>
    <w:semiHidden/>
    <w:unhideWhenUsed/>
    <w:qFormat/>
    <w:uiPriority w:val="0"/>
    <w:pPr>
      <w:keepNext/>
      <w:keepLines/>
      <w:numPr>
        <w:ilvl w:val="7"/>
        <w:numId w:val="5"/>
      </w:numPr>
      <w:spacing w:before="240" w:beforeLines="0" w:beforeAutospacing="0" w:after="64" w:afterLines="0" w:afterAutospacing="0" w:line="317" w:lineRule="auto"/>
      <w:ind w:left="1440" w:hanging="1440" w:firstLineChars="0"/>
      <w:outlineLvl w:val="7"/>
    </w:pPr>
    <w:rPr>
      <w:rFonts w:ascii="Arial" w:hAnsi="Arial" w:eastAsia="黑体"/>
      <w:sz w:val="24"/>
    </w:rPr>
  </w:style>
  <w:style w:type="paragraph" w:styleId="11">
    <w:name w:val="heading 9"/>
    <w:basedOn w:val="1"/>
    <w:next w:val="1"/>
    <w:semiHidden/>
    <w:unhideWhenUsed/>
    <w:qFormat/>
    <w:uiPriority w:val="0"/>
    <w:pPr>
      <w:keepNext/>
      <w:keepLines/>
      <w:numPr>
        <w:ilvl w:val="8"/>
        <w:numId w:val="5"/>
      </w:numPr>
      <w:spacing w:before="240" w:beforeLines="0" w:beforeAutospacing="0" w:after="64" w:afterLines="0" w:afterAutospacing="0" w:line="317" w:lineRule="auto"/>
      <w:ind w:left="1583" w:hanging="1583" w:firstLineChars="0"/>
      <w:outlineLvl w:val="8"/>
    </w:pPr>
    <w:rPr>
      <w:rFonts w:ascii="Arial" w:hAnsi="Arial" w:eastAsia="黑体"/>
      <w:sz w:val="21"/>
    </w:rPr>
  </w:style>
  <w:style w:type="character" w:default="1" w:styleId="25">
    <w:name w:val="Default Paragraph Font"/>
    <w:semiHidden/>
    <w:qFormat/>
    <w:uiPriority w:val="0"/>
  </w:style>
  <w:style w:type="table" w:default="1" w:styleId="24">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0"/>
    <w:pPr>
      <w:ind w:firstLine="0" w:firstLineChars="0"/>
    </w:pPr>
    <w:rPr>
      <w:rFonts w:ascii="宋体" w:hAnsi="宋体" w:cs="宋体"/>
      <w:sz w:val="31"/>
      <w:szCs w:val="31"/>
    </w:rPr>
  </w:style>
  <w:style w:type="paragraph" w:styleId="12">
    <w:name w:val="Normal Indent"/>
    <w:basedOn w:val="1"/>
    <w:qFormat/>
    <w:uiPriority w:val="0"/>
    <w:pPr>
      <w:ind w:firstLine="420" w:firstLineChars="200"/>
    </w:pPr>
  </w:style>
  <w:style w:type="paragraph" w:styleId="13">
    <w:name w:val="caption"/>
    <w:basedOn w:val="1"/>
    <w:next w:val="1"/>
    <w:semiHidden/>
    <w:unhideWhenUsed/>
    <w:qFormat/>
    <w:uiPriority w:val="0"/>
    <w:pPr>
      <w:ind w:firstLine="0" w:firstLineChars="0"/>
      <w:jc w:val="center"/>
    </w:pPr>
    <w:rPr>
      <w:sz w:val="21"/>
      <w:szCs w:val="20"/>
    </w:rPr>
  </w:style>
  <w:style w:type="paragraph" w:styleId="14">
    <w:name w:val="toa heading"/>
    <w:basedOn w:val="1"/>
    <w:next w:val="1"/>
    <w:qFormat/>
    <w:uiPriority w:val="0"/>
    <w:pPr>
      <w:spacing w:before="120" w:beforeLines="0" w:beforeAutospacing="0"/>
    </w:pPr>
    <w:rPr>
      <w:rFonts w:ascii="Arial" w:hAnsi="Arial"/>
      <w:sz w:val="24"/>
    </w:rPr>
  </w:style>
  <w:style w:type="paragraph" w:styleId="15">
    <w:name w:val="Body Text Indent"/>
    <w:basedOn w:val="1"/>
    <w:qFormat/>
    <w:uiPriority w:val="0"/>
    <w:pPr>
      <w:spacing w:after="120" w:afterLines="0" w:afterAutospacing="0"/>
      <w:ind w:left="420" w:leftChars="200"/>
    </w:pPr>
  </w:style>
  <w:style w:type="paragraph" w:styleId="16">
    <w:name w:val="toc 3"/>
    <w:basedOn w:val="1"/>
    <w:next w:val="1"/>
    <w:qFormat/>
    <w:uiPriority w:val="0"/>
    <w:pPr>
      <w:ind w:left="840" w:leftChars="400" w:firstLine="0" w:firstLineChars="0"/>
    </w:pPr>
    <w:rPr>
      <w:rFonts w:ascii="等线" w:hAnsi="等线" w:eastAsia="宋体" w:cs="宋体"/>
      <w:sz w:val="28"/>
      <w:szCs w:val="22"/>
    </w:rPr>
  </w:style>
  <w:style w:type="paragraph" w:styleId="17">
    <w:name w:val="footer"/>
    <w:basedOn w:val="1"/>
    <w:link w:val="51"/>
    <w:qFormat/>
    <w:uiPriority w:val="0"/>
    <w:pPr>
      <w:tabs>
        <w:tab w:val="center" w:pos="4153"/>
        <w:tab w:val="right" w:pos="8306"/>
      </w:tabs>
      <w:snapToGrid w:val="0"/>
      <w:ind w:left="400" w:hanging="400" w:hangingChars="200"/>
      <w:jc w:val="left"/>
    </w:pPr>
    <w:rPr>
      <w:rFonts w:ascii="Times New Roman" w:hAnsi="Times New Roman" w:eastAsia="宋体"/>
      <w:sz w:val="18"/>
    </w:rPr>
  </w:style>
  <w:style w:type="paragraph" w:styleId="18">
    <w:name w:val="header"/>
    <w:basedOn w:val="1"/>
    <w:qFormat/>
    <w:uiPriority w:val="0"/>
    <w:pPr>
      <w:pBdr>
        <w:bottom w:val="thinThickSmallGap" w:color="auto" w:sz="18" w:space="1"/>
      </w:pBdr>
      <w:tabs>
        <w:tab w:val="center" w:pos="4153"/>
        <w:tab w:val="right" w:pos="8306"/>
      </w:tabs>
      <w:snapToGrid w:val="0"/>
      <w:ind w:firstLine="0" w:firstLineChars="0"/>
      <w:jc w:val="center"/>
    </w:pPr>
    <w:rPr>
      <w:sz w:val="18"/>
      <w:szCs w:val="18"/>
    </w:rPr>
  </w:style>
  <w:style w:type="paragraph" w:styleId="19">
    <w:name w:val="toc 1"/>
    <w:basedOn w:val="1"/>
    <w:next w:val="1"/>
    <w:qFormat/>
    <w:uiPriority w:val="0"/>
    <w:pPr>
      <w:ind w:firstLine="0" w:firstLineChars="0"/>
      <w:jc w:val="center"/>
    </w:pPr>
    <w:rPr>
      <w:rFonts w:ascii="等线" w:hAnsi="等线" w:eastAsia="宋体" w:cs="宋体"/>
      <w:sz w:val="30"/>
      <w:szCs w:val="22"/>
    </w:rPr>
  </w:style>
  <w:style w:type="paragraph" w:styleId="20">
    <w:name w:val="toc 2"/>
    <w:basedOn w:val="1"/>
    <w:next w:val="1"/>
    <w:qFormat/>
    <w:uiPriority w:val="0"/>
    <w:pPr>
      <w:ind w:left="420" w:leftChars="200" w:firstLine="0" w:firstLineChars="0"/>
    </w:pPr>
    <w:rPr>
      <w:rFonts w:ascii="等线" w:hAnsi="等线" w:eastAsia="宋体" w:cs="宋体"/>
      <w:sz w:val="28"/>
      <w:szCs w:val="22"/>
    </w:rPr>
  </w:style>
  <w:style w:type="paragraph" w:styleId="21">
    <w:name w:val="Normal (Web)"/>
    <w:basedOn w:val="1"/>
    <w:uiPriority w:val="0"/>
    <w:rPr>
      <w:sz w:val="24"/>
    </w:rPr>
  </w:style>
  <w:style w:type="paragraph" w:styleId="22">
    <w:name w:val="Title"/>
    <w:basedOn w:val="1"/>
    <w:next w:val="1"/>
    <w:link w:val="52"/>
    <w:qFormat/>
    <w:uiPriority w:val="0"/>
    <w:pPr>
      <w:pageBreakBefore/>
      <w:spacing w:line="578" w:lineRule="auto"/>
      <w:ind w:firstLine="0" w:firstLineChars="0"/>
      <w:jc w:val="center"/>
      <w:outlineLvl w:val="0"/>
    </w:pPr>
    <w:rPr>
      <w:rFonts w:ascii="等线 Light" w:hAnsi="等线 Light" w:eastAsia="宋体"/>
      <w:b/>
      <w:bCs/>
      <w:sz w:val="32"/>
      <w:szCs w:val="32"/>
    </w:rPr>
  </w:style>
  <w:style w:type="paragraph" w:styleId="23">
    <w:name w:val="Body Text First Indent 2"/>
    <w:basedOn w:val="15"/>
    <w:qFormat/>
    <w:uiPriority w:val="0"/>
    <w:pPr>
      <w:ind w:firstLine="420" w:firstLineChars="200"/>
    </w:pPr>
  </w:style>
  <w:style w:type="paragraph" w:customStyle="1" w:styleId="26">
    <w:name w:val="样式1"/>
    <w:basedOn w:val="1"/>
    <w:qFormat/>
    <w:uiPriority w:val="0"/>
    <w:pPr>
      <w:widowControl/>
      <w:ind w:firstLine="0" w:firstLineChars="0"/>
      <w:jc w:val="center"/>
      <w:textAlignment w:val="center"/>
    </w:pPr>
    <w:rPr>
      <w:rFonts w:hint="eastAsia" w:ascii="宋体" w:hAnsi="宋体" w:eastAsia="宋体" w:cs="宋体"/>
      <w:color w:val="000000"/>
      <w:kern w:val="0"/>
      <w:sz w:val="20"/>
      <w:szCs w:val="20"/>
      <w:u w:val="none"/>
      <w:lang w:bidi="ar"/>
    </w:rPr>
  </w:style>
  <w:style w:type="character" w:customStyle="1" w:styleId="27">
    <w:name w:val="标题 1 Char"/>
    <w:link w:val="2"/>
    <w:qFormat/>
    <w:uiPriority w:val="0"/>
    <w:rPr>
      <w:rFonts w:ascii="Times New Roman" w:hAnsi="Times New Roman" w:eastAsia="宋体" w:cs="宋体"/>
      <w:b/>
      <w:snapToGrid w:val="0"/>
      <w:color w:val="000000"/>
      <w:kern w:val="2"/>
      <w:sz w:val="36"/>
      <w:szCs w:val="24"/>
      <w:lang w:eastAsia="zh-CN"/>
    </w:rPr>
  </w:style>
  <w:style w:type="paragraph" w:customStyle="1" w:styleId="28">
    <w:name w:val="样式2"/>
    <w:basedOn w:val="1"/>
    <w:qFormat/>
    <w:uiPriority w:val="0"/>
    <w:pPr>
      <w:widowControl/>
      <w:spacing w:line="440" w:lineRule="exact"/>
      <w:ind w:firstLine="0" w:firstLineChars="0"/>
      <w:jc w:val="left"/>
      <w:textAlignment w:val="center"/>
    </w:pPr>
    <w:rPr>
      <w:rFonts w:hint="eastAsia" w:ascii="宋体" w:hAnsi="宋体" w:eastAsia="宋体" w:cs="宋体"/>
      <w:b/>
      <w:bCs/>
      <w:color w:val="000000"/>
      <w:kern w:val="0"/>
      <w:sz w:val="18"/>
      <w:szCs w:val="18"/>
      <w:u w:val="none"/>
      <w:lang w:eastAsia="zh-CN" w:bidi="ar"/>
    </w:rPr>
  </w:style>
  <w:style w:type="paragraph" w:customStyle="1" w:styleId="29">
    <w:name w:val="目录"/>
    <w:basedOn w:val="1"/>
    <w:next w:val="1"/>
    <w:link w:val="30"/>
    <w:qFormat/>
    <w:uiPriority w:val="0"/>
    <w:pPr>
      <w:keepNext/>
      <w:keepLines/>
      <w:spacing w:line="360" w:lineRule="auto"/>
      <w:ind w:firstLine="0" w:firstLineChars="0"/>
      <w:jc w:val="center"/>
      <w:outlineLvl w:val="0"/>
    </w:pPr>
    <w:rPr>
      <w:rFonts w:ascii="Times New Roman" w:hAnsi="Times New Roman" w:eastAsia="宋体"/>
      <w:b/>
      <w:bCs/>
      <w:sz w:val="36"/>
      <w:szCs w:val="44"/>
    </w:rPr>
  </w:style>
  <w:style w:type="character" w:customStyle="1" w:styleId="30">
    <w:name w:val="目录 Char"/>
    <w:link w:val="29"/>
    <w:qFormat/>
    <w:uiPriority w:val="0"/>
    <w:rPr>
      <w:rFonts w:ascii="Times New Roman" w:hAnsi="Times New Roman" w:eastAsia="宋体"/>
      <w:b/>
      <w:bCs/>
      <w:sz w:val="36"/>
      <w:szCs w:val="44"/>
    </w:rPr>
  </w:style>
  <w:style w:type="paragraph" w:customStyle="1" w:styleId="31">
    <w:name w:val="目录1"/>
    <w:basedOn w:val="14"/>
    <w:next w:val="29"/>
    <w:qFormat/>
    <w:uiPriority w:val="0"/>
    <w:pPr>
      <w:tabs>
        <w:tab w:val="right" w:leader="dot" w:pos="8336"/>
      </w:tabs>
      <w:autoSpaceDE/>
      <w:autoSpaceDN/>
      <w:spacing w:line="360" w:lineRule="auto"/>
    </w:pPr>
    <w:rPr>
      <w:rFonts w:ascii="Times New Roman" w:hAnsi="Times New Roman" w:eastAsia="宋体" w:cs="Times New Roman"/>
      <w:bCs/>
      <w:spacing w:val="4"/>
      <w:sz w:val="28"/>
      <w:szCs w:val="43"/>
    </w:rPr>
  </w:style>
  <w:style w:type="paragraph" w:customStyle="1" w:styleId="32">
    <w:name w:val="图序与图名"/>
    <w:basedOn w:val="1"/>
    <w:link w:val="57"/>
    <w:qFormat/>
    <w:uiPriority w:val="0"/>
    <w:pPr>
      <w:spacing w:before="100" w:beforeLines="100" w:line="240" w:lineRule="auto"/>
      <w:ind w:left="0" w:firstLine="0" w:firstLineChars="0"/>
      <w:jc w:val="center"/>
    </w:pPr>
    <w:rPr>
      <w:rFonts w:ascii="宋体" w:hAnsi="宋体" w:eastAsia="宋体" w:cs="宋体"/>
      <w:spacing w:val="-2"/>
      <w:sz w:val="21"/>
      <w:szCs w:val="20"/>
    </w:rPr>
  </w:style>
  <w:style w:type="character" w:customStyle="1" w:styleId="33">
    <w:name w:val="标题 2 Char"/>
    <w:link w:val="3"/>
    <w:qFormat/>
    <w:uiPriority w:val="0"/>
    <w:rPr>
      <w:rFonts w:ascii="Times New Roman" w:hAnsi="Times New Roman" w:eastAsia="宋体" w:cs="宋体"/>
      <w:kern w:val="2"/>
      <w:sz w:val="28"/>
      <w:szCs w:val="24"/>
      <w:lang w:val="en-US" w:eastAsia="zh-CN" w:bidi="ar-SA"/>
    </w:rPr>
  </w:style>
  <w:style w:type="character" w:customStyle="1" w:styleId="34">
    <w:name w:val="标题 3 Char"/>
    <w:link w:val="4"/>
    <w:qFormat/>
    <w:uiPriority w:val="0"/>
    <w:rPr>
      <w:rFonts w:ascii="Times New Roman" w:hAnsi="Times New Roman" w:eastAsia="宋体" w:cs="宋体"/>
      <w:kern w:val="2"/>
      <w:sz w:val="28"/>
      <w:szCs w:val="24"/>
      <w:lang w:eastAsia="zh-CN"/>
    </w:rPr>
  </w:style>
  <w:style w:type="paragraph" w:customStyle="1" w:styleId="35">
    <w:name w:val="样式3"/>
    <w:basedOn w:val="1"/>
    <w:qFormat/>
    <w:uiPriority w:val="0"/>
    <w:pPr>
      <w:ind w:firstLine="0" w:firstLineChars="0"/>
    </w:pPr>
    <w:rPr>
      <w:rFonts w:hint="eastAsia"/>
      <w:lang w:val="zh-CN"/>
    </w:rPr>
  </w:style>
  <w:style w:type="paragraph" w:customStyle="1" w:styleId="36">
    <w:name w:val="样式4"/>
    <w:basedOn w:val="1"/>
    <w:qFormat/>
    <w:uiPriority w:val="0"/>
    <w:pPr>
      <w:widowControl/>
      <w:spacing w:line="240" w:lineRule="auto"/>
      <w:ind w:firstLine="0" w:firstLineChars="0"/>
      <w:jc w:val="center"/>
      <w:textAlignment w:val="center"/>
    </w:pPr>
    <w:rPr>
      <w:rFonts w:hint="eastAsia" w:ascii="宋体" w:hAnsi="宋体" w:eastAsia="宋体" w:cs="宋体"/>
      <w:color w:val="000000"/>
      <w:kern w:val="0"/>
      <w:sz w:val="18"/>
      <w:szCs w:val="18"/>
      <w:u w:val="none"/>
      <w:lang w:bidi="ar"/>
    </w:rPr>
  </w:style>
  <w:style w:type="paragraph" w:customStyle="1" w:styleId="37">
    <w:name w:val="样式7"/>
    <w:basedOn w:val="1"/>
    <w:qFormat/>
    <w:uiPriority w:val="0"/>
    <w:pPr>
      <w:ind w:firstLine="0" w:firstLineChars="0"/>
      <w:jc w:val="center"/>
    </w:pPr>
    <w:rPr>
      <w:rFonts w:hint="eastAsia" w:ascii="宋体" w:hAnsi="宋体" w:eastAsia="宋体"/>
      <w:szCs w:val="22"/>
    </w:rPr>
  </w:style>
  <w:style w:type="paragraph" w:customStyle="1" w:styleId="38">
    <w:name w:val="摘要目录"/>
    <w:basedOn w:val="1"/>
    <w:next w:val="1"/>
    <w:qFormat/>
    <w:uiPriority w:val="0"/>
    <w:pPr>
      <w:keepNext/>
      <w:keepLines/>
      <w:pageBreakBefore/>
      <w:spacing w:line="360" w:lineRule="auto"/>
      <w:ind w:left="0" w:leftChars="0" w:firstLine="482" w:firstLineChars="200"/>
      <w:jc w:val="both"/>
      <w:outlineLvl w:val="0"/>
    </w:pPr>
    <w:rPr>
      <w:rFonts w:ascii="Times New Roman" w:hAnsi="Times New Roman" w:eastAsia="宋体"/>
      <w:b/>
      <w:bCs/>
      <w:kern w:val="44"/>
      <w:szCs w:val="44"/>
    </w:rPr>
  </w:style>
  <w:style w:type="paragraph" w:customStyle="1" w:styleId="39">
    <w:name w:val="样式8"/>
    <w:basedOn w:val="1"/>
    <w:qFormat/>
    <w:uiPriority w:val="0"/>
    <w:pPr>
      <w:widowControl/>
      <w:ind w:firstLine="0" w:firstLineChars="0"/>
      <w:jc w:val="center"/>
      <w:textAlignment w:val="center"/>
    </w:pPr>
    <w:rPr>
      <w:rFonts w:hint="eastAsia" w:ascii="宋体" w:hAnsi="宋体" w:eastAsia="宋体" w:cs="宋体"/>
      <w:color w:val="000000"/>
      <w:kern w:val="0"/>
      <w:sz w:val="20"/>
      <w:szCs w:val="20"/>
      <w:u w:val="none"/>
      <w:lang w:bidi="ar"/>
    </w:rPr>
  </w:style>
  <w:style w:type="paragraph" w:customStyle="1" w:styleId="40">
    <w:name w:val="目录摘要"/>
    <w:basedOn w:val="1"/>
    <w:qFormat/>
    <w:uiPriority w:val="0"/>
    <w:pPr>
      <w:spacing w:line="360" w:lineRule="auto"/>
      <w:ind w:left="0" w:right="0" w:firstLine="420" w:firstLineChars="200"/>
      <w:jc w:val="both"/>
      <w:outlineLvl w:val="0"/>
    </w:pPr>
    <w:rPr>
      <w:rFonts w:hint="eastAsia" w:ascii="微软雅黑" w:hAnsi="微软雅黑" w:eastAsia="宋体" w:cs="微软雅黑"/>
      <w:b/>
      <w:bCs/>
      <w:snapToGrid w:val="0"/>
      <w:color w:val="000000"/>
      <w:spacing w:val="9"/>
      <w:kern w:val="0"/>
      <w:sz w:val="24"/>
      <w:szCs w:val="29"/>
    </w:rPr>
  </w:style>
  <w:style w:type="paragraph" w:customStyle="1" w:styleId="41">
    <w:name w:val="样式9"/>
    <w:basedOn w:val="1"/>
    <w:qFormat/>
    <w:uiPriority w:val="0"/>
    <w:pPr>
      <w:widowControl/>
      <w:ind w:firstLine="0" w:firstLineChars="0"/>
      <w:jc w:val="center"/>
      <w:textAlignment w:val="center"/>
    </w:pPr>
    <w:rPr>
      <w:rFonts w:hint="eastAsia" w:ascii="宋体" w:hAnsi="宋体" w:eastAsia="宋体" w:cs="宋体"/>
      <w:color w:val="000000"/>
      <w:kern w:val="0"/>
      <w:sz w:val="16"/>
      <w:szCs w:val="20"/>
      <w:u w:val="none"/>
      <w:lang w:eastAsia="zh-CN" w:bidi="ar"/>
    </w:rPr>
  </w:style>
  <w:style w:type="paragraph" w:customStyle="1" w:styleId="42">
    <w:name w:val="样式10"/>
    <w:basedOn w:val="1"/>
    <w:qFormat/>
    <w:uiPriority w:val="0"/>
    <w:pPr>
      <w:widowControl/>
      <w:spacing w:line="240" w:lineRule="auto"/>
      <w:ind w:firstLine="0" w:firstLineChars="0"/>
      <w:jc w:val="center"/>
      <w:textAlignment w:val="center"/>
    </w:pPr>
    <w:rPr>
      <w:rFonts w:hint="eastAsia" w:ascii="宋体" w:hAnsi="宋体" w:eastAsia="宋体" w:cs="宋体"/>
      <w:b/>
      <w:bCs/>
      <w:color w:val="000000"/>
      <w:kern w:val="0"/>
      <w:sz w:val="15"/>
      <w:szCs w:val="18"/>
      <w:u w:val="none"/>
      <w:lang w:eastAsia="zh-CN" w:bidi="ar"/>
    </w:rPr>
  </w:style>
  <w:style w:type="paragraph" w:customStyle="1" w:styleId="43">
    <w:name w:val="图题"/>
    <w:basedOn w:val="1"/>
    <w:qFormat/>
    <w:uiPriority w:val="0"/>
    <w:rPr>
      <w:rFonts w:hint="default" w:ascii="Times New Roman" w:hAnsi="Times New Roman" w:eastAsia="宋体"/>
      <w:sz w:val="21"/>
    </w:rPr>
  </w:style>
  <w:style w:type="paragraph" w:customStyle="1" w:styleId="44">
    <w:name w:val="参考文献"/>
    <w:basedOn w:val="1"/>
    <w:next w:val="1"/>
    <w:qFormat/>
    <w:uiPriority w:val="0"/>
    <w:pPr>
      <w:numPr>
        <w:ilvl w:val="0"/>
        <w:numId w:val="6"/>
      </w:numPr>
      <w:tabs>
        <w:tab w:val="left" w:pos="0"/>
      </w:tabs>
      <w:spacing w:before="50" w:beforeLines="50" w:after="50" w:afterLines="50" w:line="240" w:lineRule="auto"/>
      <w:ind w:left="425" w:hanging="425"/>
      <w:jc w:val="center"/>
      <w:outlineLvl w:val="0"/>
    </w:pPr>
    <w:rPr>
      <w:rFonts w:hint="eastAsia" w:ascii="宋体" w:hAnsi="宋体" w:cs="宋体"/>
      <w:b/>
      <w:snapToGrid w:val="0"/>
      <w:color w:val="000000"/>
      <w:kern w:val="44"/>
      <w:sz w:val="28"/>
      <w:szCs w:val="32"/>
      <w:lang w:eastAsia="en-US"/>
    </w:rPr>
  </w:style>
  <w:style w:type="paragraph" w:customStyle="1" w:styleId="45">
    <w:name w:val="参考文献正文"/>
    <w:basedOn w:val="1"/>
    <w:qFormat/>
    <w:uiPriority w:val="0"/>
    <w:pPr>
      <w:numPr>
        <w:ilvl w:val="0"/>
        <w:numId w:val="7"/>
      </w:numPr>
      <w:spacing w:before="50" w:beforeLines="50" w:after="50" w:afterLines="50"/>
    </w:pPr>
    <w:rPr>
      <w:rFonts w:hint="eastAsia"/>
    </w:rPr>
  </w:style>
  <w:style w:type="character" w:customStyle="1" w:styleId="46">
    <w:name w:val="标题 4 Char"/>
    <w:link w:val="5"/>
    <w:qFormat/>
    <w:uiPriority w:val="0"/>
    <w:rPr>
      <w:rFonts w:ascii="Times New Roman" w:hAnsi="Times New Roman" w:eastAsia="宋体" w:cs="Times New Roman"/>
      <w:snapToGrid/>
      <w:sz w:val="24"/>
      <w:szCs w:val="24"/>
      <w:lang w:val="en-US" w:eastAsia="zh-CN" w:bidi="ar-SA"/>
    </w:rPr>
  </w:style>
  <w:style w:type="paragraph" w:customStyle="1" w:styleId="47">
    <w:name w:val="Table Text"/>
    <w:basedOn w:val="1"/>
    <w:semiHidden/>
    <w:qFormat/>
    <w:uiPriority w:val="0"/>
    <w:pPr>
      <w:snapToGrid w:val="0"/>
      <w:spacing w:line="360" w:lineRule="auto"/>
    </w:pPr>
    <w:rPr>
      <w:rFonts w:ascii="等线" w:hAnsi="等线" w:eastAsia="宋体" w:cs="等线"/>
      <w:sz w:val="20"/>
      <w:szCs w:val="20"/>
      <w:lang w:eastAsia="en-US"/>
    </w:rPr>
  </w:style>
  <w:style w:type="paragraph" w:customStyle="1" w:styleId="48">
    <w:name w:val="目录111"/>
    <w:basedOn w:val="1"/>
    <w:qFormat/>
    <w:uiPriority w:val="0"/>
    <w:pPr>
      <w:spacing w:before="80" w:beforeLines="80" w:after="50" w:afterLines="50" w:line="240" w:lineRule="auto"/>
      <w:ind w:firstLine="0" w:firstLineChars="0"/>
      <w:jc w:val="center"/>
    </w:pPr>
    <w:rPr>
      <w:rFonts w:ascii="宋体" w:hAnsi="宋体"/>
      <w:sz w:val="36"/>
    </w:rPr>
  </w:style>
  <w:style w:type="paragraph" w:customStyle="1" w:styleId="49">
    <w:name w:val="一级标题"/>
    <w:basedOn w:val="1"/>
    <w:link w:val="50"/>
    <w:autoRedefine/>
    <w:qFormat/>
    <w:uiPriority w:val="0"/>
    <w:pPr>
      <w:keepNext/>
      <w:keepLines/>
      <w:pageBreakBefore/>
      <w:spacing w:line="360" w:lineRule="auto"/>
      <w:jc w:val="center"/>
      <w:outlineLvl w:val="0"/>
    </w:pPr>
    <w:rPr>
      <w:rFonts w:ascii="黑体" w:hAnsi="黑体" w:eastAsia="黑体" w:cs="Times New Roman"/>
      <w:b/>
      <w:bCs/>
      <w:kern w:val="32"/>
      <w:sz w:val="36"/>
      <w:szCs w:val="36"/>
    </w:rPr>
  </w:style>
  <w:style w:type="character" w:customStyle="1" w:styleId="50">
    <w:name w:val="一级标题 Char"/>
    <w:link w:val="49"/>
    <w:autoRedefine/>
    <w:qFormat/>
    <w:uiPriority w:val="0"/>
    <w:rPr>
      <w:rFonts w:ascii="黑体" w:hAnsi="黑体" w:eastAsia="黑体" w:cs="Times New Roman"/>
      <w:b/>
      <w:bCs/>
      <w:kern w:val="32"/>
      <w:sz w:val="36"/>
      <w:szCs w:val="36"/>
    </w:rPr>
  </w:style>
  <w:style w:type="character" w:customStyle="1" w:styleId="51">
    <w:name w:val="页脚 字符"/>
    <w:link w:val="17"/>
    <w:qFormat/>
    <w:uiPriority w:val="99"/>
    <w:rPr>
      <w:rFonts w:ascii="Times New Roman" w:hAnsi="Times New Roman" w:eastAsia="宋体"/>
      <w:sz w:val="18"/>
    </w:rPr>
  </w:style>
  <w:style w:type="character" w:customStyle="1" w:styleId="52">
    <w:name w:val="标题 Char"/>
    <w:link w:val="22"/>
    <w:qFormat/>
    <w:uiPriority w:val="0"/>
    <w:rPr>
      <w:rFonts w:ascii="等线 Light" w:hAnsi="等线 Light" w:eastAsia="宋体"/>
      <w:b/>
      <w:bCs/>
      <w:kern w:val="2"/>
      <w:sz w:val="32"/>
      <w:szCs w:val="32"/>
    </w:rPr>
  </w:style>
  <w:style w:type="paragraph" w:customStyle="1" w:styleId="53">
    <w:name w:val="题标"/>
    <w:basedOn w:val="1"/>
    <w:next w:val="1"/>
    <w:qFormat/>
    <w:uiPriority w:val="0"/>
    <w:pPr>
      <w:keepNext/>
      <w:keepLines/>
      <w:numPr>
        <w:ilvl w:val="0"/>
        <w:numId w:val="8"/>
      </w:numPr>
      <w:spacing w:line="360" w:lineRule="auto"/>
      <w:ind w:firstLine="0" w:firstLineChars="0"/>
      <w:jc w:val="center"/>
      <w:outlineLvl w:val="9"/>
    </w:pPr>
    <w:rPr>
      <w:rFonts w:ascii="Times New Roman" w:hAnsi="Times New Roman" w:eastAsia="宋体" w:cs="Times New Roman"/>
      <w:bCs/>
      <w:sz w:val="21"/>
      <w:szCs w:val="32"/>
    </w:rPr>
  </w:style>
  <w:style w:type="paragraph" w:customStyle="1" w:styleId="54">
    <w:name w:val="表格"/>
    <w:basedOn w:val="1"/>
    <w:qFormat/>
    <w:uiPriority w:val="0"/>
    <w:pPr>
      <w:spacing w:line="240" w:lineRule="auto"/>
      <w:ind w:firstLine="0" w:firstLineChars="0"/>
      <w:jc w:val="center"/>
    </w:pPr>
    <w:rPr>
      <w:rFonts w:ascii="Times New Roman" w:hAnsi="Times New Roman" w:cs="宋体"/>
      <w:sz w:val="21"/>
      <w:szCs w:val="21"/>
    </w:rPr>
  </w:style>
  <w:style w:type="paragraph" w:customStyle="1" w:styleId="55">
    <w:name w:val="目录 题目"/>
    <w:basedOn w:val="1"/>
    <w:qFormat/>
    <w:uiPriority w:val="99"/>
    <w:pPr>
      <w:spacing w:line="300" w:lineRule="auto"/>
      <w:ind w:firstLine="0" w:firstLineChars="0"/>
      <w:jc w:val="center"/>
    </w:pPr>
    <w:rPr>
      <w:rFonts w:ascii="等线" w:hAnsi="等线" w:eastAsia="黑体" w:cs="宋体"/>
      <w:b/>
      <w:sz w:val="32"/>
      <w:szCs w:val="22"/>
    </w:rPr>
  </w:style>
  <w:style w:type="paragraph" w:customStyle="1" w:styleId="56">
    <w:name w:val="样式11"/>
    <w:basedOn w:val="1"/>
    <w:qFormat/>
    <w:uiPriority w:val="0"/>
    <w:pPr>
      <w:widowControl/>
      <w:ind w:firstLine="0" w:firstLineChars="0"/>
      <w:jc w:val="center"/>
      <w:textAlignment w:val="center"/>
    </w:pPr>
    <w:rPr>
      <w:rFonts w:hint="eastAsia" w:ascii="宋体" w:hAnsi="宋体" w:eastAsia="宋体" w:cs="宋体"/>
      <w:b/>
      <w:bCs/>
      <w:color w:val="000000"/>
      <w:kern w:val="0"/>
      <w:sz w:val="18"/>
      <w:szCs w:val="18"/>
      <w:u w:val="none"/>
      <w:lang w:bidi="ar"/>
    </w:rPr>
  </w:style>
  <w:style w:type="character" w:customStyle="1" w:styleId="57">
    <w:name w:val="图序与图名 Char"/>
    <w:link w:val="32"/>
    <w:qFormat/>
    <w:uiPriority w:val="0"/>
    <w:rPr>
      <w:rFonts w:ascii="宋体" w:hAnsi="宋体" w:eastAsia="宋体" w:cs="宋体"/>
      <w:spacing w:val="-2"/>
      <w:sz w:val="21"/>
      <w:szCs w:val="20"/>
    </w:rPr>
  </w:style>
  <w:style w:type="paragraph" w:customStyle="1" w:styleId="58">
    <w:name w:val="样式12"/>
    <w:basedOn w:val="1"/>
    <w:qFormat/>
    <w:uiPriority w:val="0"/>
    <w:pPr>
      <w:widowControl/>
      <w:ind w:firstLine="0" w:firstLineChars="0"/>
      <w:textAlignment w:val="center"/>
    </w:pPr>
    <w:rPr>
      <w:rFonts w:hint="eastAsia" w:ascii="宋体" w:hAnsi="宋体" w:eastAsia="宋体" w:cs="宋体"/>
      <w:b/>
      <w:bCs/>
      <w:color w:val="000000"/>
      <w:kern w:val="0"/>
      <w:sz w:val="18"/>
      <w:szCs w:val="18"/>
      <w:u w:val="none"/>
      <w:lang w:bidi="ar"/>
    </w:rPr>
  </w:style>
  <w:style w:type="paragraph" w:customStyle="1" w:styleId="59">
    <w:name w:val="图序"/>
    <w:basedOn w:val="1"/>
    <w:qFormat/>
    <w:uiPriority w:val="0"/>
    <w:pPr>
      <w:spacing w:line="240" w:lineRule="auto"/>
      <w:jc w:val="center"/>
    </w:pPr>
    <w:rPr>
      <w:rFonts w:hint="default" w:ascii="Times New Roman" w:hAnsi="Times New Roman" w:eastAsia="黑体" w:cs="Times New Roman"/>
      <w:sz w:val="21"/>
    </w:rPr>
  </w:style>
  <w:style w:type="paragraph" w:customStyle="1" w:styleId="60">
    <w:name w:val="样式13"/>
    <w:basedOn w:val="1"/>
    <w:qFormat/>
    <w:uiPriority w:val="0"/>
    <w:pPr>
      <w:spacing w:line="240" w:lineRule="auto"/>
      <w:ind w:firstLine="0" w:firstLineChars="0"/>
      <w:outlineLvl w:val="0"/>
    </w:pPr>
    <w:rPr>
      <w:rFonts w:hint="eastAsia" w:ascii="宋体" w:hAnsi="宋体" w:eastAsia="宋体" w:cs="宋体"/>
      <w:snapToGrid w:val="0"/>
      <w:color w:val="000000"/>
      <w:spacing w:val="-3"/>
      <w:kern w:val="0"/>
      <w:sz w:val="20"/>
      <w:szCs w:val="24"/>
      <w:lang w:eastAsia="en-US"/>
    </w:rPr>
  </w:style>
  <w:style w:type="paragraph" w:customStyle="1" w:styleId="61">
    <w:name w:val="序号"/>
    <w:basedOn w:val="1"/>
    <w:qFormat/>
    <w:uiPriority w:val="0"/>
    <w:pPr>
      <w:spacing w:line="360" w:lineRule="auto"/>
      <w:ind w:left="0" w:firstLine="0" w:firstLineChars="0"/>
      <w:jc w:val="center"/>
      <w:outlineLvl w:val="9"/>
    </w:pPr>
    <w:rPr>
      <w:rFonts w:ascii="Times New Roman" w:hAnsi="Times New Roman" w:cs="宋体"/>
      <w:spacing w:val="1"/>
      <w:sz w:val="20"/>
      <w:szCs w:val="20"/>
    </w:rPr>
  </w:style>
  <w:style w:type="paragraph" w:customStyle="1" w:styleId="62">
    <w:name w:val="正文部分"/>
    <w:basedOn w:val="1"/>
    <w:qFormat/>
    <w:uiPriority w:val="0"/>
    <w:pPr>
      <w:numPr>
        <w:ilvl w:val="0"/>
        <w:numId w:val="9"/>
      </w:numPr>
      <w:spacing w:line="400" w:lineRule="exact"/>
      <w:ind w:left="0" w:firstLine="560" w:firstLineChars="200"/>
      <w:jc w:val="both"/>
    </w:pPr>
    <w:rPr>
      <w:bCs/>
    </w:rPr>
  </w:style>
  <w:style w:type="paragraph" w:customStyle="1" w:styleId="63">
    <w:name w:val="样式14"/>
    <w:basedOn w:val="1"/>
    <w:qFormat/>
    <w:uiPriority w:val="0"/>
    <w:pPr>
      <w:ind w:firstLine="560" w:firstLineChars="200"/>
    </w:pPr>
    <w:rPr>
      <w:rFonts w:ascii="Times New Roman" w:hAnsi="Times New Roman"/>
    </w:rPr>
  </w:style>
  <w:style w:type="paragraph" w:customStyle="1" w:styleId="64">
    <w:name w:val="图标"/>
    <w:basedOn w:val="1"/>
    <w:qFormat/>
    <w:uiPriority w:val="0"/>
    <w:pPr>
      <w:ind w:firstLine="0" w:firstLineChars="0"/>
      <w:jc w:val="center"/>
    </w:pPr>
    <w:rPr>
      <w:rFonts w:ascii="Times New Roman" w:hAnsi="Times New Roman" w:eastAsia="宋体"/>
      <w:b/>
      <w:sz w:val="21"/>
    </w:rPr>
  </w:style>
  <w:style w:type="paragraph" w:customStyle="1" w:styleId="65">
    <w:name w:val="正文部分。"/>
    <w:basedOn w:val="1"/>
    <w:qFormat/>
    <w:uiPriority w:val="0"/>
    <w:pPr>
      <w:spacing w:line="360" w:lineRule="auto"/>
      <w:ind w:firstLine="360" w:firstLineChars="200"/>
      <w:jc w:val="left"/>
    </w:pPr>
    <w:rPr>
      <w:rFonts w:hint="eastAsia" w:ascii="宋体" w:hAnsi="宋体" w:eastAsia="宋体" w:cs="宋体"/>
      <w:sz w:val="24"/>
    </w:rPr>
  </w:style>
  <w:style w:type="paragraph" w:customStyle="1" w:styleId="66">
    <w:name w:val="正文部分，"/>
    <w:basedOn w:val="1"/>
    <w:qFormat/>
    <w:uiPriority w:val="0"/>
    <w:pPr>
      <w:spacing w:line="360" w:lineRule="auto"/>
      <w:ind w:firstLine="560" w:firstLineChars="200"/>
    </w:pPr>
    <w:rPr>
      <w:rFonts w:ascii="Times New Roman" w:hAnsi="Times New Roman" w:eastAsia="宋体" w:cs="Times New Roman"/>
      <w:sz w:val="24"/>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microsoft.com/office/2006/relationships/keyMapCustomizations" Target="customizations.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2519</Words>
  <Characters>2651</Characters>
  <Lines>0</Lines>
  <Paragraphs>0</Paragraphs>
  <TotalTime>237</TotalTime>
  <ScaleCrop>false</ScaleCrop>
  <LinksUpToDate>false</LinksUpToDate>
  <CharactersWithSpaces>2651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2025-02-07T08:36:00Z</dcterms:created>
  <dc:creator>Administrator</dc:creator>
  <cp:lastModifiedBy>Dirge°</cp:lastModifiedBy>
  <dcterms:modified xsi:type="dcterms:W3CDTF">2026-05-26T16:25:50Z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93E2341044554BCB916DCF4C663B1711_12</vt:lpwstr>
  </property>
  <property fmtid="{D5CDD505-2E9C-101B-9397-08002B2CF9AE}" pid="4" name="KSOTemplateDocerSaveRecord">
    <vt:lpwstr>eyJoZGlkIjoiNDViMDI0MDczYTQ2ZWNmYjBkZTY5ZTVjOTVhNzEzYmYiLCJ1c2VySWQiOiIzMTY1NzIwNTQifQ==</vt:lpwstr>
  </property>
</Properties>
</file>