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F102" w14:textId="77777777" w:rsidR="0038639D" w:rsidRDefault="0038639D">
      <w:pPr>
        <w:ind w:firstLineChars="0" w:firstLine="0"/>
      </w:pPr>
    </w:p>
    <w:p w14:paraId="0343BC0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一季度单季核销不良贷款86.88亿元，而同期总资产仅增长87亿元。资产增量和核销量几乎一模一样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每增1块钱资产，就要用1块钱的核销来腾空间。</w:t>
      </w:r>
    </w:p>
    <w:p w14:paraId="589164BC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账面不良率1.29%，仅较年初微降0.02个百分点。86.88亿的真金白银砸进去，不良率几乎纹丝不动。</w:t>
      </w:r>
    </w:p>
    <w:p w14:paraId="5CD2545E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截至2025年末，北京银行逾期贷款余额超过420亿元，较上年末大幅增长。逾期率冲至2.93%，较上年末提升0.75个百分点。</w:t>
      </w:r>
    </w:p>
    <w:p w14:paraId="0BFB835A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逾期与不良之间的差额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业内称为逾期-不良裂口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已扩大至1.64个百分点，涉及金额超过370亿元。也就是说，有超过370亿元的逾期贷款尚未被划入不良。</w:t>
      </w:r>
    </w:p>
    <w:p w14:paraId="4AEAC812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这悬在头顶的存量风险，是北京银行真实资产质量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最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核心的观察窗口。</w:t>
      </w:r>
    </w:p>
    <w:p w14:paraId="2C0A331B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hAnsi="Segoe UI" w:cs="Segoe UI"/>
          <w:b/>
          <w:bCs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而在这370亿逾期贷款中，相当一部分来源于过去五年间狂飙突进的互联网贷款业务。</w:t>
      </w:r>
      <w:r>
        <w:rPr>
          <w:rFonts w:ascii="Segoe UI" w:hAnsi="Segoe UI" w:cs="Segoe UI" w:hint="eastAsia"/>
          <w:b/>
          <w:bCs/>
          <w:color w:val="0F1115"/>
          <w:sz w:val="16"/>
          <w:szCs w:val="16"/>
          <w:shd w:val="clear" w:color="auto" w:fill="FFFFFF"/>
        </w:rPr>
        <w:t>在失去</w:t>
      </w:r>
      <w:proofErr w:type="gramStart"/>
      <w:r>
        <w:rPr>
          <w:rFonts w:ascii="Segoe UI" w:hAnsi="Segoe UI" w:cs="Segoe UI" w:hint="eastAsia"/>
          <w:b/>
          <w:bCs/>
          <w:color w:val="0F1115"/>
          <w:sz w:val="16"/>
          <w:szCs w:val="16"/>
          <w:shd w:val="clear" w:color="auto" w:fill="FFFFFF"/>
        </w:rPr>
        <w:t>了网贷之后</w:t>
      </w:r>
      <w:proofErr w:type="gramEnd"/>
      <w:r>
        <w:rPr>
          <w:rFonts w:ascii="Segoe UI" w:hAnsi="Segoe UI" w:cs="Segoe UI" w:hint="eastAsia"/>
          <w:b/>
          <w:bCs/>
          <w:color w:val="0F1115"/>
          <w:sz w:val="16"/>
          <w:szCs w:val="16"/>
          <w:shd w:val="clear" w:color="auto" w:fill="FFFFFF"/>
        </w:rPr>
        <w:t>，北京银行</w:t>
      </w:r>
      <w:proofErr w:type="gramStart"/>
      <w:r>
        <w:rPr>
          <w:rFonts w:ascii="Segoe UI" w:hAnsi="Segoe UI" w:cs="Segoe UI" w:hint="eastAsia"/>
          <w:b/>
          <w:bCs/>
          <w:color w:val="0F1115"/>
          <w:sz w:val="16"/>
          <w:szCs w:val="16"/>
          <w:shd w:val="clear" w:color="auto" w:fill="FFFFFF"/>
        </w:rPr>
        <w:t>的网贷依赖</w:t>
      </w:r>
      <w:proofErr w:type="gramEnd"/>
      <w:r>
        <w:rPr>
          <w:rFonts w:ascii="Segoe UI" w:hAnsi="Segoe UI" w:cs="Segoe UI" w:hint="eastAsia"/>
          <w:b/>
          <w:bCs/>
          <w:color w:val="0F1115"/>
          <w:sz w:val="16"/>
          <w:szCs w:val="16"/>
          <w:shd w:val="clear" w:color="auto" w:fill="FFFFFF"/>
        </w:rPr>
        <w:t>后遗症，也开始显现。</w:t>
      </w:r>
    </w:p>
    <w:p w14:paraId="1E57611C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当催收收紧、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共债链条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断裂、客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群收入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预期转弱，北京银行资产质量真正承压的板块，正在从传统对公向互联网零售批量迁移。</w:t>
      </w:r>
    </w:p>
    <w:p w14:paraId="193541E5" w14:textId="77777777" w:rsidR="0038639D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ind w:firstLineChars="0" w:firstLine="0"/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86.88亿核销砸下去，不良率只降了0.02个百分点</w:t>
      </w:r>
    </w:p>
    <w:p w14:paraId="2B2DB60D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86.88亿的核销规模，放在一家总资产4.95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的银行身上，占比并不算离谱。</w:t>
      </w:r>
    </w:p>
    <w:p w14:paraId="13ADCB9F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但问题在于核销的效率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砸进去这么多钱，不良率几乎没动。按逻辑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巨额核销之后不良率本应有明显下降，现在只降了0.02个百分点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。</w:t>
      </w:r>
    </w:p>
    <w:p w14:paraId="0D693D66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b/>
          <w:bCs/>
          <w:color w:val="0F1115"/>
          <w:sz w:val="16"/>
          <w:szCs w:val="16"/>
        </w:rPr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只能说明一件事</w:t>
      </w:r>
      <w:r>
        <w:rPr>
          <w:rFonts w:ascii="Segoe UI" w:hAnsi="Segoe UI" w:cs="Segoe UI" w:hint="eastAsia"/>
          <w:b/>
          <w:bCs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新增不良生成的速度，几乎完全对冲了核销的效果。</w:t>
      </w:r>
    </w:p>
    <w:p w14:paraId="19653318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逾期率从2.18%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飙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至2.93%，这一跳升幅度是近年最大的。逾期贷款的增长速度，远高于不良贷款的处置速度。</w:t>
      </w:r>
    </w:p>
    <w:p w14:paraId="5A65ECAB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虽然北京银行未在年报中完整披露逾期期限分布，但从已披露的信息来看，逾期91天至1年的贷款增幅最大。中短期逾期正以可见的速度向下迁徙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如果这部分贷款在未来几个季度内无法有效催回，</w:t>
      </w:r>
    </w:p>
    <w:p w14:paraId="13354ADE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它们将陆续被划入不良，进一步推高账面不良率。当前1.29%的不良率不是一个稳态，而是一个被核销强行压住的瞬态。</w:t>
      </w:r>
    </w:p>
    <w:p w14:paraId="7E85EBF4" w14:textId="77777777" w:rsidR="0038639D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ind w:firstLineChars="0" w:firstLine="0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诉讼纠纷暴增78%，超250亿坏账被强制执行</w:t>
      </w:r>
    </w:p>
    <w:p w14:paraId="72B9F084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另一个衡量资产质量压力的维度，是诉讼数据。</w:t>
      </w:r>
    </w:p>
    <w:p w14:paraId="624CE1FA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lastRenderedPageBreak/>
        <w:t>2025年末，北京银行作为原告的未决诉讼纠纷达3648件，涉及金额超250亿元，同比暴增78.12%。一年之间，诉讼纠纷增加了近八成。</w:t>
      </w:r>
    </w:p>
    <w:p w14:paraId="3A860E8F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银行作为原告的诉讼，绝大多数是借款合同纠纷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借款人逾期不还，银行起诉追偿。</w:t>
      </w:r>
    </w:p>
    <w:p w14:paraId="43E95C84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3648件未决诉讼，平均每件涉及金额约685万元，逾期主体中企业类客户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占比较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高。</w:t>
      </w:r>
    </w:p>
    <w:p w14:paraId="6A8F0240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250亿的诉讼金额，已经相当于全行不良贷款余额的近一半。如果这些诉讼最终判决后仍然执行困难，北京银行将面临被迫进一步核销的压力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。</w:t>
      </w:r>
    </w:p>
    <w:p w14:paraId="0B564A56" w14:textId="02AFAFF2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截至2025年末，北京银行拨备覆盖率约为2</w:t>
      </w:r>
      <w:r w:rsidR="00307F22">
        <w:rPr>
          <w:rFonts w:ascii="Segoe UI" w:eastAsiaTheme="minorEastAsia" w:hAnsi="Segoe UI" w:cs="Segoe UI" w:hint="eastAsia"/>
          <w:color w:val="0F1115"/>
          <w:sz w:val="16"/>
          <w:szCs w:val="16"/>
          <w:shd w:val="clear" w:color="auto" w:fill="FFFFFF"/>
        </w:rPr>
        <w:t>00.21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%，在上市银行中处于中等偏下水平。一季度又砸了86.88亿核销，拨备消耗速度在加快。</w:t>
      </w:r>
    </w:p>
    <w:p w14:paraId="086E8D1A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如果逾期贷款加速向不良迁徙，拨备覆盖率的压力将急剧上升。</w:t>
      </w:r>
    </w:p>
    <w:p w14:paraId="1427D958" w14:textId="5A78A56D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一个更隐蔽的信号藏在拨备计提节奏里。2025年全年，北京银行信用减值损失约</w:t>
      </w:r>
      <w:r w:rsidR="00307F22" w:rsidRPr="00307F22"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252.5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亿元，同比增长约15%。但逾期贷款的增长速度（+40%）远高于减值的增速。</w:t>
      </w:r>
    </w:p>
    <w:p w14:paraId="57C9AF9A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这意味着当前拨备计提的节奏，并没有充分反映逾期贷款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池快速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膨胀的现实。未来几个季度如果逾期向不良的迁徙速度加快，减值计提将被迫补课式追加，直接侵蚀利润。</w:t>
      </w:r>
    </w:p>
    <w:p w14:paraId="6F628E58" w14:textId="77777777" w:rsidR="0038639D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ind w:firstLineChars="0" w:firstLine="0"/>
        <w:rPr>
          <w:rFonts w:ascii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网贷</w:t>
      </w:r>
      <w:r>
        <w:rPr>
          <w:rFonts w:ascii="Segoe UI" w:hAnsi="Segoe UI" w:cs="Segoe UI"/>
          <w:color w:val="0F1115"/>
          <w:sz w:val="22"/>
          <w:szCs w:val="22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从增长引擎到不良孵化器</w:t>
      </w:r>
    </w:p>
    <w:p w14:paraId="32FBB94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北京银行资产质量承压的板块中，互联网贷款业务是近年来增长最快、也是风险暴露最集中的一条线。</w:t>
      </w:r>
    </w:p>
    <w:p w14:paraId="7DFFEDF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2019年至202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5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年间，北京银行与京东、借呗、度小满、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美团等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头部互联网平台深度合作，个人消费贷和经营性信用贷款规模快速攀升。</w:t>
      </w:r>
    </w:p>
    <w:p w14:paraId="5E595C1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b/>
          <w:bCs/>
          <w:color w:val="0F1115"/>
          <w:sz w:val="16"/>
          <w:szCs w:val="16"/>
        </w:rPr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2022年末，个人贷款余额突破6800亿元，其中互联网贷款占比一度超过30%。</w:t>
      </w:r>
    </w:p>
    <w:p w14:paraId="252F01A0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与规模同步扩张的是客群的持续下沉。北京银行通过互联网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平台获客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的借款人中，相当比例为传统银行网点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无法触达的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长尾客群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收入不稳定、信用记录薄弱、高度依赖多头借贷维持资金周转。助贷新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规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落地后，24%的利率红线将一批高定价资产挤出市场，资金端收紧直接导致这些客群的再融资链条断裂。</w:t>
      </w:r>
    </w:p>
    <w:p w14:paraId="175E291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逾期率从2024年开始加速上行，2025年达到阶段性峰值。</w:t>
      </w:r>
    </w:p>
    <w:p w14:paraId="125B72FC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进入2026年，催收新政全面落地，对互联网贷款的回收率造成了进一步压制。北京银行的互联网贷款中，相当比例是信用类贷款，缺乏抵押物缓释。</w:t>
      </w:r>
    </w:p>
    <w:p w14:paraId="5956EB4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lastRenderedPageBreak/>
        <w:t>催收手段受限之后，逾期贷款的回收周期被拉长，回收率持续走低。一季度逾期率跳升0.75个百分点，互联网零售贷款的贡献占比相当高。</w:t>
      </w:r>
    </w:p>
    <w:p w14:paraId="768D4322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更深层的矛盾在于存量互联网贷款的资产结构。北京银行过去几年与多家互联网平台合作，不同平台的客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群质量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参差不齐。部分平台在合作期间引入了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双融担模式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抬高实际利率，这些资产在利率监管收紧后成为风险暴露的重灾区。</w:t>
      </w:r>
    </w:p>
    <w:p w14:paraId="2455539C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北京银行2025年个人贷款不良率显著上升，互联网消费贷和经营性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信用贷是其中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的主要贡献来源。这部分资产的特点是单笔金额小、笔数多、催收难度大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批量核销是唯一可行的处置手段，但核销成本直接侵蚀利润。</w:t>
      </w:r>
    </w:p>
    <w:p w14:paraId="78753CA5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一季度86.88亿的核销，相当大一部分是消化互联网贷款的存量坏账。</w:t>
      </w:r>
    </w:p>
    <w:p w14:paraId="44A46FE4" w14:textId="77777777" w:rsidR="0038639D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ind w:firstLineChars="0" w:firstLine="0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以旧换新还能持续多久</w:t>
      </w:r>
    </w:p>
    <w:p w14:paraId="736551AC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北京银行一季度资产仅增长87亿元至4.95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元，同期核销86.88亿元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增量与核销量几乎完全相等。</w:t>
      </w:r>
    </w:p>
    <w:p w14:paraId="10FB1724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银行的风险管理核心逻辑之一，是用新增贷款产生的息差收益，覆盖存量不良的核销损失。</w:t>
      </w:r>
    </w:p>
    <w:p w14:paraId="0BB38A09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一季度新增贷款释放的息差收益，几乎全被存量坏账的核销吞噬掉。利润表上净利润微增、营收微增，但利润的成色在下降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不是靠息差扩张赚来的利润，而是靠压缩成本、压降拨备释放出来的账面盈利。</w:t>
      </w:r>
    </w:p>
    <w:p w14:paraId="01C33977" w14:textId="4C50ED1A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更深层的问题是，这种平衡能持续多久。逾期贷款池还在膨胀，新增核销需求只会增加不会减少。而新增资产的收益率却在持续收窄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，</w:t>
      </w:r>
      <w:proofErr w:type="gramStart"/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净差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已降至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1.</w:t>
      </w:r>
      <w:r w:rsidR="00307F22">
        <w:rPr>
          <w:rFonts w:ascii="Segoe UI" w:eastAsiaTheme="minorEastAsia" w:hAnsi="Segoe UI" w:cs="Segoe UI" w:hint="eastAsia"/>
          <w:color w:val="0F1115"/>
          <w:sz w:val="16"/>
          <w:szCs w:val="16"/>
          <w:shd w:val="clear" w:color="auto" w:fill="FFFFFF"/>
        </w:rPr>
        <w:t>27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%，创历史新低。</w:t>
      </w:r>
    </w:p>
    <w:p w14:paraId="39803491" w14:textId="77777777" w:rsidR="0038639D" w:rsidRDefault="00000000">
      <w:pPr>
        <w:pStyle w:val="a3"/>
        <w:widowControl/>
        <w:shd w:val="clear" w:color="auto" w:fill="FFFFFF"/>
        <w:spacing w:before="160" w:after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用越来越薄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的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净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差收入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，去覆盖越来越厚的核销损失，这个平衡一旦被打破，利润表将直接承压。</w:t>
      </w:r>
    </w:p>
    <w:p w14:paraId="066D6A36" w14:textId="77777777" w:rsidR="0038639D" w:rsidRDefault="00000000">
      <w:pPr>
        <w:pStyle w:val="a3"/>
        <w:widowControl/>
        <w:shd w:val="clear" w:color="auto" w:fill="FFFFFF"/>
        <w:spacing w:before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从逾期率2.93%和逾期贷款余额超420亿这两个数字出发，北京银行真实的不良生成压力远未释放完毕。</w:t>
      </w:r>
    </w:p>
    <w:p w14:paraId="2E904155" w14:textId="77777777" w:rsidR="0038639D" w:rsidRDefault="00000000">
      <w:pPr>
        <w:pStyle w:val="a3"/>
        <w:widowControl/>
        <w:shd w:val="clear" w:color="auto" w:fill="FFFFFF"/>
        <w:spacing w:before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当前1.29%的账面不良率，反映的是核销后、拨备消耗后的剩余不良。而那个还未计入不良的370亿逾期贷款，才是真正的压力所在。</w:t>
      </w:r>
    </w:p>
    <w:p w14:paraId="6F2717B1" w14:textId="77777777" w:rsidR="0038639D" w:rsidRDefault="00000000">
      <w:pPr>
        <w:pStyle w:val="a3"/>
        <w:widowControl/>
        <w:shd w:val="clear" w:color="auto" w:fill="FFFFFF"/>
        <w:spacing w:before="160"/>
        <w:ind w:firstLineChars="0" w:firstLine="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如果逾期贷款向下迁徙的速度不放缓，未来几个季度的核销量只会更大，资产增量能否继续覆盖核销量，将是一个持续的疑问。</w:t>
      </w:r>
    </w:p>
    <w:p w14:paraId="49C4DBE2" w14:textId="77777777" w:rsidR="0038639D" w:rsidRDefault="0038639D">
      <w:pPr>
        <w:ind w:firstLineChars="0" w:firstLine="0"/>
      </w:pPr>
    </w:p>
    <w:sectPr w:rsidR="003863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C187" w14:textId="77777777" w:rsidR="00136045" w:rsidRDefault="00136045">
      <w:pPr>
        <w:spacing w:line="240" w:lineRule="auto"/>
        <w:ind w:firstLine="480"/>
      </w:pPr>
      <w:r>
        <w:separator/>
      </w:r>
    </w:p>
  </w:endnote>
  <w:endnote w:type="continuationSeparator" w:id="0">
    <w:p w14:paraId="76C0F42F" w14:textId="77777777" w:rsidR="00136045" w:rsidRDefault="0013604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AF52" w14:textId="77777777" w:rsidR="00307F22" w:rsidRDefault="00307F22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5AF5" w14:textId="77777777" w:rsidR="00307F22" w:rsidRDefault="00307F22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1915" w14:textId="77777777" w:rsidR="00307F22" w:rsidRDefault="00307F22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0A1A" w14:textId="77777777" w:rsidR="00136045" w:rsidRDefault="00136045">
      <w:pPr>
        <w:spacing w:line="240" w:lineRule="auto"/>
        <w:ind w:firstLine="480"/>
      </w:pPr>
      <w:r>
        <w:separator/>
      </w:r>
    </w:p>
  </w:footnote>
  <w:footnote w:type="continuationSeparator" w:id="0">
    <w:p w14:paraId="764EAC23" w14:textId="77777777" w:rsidR="00136045" w:rsidRDefault="0013604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E284A" w14:textId="77777777" w:rsidR="00307F22" w:rsidRDefault="00307F22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95D6" w14:textId="77777777" w:rsidR="00307F22" w:rsidRDefault="00307F22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F20B" w14:textId="77777777" w:rsidR="00307F22" w:rsidRDefault="00307F22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639D"/>
    <w:rsid w:val="00136045"/>
    <w:rsid w:val="00307F22"/>
    <w:rsid w:val="0038639D"/>
    <w:rsid w:val="00EA6708"/>
    <w:rsid w:val="0CC61301"/>
    <w:rsid w:val="0DC63D6E"/>
    <w:rsid w:val="33171722"/>
    <w:rsid w:val="3C3B065F"/>
    <w:rsid w:val="46827EEC"/>
    <w:rsid w:val="4FF74123"/>
    <w:rsid w:val="53B4661F"/>
    <w:rsid w:val="6A9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6094E"/>
  <w15:docId w15:val="{CE26B80B-33E5-4D32-8189-F4DEB407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60" w:lineRule="exact"/>
      <w:ind w:firstLineChars="200" w:firstLine="1441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</w:style>
  <w:style w:type="paragraph" w:customStyle="1" w:styleId="zhengwen">
    <w:name w:val="zhengwen"/>
    <w:basedOn w:val="a"/>
    <w:pPr>
      <w:spacing w:line="360" w:lineRule="auto"/>
    </w:pPr>
    <w:rPr>
      <w:sz w:val="28"/>
    </w:rPr>
  </w:style>
  <w:style w:type="paragraph" w:styleId="a4">
    <w:name w:val="header"/>
    <w:basedOn w:val="a"/>
    <w:link w:val="a5"/>
    <w:rsid w:val="00307F2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07F22"/>
    <w:rPr>
      <w:kern w:val="2"/>
      <w:sz w:val="18"/>
      <w:szCs w:val="18"/>
    </w:rPr>
  </w:style>
  <w:style w:type="paragraph" w:styleId="a6">
    <w:name w:val="footer"/>
    <w:basedOn w:val="a"/>
    <w:link w:val="a7"/>
    <w:rsid w:val="00307F2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07F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Lv, JianXin (DDC OneTeam)</cp:lastModifiedBy>
  <cp:revision>2</cp:revision>
  <dcterms:created xsi:type="dcterms:W3CDTF">2026-02-13T08:29:00Z</dcterms:created>
  <dcterms:modified xsi:type="dcterms:W3CDTF">2026-06-01T08:25:00Z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CAA3C7ADB96A4F7CB6C1C7335D84CAE9_12</vt:lpwstr>
  </property>
  <property fmtid="{D5CDD505-2E9C-101B-9397-08002B2CF9AE}" pid="4" name="KSOTemplateDocerSaveRecord">
    <vt:lpwstr>eyJoZGlkIjoiYjAzYWJlZjVmY2E1Zjg2ZTU1Y2E2OTQ4YmNlODA1ZjAiLCJ1c2VySWQiOiIxNzAyNjY4ODk4In0=</vt:lpwstr>
  </property>
</Properties>
</file>