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E0B0" w14:textId="293B7908" w:rsidR="00A91EDC" w:rsidRPr="00A91EDC" w:rsidRDefault="00A91EDC" w:rsidP="00A91EDC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 w:rsidRPr="00A91EDC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650亿撮合额下滑26.8%，奇富科技轻平台账本变重了</w:t>
      </w:r>
    </w:p>
    <w:p w14:paraId="7AD00165" w14:textId="77777777" w:rsidR="00064B8B" w:rsidRPr="00A91EDC" w:rsidRDefault="00064B8B" w:rsidP="00064B8B">
      <w:p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</w:p>
    <w:p w14:paraId="3B06F1B2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奇富科技最新一份财报，不好只看利润。</w:t>
      </w:r>
    </w:p>
    <w:p w14:paraId="5CB83A6D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4730DD0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2026年一季度，它的总撮合及发放贷款规模是650.34亿元，同比下降26.8%；期末贷款余额1143.87亿元，同比下降18.5%；净利润8.80亿元，去年同期是17.97亿元。</w:t>
      </w:r>
    </w:p>
    <w:p w14:paraId="5F8DD2D5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CE5AE5F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利润还在，体量先缩。</w:t>
      </w:r>
    </w:p>
    <w:p w14:paraId="094AF9E3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43054326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菜菜本打算写一篇普通的财报稿，但在查阅资料和捋时间线时，放弃了这个决定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。</w:t>
      </w:r>
    </w:p>
    <w:p w14:paraId="31759618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</w:p>
    <w:p w14:paraId="325F22C4" w14:textId="2CD91C54" w:rsidR="00064B8B" w:rsidRDefault="00A91EDC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因为</w:t>
      </w:r>
      <w:r w:rsidR="00064B8B"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把时间线往前挪一点，</w:t>
      </w:r>
      <w: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就有不一样的味道了</w:t>
      </w:r>
      <w:r w:rsidR="00064B8B"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：2025年12月，华兴资本控股公告披露两笔不良个人消费债务组合收购，底层卖方与奇富科技相关；2026年3月，金融监管总局约谈包括奇富借条在内的5家平台运营机构；2026年5月，奇富科技披露一季度财报。</w:t>
      </w:r>
    </w:p>
    <w:p w14:paraId="596FEF6B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6AE9BFE6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这几件事不能粗暴串成一个结论。</w:t>
      </w:r>
    </w:p>
    <w:p w14:paraId="0B03BD28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</w:p>
    <w:p w14:paraId="06C59226" w14:textId="2020807C" w:rsidR="00064B8B" w:rsidRP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但它们放在一起，说明一个问题：奇富科技的故事，正在从技术平台重新回到信用账本。</w:t>
      </w:r>
    </w:p>
    <w:p w14:paraId="64846038" w14:textId="2658BF34" w:rsidR="00064B8B" w:rsidRP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drawing>
          <wp:inline distT="0" distB="0" distL="0" distR="0" wp14:anchorId="3C781698" wp14:editId="2911AE4E">
            <wp:extent cx="5274310" cy="3115945"/>
            <wp:effectExtent l="0" t="0" r="2540" b="8255"/>
            <wp:docPr id="865325439" name="图片 9" descr="图1：2026Q1压力表：规模和利润一起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图1：2026Q1压力表：规模和利润一起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28D3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这张表要看的不是“奇富还赚了8.80亿元”，而是撮合额、余额、收入和利润一起往下走。对助贷平台来说，单一利润数字还能撑住门面；规模和资产指标一起收缩，才是财报里更硬的信号。</w:t>
      </w:r>
    </w:p>
    <w:p w14:paraId="7E3FAEAE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6166F061" w14:textId="795FD7E5" w:rsidR="00064B8B" w:rsidRDefault="00064B8B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  <w:t>小标：</w:t>
      </w:r>
      <w:r w:rsidRPr="00064B8B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650亿先掉下来</w:t>
      </w:r>
    </w:p>
    <w:p w14:paraId="3BAA2CD7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</w:p>
    <w:p w14:paraId="4520AF40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奇富科技自己对一季度的解释很克制。</w:t>
      </w:r>
    </w:p>
    <w:p w14:paraId="76B502CD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1F00750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管理层提到行业继续深度调整、监管进一步收紧，公司主动收紧信用标准、优化贷款组合。翻译成业务语言，就是过去能放进资产池的人，现在未必还能放进去；过去金融机构愿意接的资产，现在也要重新算价格。</w:t>
      </w:r>
    </w:p>
    <w:p w14:paraId="48A40E9E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40555277" w14:textId="27882C31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这不是入口没</w:t>
      </w:r>
      <w: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用户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了。</w:t>
      </w:r>
    </w:p>
    <w:p w14:paraId="7B1CEF41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2449873C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截至2026年3月末，奇富科技披露的累计用户池仍然很大，复借贡献率也达到86.8%。老客还在，关系还在，模型也还在。但撮合及发放贷款规模从2025年一季度的888.83亿元降到650.34亿元，期末贷款余额从1402.73亿元降到1143.87亿元。</w:t>
      </w:r>
    </w:p>
    <w:p w14:paraId="552AF524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3D5C0C5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用户还在，量没跟着走。</w:t>
      </w:r>
    </w:p>
    <w:p w14:paraId="06A2CBEB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2A511358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这句话比一句宏观判断更有用。因为它把问题从流量层拉回到了信用层：不是还有多少人点进来，而是多少人还能被风控、资金方和监管口径同时接受。</w:t>
      </w:r>
    </w:p>
    <w:p w14:paraId="72554343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35FDF47" w14:textId="19EDD0D8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净收入也没兜住。一季度总净收入39.09亿元，去年同期是46.91亿元；Non-GAAP净利润9.46亿元，去年同期是19.26亿元。利润不是没有，但弹性明显变薄。</w:t>
      </w:r>
    </w:p>
    <w:p w14:paraId="0F2348C0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0056523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平台业务最怕的不是降速。主动降速可以被解释为风险控制。</w:t>
      </w:r>
    </w:p>
    <w:p w14:paraId="49D24A67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A05A7FD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更难的问题是：降速之后，资产质量能不能真的回来。</w:t>
      </w:r>
    </w:p>
    <w:p w14:paraId="15756331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60A5833" w14:textId="4E0EEF43" w:rsidR="00064B8B" w:rsidRPr="00064B8B" w:rsidRDefault="00064B8B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  <w:t>小标：</w:t>
      </w:r>
      <w:r w:rsidRPr="00064B8B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74亿资产包露底价</w:t>
      </w:r>
    </w:p>
    <w:p w14:paraId="55E65459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这组材料里最有传播力的，不是投诉量，也不是公司治理变化带来的情绪想象，而是74.29亿元不良个人消费债务组合。</w:t>
      </w:r>
    </w:p>
    <w:p w14:paraId="7ACAC179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03EC08A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据华兴资本控股2025年12月31日公告，其全资附属公司作为买方，收购两组不良个人消费债务组合。组合I本金余额约66.77亿元，平均逾期854天；组合II本金余额约7.52亿元，平均逾期439天。两组合计本金余额约74.29亿元，不含应计利息和违约利息。</w:t>
      </w:r>
    </w:p>
    <w:p w14:paraId="2BD24871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26D1852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交易对价合计约3.083亿元。</w:t>
      </w:r>
    </w:p>
    <w:p w14:paraId="3C2A7815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2E4ABF62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按本金口径算，约4.15%。</w:t>
      </w:r>
    </w:p>
    <w:p w14:paraId="70CF7BB8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49CE04B" w14:textId="39B9540F" w:rsidR="00064B8B" w:rsidRP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drawing>
          <wp:inline distT="0" distB="0" distL="0" distR="0" wp14:anchorId="66079444" wp14:editId="72B58B99">
            <wp:extent cx="5274310" cy="2299970"/>
            <wp:effectExtent l="0" t="0" r="2540" b="5080"/>
            <wp:docPr id="1328235944" name="图片 8" descr="图2：74亿不良个人消费债务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图2：74亿不良个人消费债务组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D5F3" w14:textId="77777777" w:rsidR="00A91EDC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这张表真正要看的不是“价格低”三个字，而是市场对逾期个人消费债务回收难度给出的实际报价。</w:t>
      </w:r>
    </w:p>
    <w:p w14:paraId="3AA0500E" w14:textId="77777777" w:rsidR="00A91EDC" w:rsidRDefault="00A91EDC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</w:p>
    <w:p w14:paraId="11555EB3" w14:textId="19039CBA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组合I平均逾期854天，接近两年四个月；组合II平均逾期439天，也超过一年。资产包本身还都是无担保债务。</w:t>
      </w:r>
    </w:p>
    <w:p w14:paraId="01D954C4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31EB2C3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所以这里不需要价值判断。</w:t>
      </w:r>
    </w:p>
    <w:p w14:paraId="4B497CCE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BBCA7BD" w14:textId="0D55537C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约4.15%是事实</w:t>
      </w:r>
      <w:r w:rsidR="00A91EDC"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，这数字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比形容词更有杀伤力。</w:t>
      </w:r>
    </w:p>
    <w:p w14:paraId="5BAFF2D0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2F7BC508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笔交易的意义不在于给奇富科技简单贴标签，而在于给它的底层资产定了一个侧面价格。过去市场看助贷平台，喜欢看撮合额、模型、金融机构数量和复借率；现在必须多看一层：历史资产如果退出，市场愿意按什么价格接。</w:t>
      </w:r>
    </w:p>
    <w:p w14:paraId="754AC135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A428B0D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这就是信用账本回归的第一层。</w:t>
      </w:r>
    </w:p>
    <w:p w14:paraId="50AF1E4A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25DD4A54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当一个平台仍然可以讲技术、讲老客、讲金融机构合作，但不良个人消费债务组合要按个位数百分比的对价率转手，投资人和资金方会自然多问一句：新增资产的风险筛选，和存量资产的回收难度，是不是同一套故事？</w:t>
      </w:r>
    </w:p>
    <w:p w14:paraId="077DCD98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5793728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这个问题，财报里也有回应。</w:t>
      </w:r>
    </w:p>
    <w:p w14:paraId="72200FFF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645CDAE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奇富科技2025年Form 20-F披露，2024年末90天以上逾期率为2.09%，2025年末升至2.71%。到了2026年一季度，公司披露90天以上逾期率为3.50%，Day-1逾期率5.7%，30天回收率85.8%。</w:t>
      </w:r>
    </w:p>
    <w:p w14:paraId="09CECDEC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EF03F03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逾期率不是孤立数字。它背后连着授信门槛、资金方风险偏好、催收效率、拨备和资产包出清价格。</w:t>
      </w:r>
    </w:p>
    <w:p w14:paraId="73DCD35C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21AE35C7" w14:textId="454CCD10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drawing>
          <wp:inline distT="0" distB="0" distL="0" distR="0" wp14:anchorId="4BCFE6BE" wp14:editId="5090279F">
            <wp:extent cx="5274310" cy="3346450"/>
            <wp:effectExtent l="0" t="0" r="2540" b="6350"/>
            <wp:docPr id="526879208" name="图片 7" descr="图3：资产质量与贷后压力指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图3：资产质量与贷后压力指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1451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696B9E57" w14:textId="1D7062F0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这张表不是为了给风控下</w:t>
      </w:r>
      <w:r w:rsidR="00A91EDC"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什么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断语。</w:t>
      </w:r>
    </w:p>
    <w:p w14:paraId="671A238C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</w:p>
    <w:p w14:paraId="3351C50C" w14:textId="5033CEFA" w:rsidR="00064B8B" w:rsidRPr="00A91EDC" w:rsidRDefault="00A91EDC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可以看到，</w:t>
      </w:r>
      <w:r w:rsidR="00064B8B"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90天以上逾期率从2024年末的2.09%，到2025年末的2.71%，再到2026年一季度的3.50%。</w:t>
      </w:r>
      <w:r w:rsidR="00064B8B" w:rsidRPr="00A91EDC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它说明信用周期已经不允许市场只拿“AI风控”四个字跳过资产质量。</w:t>
      </w:r>
    </w:p>
    <w:p w14:paraId="5D706835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63012836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一季度撮合、发起及服务开支为8.173亿元，去年同期为7.145亿元，同比约增14.4%。公司称同比增加主要由于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collection fees上升。</w:t>
      </w:r>
    </w:p>
    <w:p w14:paraId="7D1CAB1B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E708B11" w14:textId="77777777" w:rsidR="00064B8B" w:rsidRPr="00A91EDC" w:rsidRDefault="00064B8B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 w:rsidRPr="00A91EDC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这也不能直接写成“催收费用失控”。</w:t>
      </w:r>
    </w:p>
    <w:p w14:paraId="73E19729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7E93D0C8" w14:textId="77777777" w:rsidR="00064B8B" w:rsidRPr="00A91EDC" w:rsidRDefault="00064B8B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更准确的写法是：</w:t>
      </w:r>
      <w:r w:rsidRPr="00A91EDC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当资产质量指标抬升，贷后相关开支开始进入利润表的中心区域。助贷平台不是只管前端获客，后端回收同样会把钱和声誉一起带走。</w:t>
      </w:r>
    </w:p>
    <w:p w14:paraId="780F886B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7BD7F0C" w14:textId="75836F21" w:rsidR="00064B8B" w:rsidRPr="00064B8B" w:rsidRDefault="00064B8B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  <w:t>小标：</w:t>
      </w:r>
      <w:r w:rsidRPr="00064B8B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监管账本一起翻开</w:t>
      </w:r>
    </w:p>
    <w:p w14:paraId="0BBFA28A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2026年3月，金融监管总局约谈5家平台运营机构，名单包括分期乐、奇富借条、你我贷借款、宜享花、信用飞。</w:t>
      </w:r>
    </w:p>
    <w:p w14:paraId="377C6834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51CB3DEE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约谈不是处罚，但它给行业划了几个很清楚的检查点：规范营销宣传，清晰披露借贷产品息费信息，遵守个人信息保护规定，依法合规开展催收，健全客户投诉解决机制。</w:t>
      </w:r>
    </w:p>
    <w:p w14:paraId="0156CC0D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7D13BD55" w14:textId="0C8F1F75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这些词放在普通新闻里很平。放到奇富科技这一组财务和资产数据旁边，</w:t>
      </w:r>
      <w:r w:rsidR="0095282E"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变化就显现了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。</w:t>
      </w:r>
    </w:p>
    <w:p w14:paraId="73793CEE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795358F7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过去助贷平台最容易讲的链条，是流量进来，模型筛选，资金方放款，平台收服务费。这个链条的美感在于轻。钱不是自己全出，资产不是自己全扛，用户不是自己全找，金融机构、场景方、外部渠道和技术系统一起分工。</w:t>
      </w:r>
    </w:p>
    <w:p w14:paraId="207018D7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D88FBF0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现在链条被倒过来看。</w:t>
      </w:r>
    </w:p>
    <w:p w14:paraId="49DD1C99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5B35D192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谁在营销，谁披露息费，谁拿授权，谁实际放款，谁承担贷后，谁处理投诉，谁最后被监管问到。过去可以被拆开的环节，开始重新连成一条责任线。</w:t>
      </w:r>
    </w:p>
    <w:p w14:paraId="684ED7FF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AB5AE66" w14:textId="77777777" w:rsidR="00064B8B" w:rsidRPr="00A91EDC" w:rsidRDefault="00064B8B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 w:rsidRPr="00A91EDC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奇富科技仍然是头部样本。它不是失速的尾部平台，也不是没有利润的公司。恰恰因为它还有规模、还有利润、还有用户池，它的变化才更有样本意义。</w:t>
      </w:r>
    </w:p>
    <w:p w14:paraId="1922E5A7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66F04928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头部都要收紧信用标准，尾部能拿到的就不太可能是更便宜的好资产。更常见的情况是，优质客群被头部和持牌资金方优先挑走，剩下的流量更难定价、更难解释，也更容易变成投诉和坏账。</w:t>
      </w:r>
    </w:p>
    <w:p w14:paraId="6DD0C57B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2B337606" w14:textId="77777777" w:rsidR="00064B8B" w:rsidRPr="00A91EDC" w:rsidRDefault="00064B8B" w:rsidP="00064B8B">
      <w:pPr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这也是为什么投诉平台数据只能做舆情侧影，不能替代监管材料和公司财报。</w:t>
      </w:r>
      <w:r w:rsidRPr="00A91EDC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银行和资金方真正会看的，不是一个动态投诉数字，而是它背后有没有监管约谈、息费披露、催收合规和资产质量指标一起共振。</w:t>
      </w:r>
    </w:p>
    <w:p w14:paraId="70A36EC0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70438CA2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还有一条治理线索，也应该降噪处理。</w:t>
      </w:r>
    </w:p>
    <w:p w14:paraId="551828EC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6A77157D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奇富科技2025年Form 20-F披露，2025年12月，周鸿祎及其子女签署终止函，终止此前使周鸿祎与其子女共享 Aerovane 所持奇富科技股份投票权及处置权的安排。此后，周鸿祎不再被视为实益拥有 Aerovane 直接持有的奇富科技股份。公司还披露，360集团于2025年12月不再作为其关联方披露。</w:t>
      </w:r>
    </w:p>
    <w:p w14:paraId="2574EC5B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75805950" w14:textId="0C0CF55C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这条信息</w:t>
      </w:r>
      <w:r w:rsidR="00A91EDC"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菜菜认为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不能被解释成主观动机。</w:t>
      </w:r>
    </w:p>
    <w:p w14:paraId="2D826C4B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57EF4A65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它能说明的是，公司治理和关联关系披露进入了新的口径；它不能证明任何人的主观动机，更不能用来替代经营分析。</w:t>
      </w:r>
    </w:p>
    <w:p w14:paraId="1DFBB493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205FA1B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所以，这组材料真正能留下来的，其实不是那些最刺激的说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lastRenderedPageBreak/>
        <w:t>法，而是一条时间线：2025年12月，不良资产包交易和权益安排变化出现；2026年3月，监管约谈平台运营机构；2026年5月，一季度财报显示撮合额、余额、利润和逾期指标同时承压。</w:t>
      </w:r>
    </w:p>
    <w:p w14:paraId="4A1761F6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66AE56C" w14:textId="687D189C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这条线足够了。不需要额外加戏。</w:t>
      </w:r>
    </w:p>
    <w:p w14:paraId="010DF594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0FDD4B86" w14:textId="01914E22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对银行和资金方来说，以前看流量，看模型，看撮合规模。</w:t>
      </w:r>
    </w:p>
    <w:p w14:paraId="4A689D0E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37A7067B" w14:textId="77777777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现在还要看四件事：新增资产能不能穿过更严格的信用标准；存量资产退出时市场给什么价格；贷后开支会不会继续挤压利润；监管是否继续把营销、息费披露、个人信息、催收和投诉机制连在一起追问。</w:t>
      </w:r>
    </w:p>
    <w:p w14:paraId="7565246F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69FFA44" w14:textId="4B04BECA" w:rsid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奇富科技还在赚钱。但这已经不</w:t>
      </w:r>
      <w: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算是很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轻松的钱</w:t>
      </w:r>
      <w: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（这里菜菜措辞想了很久，到底该和谁对标，但至少不比奇富自己以前纯收导流费要轻松）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。</w:t>
      </w:r>
    </w:p>
    <w:p w14:paraId="1F622936" w14:textId="77777777" w:rsidR="00064B8B" w:rsidRPr="00064B8B" w:rsidRDefault="00064B8B" w:rsidP="00064B8B">
      <w:pPr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1250CD8F" w14:textId="2E29779E" w:rsidR="00064B8B" w:rsidRPr="00064B8B" w:rsidRDefault="00064B8B" w:rsidP="00064B8B">
      <w:pPr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</w:pP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这场变化，</w:t>
      </w:r>
      <w:r w:rsidR="0095282E"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  <w:t>算是</w:t>
      </w:r>
      <w:r w:rsidRPr="00064B8B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</w:rPr>
        <w:t>奇富科技的信用账本回归。</w:t>
      </w:r>
    </w:p>
    <w:p w14:paraId="22939B81" w14:textId="77777777" w:rsidR="008E492E" w:rsidRPr="00064B8B" w:rsidRDefault="008E492E" w:rsidP="00064B8B"/>
    <w:sectPr w:rsidR="008E492E" w:rsidRPr="00064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4E285" w14:textId="77777777" w:rsidR="002C4A1B" w:rsidRDefault="002C4A1B" w:rsidP="00DF08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12FCE1" w14:textId="77777777" w:rsidR="002C4A1B" w:rsidRDefault="002C4A1B" w:rsidP="00DF08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99ADE" w14:textId="77777777" w:rsidR="002C4A1B" w:rsidRDefault="002C4A1B" w:rsidP="00DF08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732826" w14:textId="77777777" w:rsidR="002C4A1B" w:rsidRDefault="002C4A1B" w:rsidP="00DF08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0B"/>
    <w:rsid w:val="00026DD9"/>
    <w:rsid w:val="00064B8B"/>
    <w:rsid w:val="002C4A1B"/>
    <w:rsid w:val="00557CA9"/>
    <w:rsid w:val="00627B22"/>
    <w:rsid w:val="0083366B"/>
    <w:rsid w:val="008E492E"/>
    <w:rsid w:val="0095282E"/>
    <w:rsid w:val="00A2694B"/>
    <w:rsid w:val="00A91EDC"/>
    <w:rsid w:val="00C1000B"/>
    <w:rsid w:val="00CA50A7"/>
    <w:rsid w:val="00DB724C"/>
    <w:rsid w:val="00DF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59100"/>
  <w15:chartTrackingRefBased/>
  <w15:docId w15:val="{6354FA51-9218-49C7-9AE8-179E9C29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00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0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0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0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0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0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0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0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00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0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0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00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0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0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0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00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0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00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00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0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0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00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00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08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08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08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08B0"/>
    <w:rPr>
      <w:sz w:val="18"/>
      <w:szCs w:val="18"/>
    </w:rPr>
  </w:style>
  <w:style w:type="character" w:styleId="af2">
    <w:name w:val="Strong"/>
    <w:basedOn w:val="a0"/>
    <w:uiPriority w:val="22"/>
    <w:qFormat/>
    <w:rsid w:val="00557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1477</Words>
  <Characters>1715</Characters>
  <Application>Microsoft Office Word</Application>
  <DocSecurity>0</DocSecurity>
  <Lines>100</Lines>
  <Paragraphs>66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6</cp:revision>
  <dcterms:created xsi:type="dcterms:W3CDTF">2026-06-03T14:08:00Z</dcterms:created>
  <dcterms:modified xsi:type="dcterms:W3CDTF">2026-06-04T08:04:00Z</dcterms:modified>
</cp:coreProperties>
</file>