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BD3C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795" w:firstLineChars="300"/>
        <w:textAlignment w:val="auto"/>
        <w:rPr>
          <w:rFonts w:ascii="Segoe UI" w:hAnsi="Segoe UI" w:eastAsia="Segoe UI" w:cs="Segoe UI"/>
          <w:b/>
          <w:bCs/>
          <w:caps w:val="0"/>
          <w:color w:val="0F1115"/>
          <w:spacing w:val="0"/>
          <w:sz w:val="26"/>
          <w:szCs w:val="26"/>
        </w:rPr>
      </w:pPr>
      <w:r>
        <w:rPr>
          <w:rFonts w:hint="eastAsia" w:ascii="Segoe UI" w:hAnsi="Segoe UI" w:cs="Segoe UI"/>
          <w:b/>
          <w:bCs/>
          <w:caps w:val="0"/>
          <w:color w:val="0F1115"/>
          <w:spacing w:val="0"/>
          <w:sz w:val="26"/>
          <w:szCs w:val="26"/>
          <w:shd w:val="clear" w:fill="FFFFFF"/>
          <w:lang w:val="en-US" w:eastAsia="zh-CN"/>
        </w:rPr>
        <w:t xml:space="preserve">总行零售、授信一把手均“亮相” </w:t>
      </w:r>
      <w:r>
        <w:rPr>
          <w:rFonts w:hint="default" w:ascii="Segoe UI" w:hAnsi="Segoe UI" w:eastAsia="Segoe UI" w:cs="Segoe UI"/>
          <w:b/>
          <w:bCs/>
          <w:caps w:val="0"/>
          <w:color w:val="0F1115"/>
          <w:spacing w:val="0"/>
          <w:sz w:val="26"/>
          <w:szCs w:val="26"/>
          <w:shd w:val="clear" w:fill="FFFFFF"/>
        </w:rPr>
        <w:t>上海银行一日五罚</w:t>
      </w:r>
    </w:p>
    <w:p w14:paraId="0F74040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2026年6月19日，国家金融监管总局上海监管局一口气挂出5张与上海银行相关的罚单</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总行被罚200万元，深圳分行被罚110万元，总行零售业务部副总</w:t>
      </w:r>
      <w:bookmarkStart w:id="0" w:name="_GoBack"/>
      <w:bookmarkEnd w:id="0"/>
      <w:r>
        <w:rPr>
          <w:rFonts w:hint="default" w:ascii="Segoe UI" w:hAnsi="Segoe UI" w:eastAsia="Segoe UI" w:cs="Segoe UI"/>
          <w:i w:val="0"/>
          <w:iCs w:val="0"/>
          <w:caps w:val="0"/>
          <w:color w:val="0F1115"/>
          <w:spacing w:val="0"/>
          <w:sz w:val="19"/>
          <w:szCs w:val="19"/>
          <w:shd w:val="clear" w:fill="FFFFFF"/>
        </w:rPr>
        <w:t>经理戴骏被警告并罚款5万元，总行授信审批部许铁石被警告并罚款5万元，宝山支行被罚25万元。5张罚单合计金额590万元。</w:t>
      </w:r>
    </w:p>
    <w:p w14:paraId="33800DD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lang w:val="en-US"/>
        </w:rPr>
      </w:pPr>
      <w:r>
        <w:rPr>
          <w:rFonts w:hint="default" w:ascii="Segoe UI" w:hAnsi="Segoe UI" w:eastAsia="Segoe UI" w:cs="Segoe UI"/>
          <w:i w:val="0"/>
          <w:iCs w:val="0"/>
          <w:caps w:val="0"/>
          <w:color w:val="0F1115"/>
          <w:spacing w:val="0"/>
          <w:sz w:val="19"/>
          <w:szCs w:val="19"/>
          <w:shd w:val="clear" w:fill="FFFFFF"/>
        </w:rPr>
        <w:t>一天之内、一家银行总分支三级机构、两名关键部门负责人同时被罚。穿透这5张罚单的违规事由，</w:t>
      </w:r>
      <w:r>
        <w:rPr>
          <w:rFonts w:hint="eastAsia" w:ascii="Segoe UI" w:hAnsi="Segoe UI" w:eastAsia="宋体" w:cs="Segoe UI"/>
          <w:i w:val="0"/>
          <w:iCs w:val="0"/>
          <w:caps w:val="0"/>
          <w:color w:val="0F1115"/>
          <w:spacing w:val="0"/>
          <w:sz w:val="19"/>
          <w:szCs w:val="19"/>
          <w:shd w:val="clear" w:fill="FFFFFF"/>
          <w:lang w:val="en-US" w:eastAsia="zh-CN"/>
        </w:rPr>
        <w:t>均为贷款资金用途存疑。</w:t>
      </w:r>
    </w:p>
    <w:p w14:paraId="32CEF66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firstLineChars="0"/>
        <w:textAlignment w:val="auto"/>
        <w:rPr>
          <w:rFonts w:hint="eastAsia" w:ascii="Segoe UI" w:hAnsi="Segoe UI" w:eastAsia="宋体" w:cs="Segoe UI"/>
          <w:b/>
          <w:bCs/>
          <w:caps w:val="0"/>
          <w:color w:val="0F1115"/>
          <w:spacing w:val="0"/>
          <w:sz w:val="24"/>
          <w:szCs w:val="24"/>
          <w:lang w:eastAsia="zh-CN"/>
        </w:rPr>
      </w:pPr>
      <w:r>
        <w:rPr>
          <w:rFonts w:hint="default" w:ascii="Segoe UI" w:hAnsi="Segoe UI" w:eastAsia="Segoe UI" w:cs="Segoe UI"/>
          <w:b/>
          <w:bCs/>
          <w:caps w:val="0"/>
          <w:color w:val="0F1115"/>
          <w:spacing w:val="0"/>
          <w:sz w:val="24"/>
          <w:szCs w:val="24"/>
          <w:shd w:val="clear" w:fill="FFFFFF"/>
        </w:rPr>
        <w:t>总行与分支同收罚单</w:t>
      </w:r>
    </w:p>
    <w:p w14:paraId="25EBDC8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5张罚单指向的违规事由层层递进，完整覆盖了个人贷款业务的全流程。</w:t>
      </w:r>
    </w:p>
    <w:p w14:paraId="54EDB1A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上海银行总行因个人贷款违规流入房地产市场和首付款及还款来源审核不严两项违规被处以200万元罚款。</w:t>
      </w:r>
      <w:r>
        <w:rPr>
          <w:rFonts w:hint="default" w:ascii="Segoe UI" w:hAnsi="Segoe UI" w:eastAsia="Segoe UI" w:cs="Segoe UI"/>
          <w:i w:val="0"/>
          <w:iCs w:val="0"/>
          <w:caps w:val="0"/>
          <w:color w:val="0F1115"/>
          <w:spacing w:val="0"/>
          <w:sz w:val="19"/>
          <w:szCs w:val="19"/>
          <w:shd w:val="clear" w:fill="FFFFFF"/>
        </w:rPr>
        <w:t>这两个违规事项都指向贷前调查和贷中审批环节</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首付款来源审核是防范经营贷置换房贷的第一道闸口，还款来源审核是判断借款人真实偿付能力的核心依据。</w:t>
      </w:r>
    </w:p>
    <w:p w14:paraId="0DB2E76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两道闸口同时失守，意味着不是某个信贷员疏忽大意，而是总行层面的贷前调查标准和审批流程本身就留有缝隙。</w:t>
      </w:r>
    </w:p>
    <w:p w14:paraId="1E6C2A5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i w:val="0"/>
          <w:iCs w:val="0"/>
          <w:caps w:val="0"/>
          <w:color w:val="0F1115"/>
          <w:spacing w:val="0"/>
          <w:sz w:val="19"/>
          <w:szCs w:val="19"/>
          <w:shd w:val="clear" w:fill="FFFFFF"/>
          <w:lang w:val="en-US" w:eastAsia="zh-CN"/>
        </w:rPr>
      </w:pPr>
      <w:r>
        <w:rPr>
          <w:rFonts w:hint="default" w:ascii="Segoe UI" w:hAnsi="Segoe UI" w:eastAsia="Segoe UI" w:cs="Segoe UI"/>
          <w:i w:val="0"/>
          <w:iCs w:val="0"/>
          <w:caps w:val="0"/>
          <w:color w:val="0F1115"/>
          <w:spacing w:val="0"/>
          <w:sz w:val="19"/>
          <w:szCs w:val="19"/>
          <w:shd w:val="clear" w:fill="FFFFFF"/>
        </w:rPr>
        <w:t>深圳分行的违规事项则把问题从贷前推到了贷后。贷款资金对接他行信贷类资产和向关系人发放信用贷款被处以110万元罚款。</w:t>
      </w:r>
      <w:r>
        <w:rPr>
          <w:rFonts w:hint="eastAsia" w:ascii="Segoe UI" w:hAnsi="Segoe UI" w:eastAsia="宋体" w:cs="Segoe UI"/>
          <w:i w:val="0"/>
          <w:iCs w:val="0"/>
          <w:caps w:val="0"/>
          <w:color w:val="0F1115"/>
          <w:spacing w:val="0"/>
          <w:sz w:val="19"/>
          <w:szCs w:val="19"/>
          <w:shd w:val="clear" w:fill="FFFFFF"/>
          <w:lang w:val="en-US" w:eastAsia="zh-CN"/>
        </w:rPr>
        <w:t>按笔者的理解，这笔贷款用于偿还上游贷款，属于帮客户垫资过桥了。</w:t>
      </w:r>
    </w:p>
    <w:p w14:paraId="34AC7D4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贷款资金跨境对接他行信贷资产，属于典型的信贷资金用途管控失效；向关系人发放信用贷款，触碰的是关联交易管理的合规红线。这两项违规性质比总行的审核不严更严重</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不仅是没审到位，而且是明知故犯。</w:t>
      </w:r>
    </w:p>
    <w:p w14:paraId="51B00738">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被罚的两名总行部门负责人</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零售业务部副总经理戴骏、授信审批部许铁石</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一个是业务推动岗，一个是风险审批岗，两人同时被罚，说明上海银行总行在个人贷款业务的业务—审批两道防线上都出现了系统性的管理失位。</w:t>
      </w:r>
    </w:p>
    <w:p w14:paraId="338308E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b/>
          <w:bCs/>
          <w:i w:val="0"/>
          <w:iCs w:val="0"/>
          <w:caps w:val="0"/>
          <w:color w:val="0F1115"/>
          <w:spacing w:val="0"/>
          <w:sz w:val="19"/>
          <w:szCs w:val="19"/>
          <w:shd w:val="clear" w:fill="FFFFFF"/>
          <w:lang w:val="en-US" w:eastAsia="zh-CN"/>
        </w:rPr>
      </w:pPr>
      <w:r>
        <w:rPr>
          <w:rFonts w:hint="eastAsia" w:ascii="Segoe UI" w:hAnsi="Segoe UI" w:eastAsia="宋体" w:cs="Segoe UI"/>
          <w:b/>
          <w:bCs/>
          <w:i w:val="0"/>
          <w:iCs w:val="0"/>
          <w:caps w:val="0"/>
          <w:color w:val="0F1115"/>
          <w:spacing w:val="0"/>
          <w:sz w:val="19"/>
          <w:szCs w:val="19"/>
          <w:shd w:val="clear" w:fill="FFFFFF"/>
          <w:lang w:val="en-US" w:eastAsia="zh-CN"/>
        </w:rPr>
        <w:t>这在近年的处罚中是极为罕见的，说明从银行治理层面就出现了松动。</w:t>
      </w:r>
    </w:p>
    <w:p w14:paraId="62A95FD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零售业务部管的是信贷投放和产品设计，授信审批部管的是信贷审核和发放条件。</w:t>
      </w:r>
      <w:r>
        <w:rPr>
          <w:rFonts w:hint="default" w:ascii="Segoe UI" w:hAnsi="Segoe UI" w:eastAsia="Segoe UI" w:cs="Segoe UI"/>
          <w:b/>
          <w:bCs/>
          <w:i w:val="0"/>
          <w:iCs w:val="0"/>
          <w:caps w:val="0"/>
          <w:color w:val="0F1115"/>
          <w:spacing w:val="0"/>
          <w:sz w:val="19"/>
          <w:szCs w:val="19"/>
          <w:shd w:val="clear" w:fill="FFFFFF"/>
        </w:rPr>
        <w:t>两个部门的一把手同时出现在罚单名单上，不是支行的操作偏差，而是总行层面整个个贷流程管不住。</w:t>
      </w:r>
    </w:p>
    <w:p w14:paraId="5814836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宝山支行的25万元罚单，则是所有违规链条的最终落脚点。首付款及还款来源审核不严从总行到支行一脉相承，总行的标准松了，支行自然照搬。这种自上而下的流程穿透，印证了上海银行的个贷违规不是个案，而是制度层面的集体塌陷。</w:t>
      </w:r>
    </w:p>
    <w:p w14:paraId="26B5A10D">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把监管处罚逻辑串起来看</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总行负责制定标准但标准不严，分行负责业务执行但屡屡越界，负责人管业务推动和审批但未能履行管理职责，支行在一线操刀审核流于形式。</w:t>
      </w:r>
    </w:p>
    <w:p w14:paraId="010DDF5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这是完整的内控传导失效，从总行的制度设计出发，到支行的操作执行落地，每一道闸都开了口子。</w:t>
      </w:r>
    </w:p>
    <w:p w14:paraId="4817E4A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firstLineChars="0"/>
        <w:textAlignment w:val="auto"/>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一季报增长14.78%与不良率1.28%的并行</w:t>
      </w:r>
    </w:p>
    <w:p w14:paraId="4543C26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上海银行一季度交出的报表，把增长和隐患两个截然不同的主题压在了一起。</w:t>
      </w:r>
    </w:p>
    <w:p w14:paraId="66B9DAD6">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2026年一季度，上海银行营收167.91亿元，同比增长14.78%；归母净利润75.82亿元，同比增长6.84%。总资产突破3.31万亿元，较上年末增长2.11%，规模保持股份行第四位。营收增速14.78%在城商行和股份行中均名列前茅，是近年来单季度最高增速。</w:t>
      </w:r>
    </w:p>
    <w:p w14:paraId="18D83C5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但同一份季报中，不良贷款率从上年末的1.21%升至1.28%，上升0.07个百分点；关注类贷款占比从上年末的2.13%升至2.26%，上升0.13个百分点。</w:t>
      </w:r>
    </w:p>
    <w:p w14:paraId="63329321">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6月19日上海监管局一口气挂出的5张罚单，揭开了不良率上升背后的部分答案。深圳分行贷款资金对接他行信贷类资产意味着部分贷款资金被用于覆盖其他银行的到期债务；总行首付款及还款来源审核不严则意味着部分个贷在发放时根本就没有经过严格的偿还能力审查。</w:t>
      </w:r>
    </w:p>
    <w:p w14:paraId="51C1797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这些贷款当前有多少还在正常还本付息、有多少已经进入关注甚至不良，罚单没有说，但不良率1.28%和关注率2.26%的数字已经在发出信号。</w:t>
      </w:r>
    </w:p>
    <w:p w14:paraId="3ABB506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上海银行不是个案。交通银行上海分行此前也因类似问题被罚约611万元，其中同样涉及个人贷款资金流向监管不严。</w:t>
      </w:r>
    </w:p>
    <w:p w14:paraId="39E07F9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一季度上海本地多家银行均因信贷资金违规流入房地产等问题被集中处罚，说明在资产端信贷需求趋于饱和的环境中，银行守住合规底线的压力明显上升。</w:t>
      </w:r>
    </w:p>
    <w:p w14:paraId="7B5B1EF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firstLineChars="0"/>
        <w:textAlignment w:val="auto"/>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个贷违规入楼市</w:t>
      </w:r>
      <w:r>
        <w:rPr>
          <w:rFonts w:hint="eastAsia" w:ascii="Segoe UI" w:hAnsi="Segoe UI" w:cs="Segoe UI"/>
          <w:b/>
          <w:bCs/>
          <w:caps w:val="0"/>
          <w:color w:val="0F1115"/>
          <w:spacing w:val="0"/>
          <w:sz w:val="24"/>
          <w:szCs w:val="24"/>
          <w:shd w:val="clear" w:fill="FFFFFF"/>
          <w:lang w:eastAsia="zh-CN"/>
        </w:rPr>
        <w:t>，</w:t>
      </w:r>
      <w:r>
        <w:rPr>
          <w:rFonts w:hint="default" w:ascii="Segoe UI" w:hAnsi="Segoe UI" w:eastAsia="Segoe UI" w:cs="Segoe UI"/>
          <w:b/>
          <w:bCs/>
          <w:caps w:val="0"/>
          <w:color w:val="0F1115"/>
          <w:spacing w:val="0"/>
          <w:sz w:val="24"/>
          <w:szCs w:val="24"/>
          <w:shd w:val="clear" w:fill="FFFFFF"/>
        </w:rPr>
        <w:t>屡罚不止的深层逻辑</w:t>
      </w:r>
    </w:p>
    <w:p w14:paraId="37FA94A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穿透上海银行的罚单，核心违规指向一个老问题</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个人贷款资金违规流入房地产市场。</w:t>
      </w:r>
    </w:p>
    <w:p w14:paraId="677E75C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b/>
          <w:bCs/>
          <w:i w:val="0"/>
          <w:iCs w:val="0"/>
          <w:caps w:val="0"/>
          <w:color w:val="0F1115"/>
          <w:spacing w:val="0"/>
          <w:sz w:val="19"/>
          <w:szCs w:val="19"/>
          <w:shd w:val="clear" w:fill="FFFFFF"/>
          <w:lang w:val="en-US" w:eastAsia="zh-CN"/>
        </w:rPr>
      </w:pPr>
      <w:r>
        <w:rPr>
          <w:rFonts w:hint="eastAsia" w:ascii="Segoe UI" w:hAnsi="Segoe UI" w:eastAsia="宋体" w:cs="Segoe UI"/>
          <w:b/>
          <w:bCs/>
          <w:i w:val="0"/>
          <w:iCs w:val="0"/>
          <w:caps w:val="0"/>
          <w:color w:val="0F1115"/>
          <w:spacing w:val="0"/>
          <w:sz w:val="19"/>
          <w:szCs w:val="19"/>
          <w:shd w:val="clear" w:fill="FFFFFF"/>
          <w:lang w:val="en-US" w:eastAsia="zh-CN"/>
        </w:rPr>
        <w:t>作为经济较发达的地区，且近期楼市火热的地区。属地银行确实面临着较高的资金流向楼市风险。但行方的意愿才是关键。</w:t>
      </w:r>
    </w:p>
    <w:p w14:paraId="2737D861">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首付款审核不严，意味着经营贷或消费贷在发放后被挪作购房首付；还款来源审核不严，意味着贷款发放时对借款人的真实收入水平和偿债能力未做严格验证。</w:t>
      </w:r>
    </w:p>
    <w:p w14:paraId="488B23C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两条违规合并，实质上是经营贷置换房贷的翻版</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银行在审核环节松动，让本应用于企业经营或个人消费的信贷资金流入楼市。</w:t>
      </w:r>
    </w:p>
    <w:p w14:paraId="191B2AF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监管对个贷违规入楼市的处罚力度近年来只增不减。上海银行总行此次被罚200万元，虽是单次处罚，但金额在同类案件中处于中上水平。</w:t>
      </w:r>
    </w:p>
    <w:p w14:paraId="2865C4E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去年交通银行上海分行因向关系人发放信用贷款等多项违规合计被罚约611万元。从季度性节点来看，6月是银行半年末信贷冲刺的最后窗口，也是一线机构信贷审批最容易被业务指标压变形的时间段。</w:t>
      </w:r>
    </w:p>
    <w:p w14:paraId="483F3D4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上海银行选择在6月被集中罚单，恰好撞上了监管强化信贷合规管控的关键节点。</w:t>
      </w:r>
    </w:p>
    <w:p w14:paraId="48C0421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银行基层机构完成信贷投放指标的动力与严格执行风控标准的成本之间的矛盾，在经济周期下行期反而更加突出。</w:t>
      </w:r>
    </w:p>
    <w:p w14:paraId="43A651A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当优质信贷需求萎缩、资产端竞争加剧，部分机构选择在审核环节放宽标准，用做大分母来掩盖找好资产越来越难的焦虑。同时，授信审批部门和零售业务部门之间的权力平衡一旦被打破</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审批部门对业务部门妥协过多，整个个贷流程就从风险控制滑向风险侥幸。</w:t>
      </w:r>
    </w:p>
    <w:p w14:paraId="021987C6">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0"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从更宏观的维度看，这5张罚单与上海银行一季度14.78%营收高增、不良率升至1.28%的财务数据形成严密闭环。</w:t>
      </w:r>
    </w:p>
    <w:p w14:paraId="434558F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0" w:afterAutospacing="0"/>
        <w:ind w:left="0" w:right="0" w:firstLine="0" w:firstLineChars="0"/>
        <w:textAlignment w:val="auto"/>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个贷审核的合规底线被击穿，信贷规模的增长就带上了质量隐患；</w:t>
      </w:r>
    </w:p>
    <w:p w14:paraId="3EF0A62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0" w:afterAutospacing="0"/>
        <w:ind w:left="0" w:right="0" w:firstLine="0" w:firstLineChars="0"/>
        <w:textAlignment w:val="auto"/>
        <w:rPr>
          <w:rFonts w:hint="default" w:ascii="Segoe UI" w:hAnsi="Segoe UI" w:eastAsia="宋体" w:cs="Segoe UI"/>
          <w:i w:val="0"/>
          <w:iCs w:val="0"/>
          <w:caps w:val="0"/>
          <w:color w:val="0F1115"/>
          <w:spacing w:val="0"/>
          <w:sz w:val="19"/>
          <w:szCs w:val="19"/>
          <w:lang w:val="en-US" w:eastAsia="zh-CN"/>
        </w:rPr>
      </w:pPr>
      <w:r>
        <w:rPr>
          <w:rFonts w:hint="default" w:ascii="Segoe UI" w:hAnsi="Segoe UI" w:eastAsia="Segoe UI" w:cs="Segoe UI"/>
          <w:i w:val="0"/>
          <w:iCs w:val="0"/>
          <w:caps w:val="0"/>
          <w:color w:val="0F1115"/>
          <w:spacing w:val="0"/>
          <w:sz w:val="19"/>
          <w:szCs w:val="19"/>
          <w:shd w:val="clear" w:fill="FFFFFF"/>
        </w:rPr>
        <w:t>总分支三级机构同时被罚，暴露出的是制度执行的系统性失位。当不良率和关注率同步抬头、信贷审核标准自上而下集体松动，上海银行这张一季报的高增长需要被重新审视。</w:t>
      </w:r>
      <w:r>
        <w:rPr>
          <w:rFonts w:hint="eastAsia" w:ascii="Segoe UI" w:hAnsi="Segoe UI" w:eastAsia="宋体" w:cs="Segoe UI"/>
          <w:i w:val="0"/>
          <w:iCs w:val="0"/>
          <w:caps w:val="0"/>
          <w:color w:val="0F1115"/>
          <w:spacing w:val="0"/>
          <w:sz w:val="19"/>
          <w:szCs w:val="19"/>
          <w:shd w:val="clear" w:fill="FFFFFF"/>
          <w:lang w:val="en-US" w:eastAsia="zh-CN"/>
        </w:rPr>
        <w:t>不能因业绩压力就被动放任资金流向楼市。</w:t>
      </w:r>
    </w:p>
    <w:p w14:paraId="772AB7E8">
      <w:pPr>
        <w:keepNext w:val="0"/>
        <w:keepLines w:val="0"/>
        <w:pageBreakBefore w:val="0"/>
        <w:kinsoku/>
        <w:wordWrap/>
        <w:overflowPunct/>
        <w:topLinePunct w:val="0"/>
        <w:autoSpaceDE/>
        <w:autoSpaceDN/>
        <w:bidi w:val="0"/>
        <w:adjustRightInd/>
        <w:snapToGrid/>
        <w:ind w:firstLine="0" w:firstLineChars="0"/>
        <w:textAlignment w:val="auto"/>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51px;height:284px" o:bullet="t">
        <v:imagedata r:id="rId1" o:title=""/>
      </v:shape>
    </w:pict>
  </w:numPicBullet>
  <w:abstractNum w:abstractNumId="0">
    <w:nsid w:val="C78B17FF"/>
    <w:multiLevelType w:val="singleLevel"/>
    <w:tmpl w:val="C78B17FF"/>
    <w:lvl w:ilvl="0" w:tentative="0">
      <w:start w:val="1"/>
      <w:numFmt w:val="decimal"/>
      <w:pStyle w:val="45"/>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4"/>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3"/>
      <w:lvlText w:val="图4-%1"/>
      <w:lvlJc w:val="left"/>
      <w:pPr>
        <w:tabs>
          <w:tab w:val="left" w:pos="567"/>
        </w:tabs>
        <w:ind w:left="0" w:leftChars="0" w:firstLine="0" w:firstLineChars="0"/>
      </w:pPr>
      <w:rPr>
        <w:rFonts w:hint="default"/>
      </w:rPr>
    </w:lvl>
  </w:abstractNum>
  <w:abstractNum w:abstractNumId="4">
    <w:nsid w:val="0C50E9EE"/>
    <w:multiLevelType w:val="multilevel"/>
    <w:tmpl w:val="0C50E9EE"/>
    <w:lvl w:ilvl="0" w:tentative="0">
      <w:start w:val="1"/>
      <w:numFmt w:val="decimal"/>
      <w:pStyle w:val="2"/>
      <w:lvlText w:val="%1"/>
      <w:lvlJc w:val="left"/>
      <w:pPr>
        <w:ind w:left="425" w:hanging="425"/>
      </w:pPr>
      <w:rPr>
        <w:rFonts w:hint="default" w:eastAsia="黑体"/>
        <w:sz w:val="32"/>
        <w:szCs w:val="32"/>
      </w:rPr>
    </w:lvl>
    <w:lvl w:ilvl="1" w:tentative="0">
      <w:start w:val="1"/>
      <w:numFmt w:val="decimal"/>
      <w:lvlText w:val="%1.%2"/>
      <w:lvlJc w:val="left"/>
      <w:pPr>
        <w:ind w:left="567" w:hanging="567"/>
      </w:pPr>
      <w:rPr>
        <w:rFonts w:hint="default" w:eastAsia="黑体"/>
        <w:sz w:val="30"/>
        <w:szCs w:val="30"/>
      </w:rPr>
    </w:lvl>
    <w:lvl w:ilvl="2" w:tentative="0">
      <w:start w:val="1"/>
      <w:numFmt w:val="decimal"/>
      <w:lvlText w:val="%1.%2.%3"/>
      <w:lvlJc w:val="left"/>
      <w:pPr>
        <w:ind w:left="709" w:hanging="709"/>
      </w:pPr>
      <w:rPr>
        <w:rFonts w:hint="default" w:eastAsia="黑体"/>
        <w:sz w:val="28"/>
        <w:szCs w:val="28"/>
      </w:rPr>
    </w:lvl>
    <w:lvl w:ilvl="3" w:tentative="0">
      <w:start w:val="1"/>
      <w:numFmt w:val="decimal"/>
      <w:lvlText w:val="%1.%2.%3.%4 "/>
      <w:lvlJc w:val="left"/>
      <w:pPr>
        <w:ind w:left="850" w:hanging="850"/>
      </w:pPr>
      <w:rPr>
        <w:rFonts w:hint="default"/>
        <w:sz w:val="24"/>
        <w:szCs w:val="24"/>
      </w:rPr>
    </w:lvl>
    <w:lvl w:ilvl="4" w:tentative="0">
      <w:start w:val="1"/>
      <w:numFmt w:val="decimal"/>
      <w:lvlText w:val="%1.%2.%3.%4.%5 "/>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0D9E75AE"/>
    <w:multiLevelType w:val="multilevel"/>
    <w:tmpl w:val="0D9E75AE"/>
    <w:lvl w:ilvl="0" w:tentative="0">
      <w:start w:val="1"/>
      <w:numFmt w:val="bullet"/>
      <w:pStyle w:val="62"/>
      <w:lvlText w:val=""/>
      <w:lvlPicBulletId w:val="0"/>
      <w:lvlJc w:val="left"/>
      <w:pPr>
        <w:tabs>
          <w:tab w:val="left" w:pos="420"/>
        </w:tabs>
        <w:ind w:left="420" w:firstLine="0"/>
      </w:pPr>
      <w:rPr>
        <w:rFonts w:hint="default" w:ascii="Symbol" w:hAnsi="Symbol"/>
      </w:rPr>
    </w:lvl>
    <w:lvl w:ilvl="1" w:tentative="0">
      <w:start w:val="1"/>
      <w:numFmt w:val="bullet"/>
      <w:lvlText w:val=""/>
      <w:lvlJc w:val="left"/>
      <w:pPr>
        <w:tabs>
          <w:tab w:val="left" w:pos="840"/>
        </w:tabs>
        <w:ind w:left="840" w:firstLine="0"/>
      </w:pPr>
      <w:rPr>
        <w:rFonts w:hint="default" w:ascii="Symbol" w:hAnsi="Symbol"/>
      </w:rPr>
    </w:lvl>
    <w:lvl w:ilvl="2" w:tentative="0">
      <w:start w:val="1"/>
      <w:numFmt w:val="bullet"/>
      <w:lvlText w:val=""/>
      <w:lvlJc w:val="left"/>
      <w:pPr>
        <w:tabs>
          <w:tab w:val="left" w:pos="1260"/>
        </w:tabs>
        <w:ind w:left="1260" w:firstLine="0"/>
      </w:pPr>
      <w:rPr>
        <w:rFonts w:hint="default" w:ascii="Symbol" w:hAnsi="Symbol"/>
      </w:rPr>
    </w:lvl>
    <w:lvl w:ilvl="3" w:tentative="0">
      <w:start w:val="1"/>
      <w:numFmt w:val="bullet"/>
      <w:lvlText w:val=""/>
      <w:lvlJc w:val="left"/>
      <w:pPr>
        <w:tabs>
          <w:tab w:val="left" w:pos="1680"/>
        </w:tabs>
        <w:ind w:left="1680" w:firstLine="0"/>
      </w:pPr>
      <w:rPr>
        <w:rFonts w:hint="default" w:ascii="Symbol" w:hAnsi="Symbol"/>
      </w:rPr>
    </w:lvl>
    <w:lvl w:ilvl="4" w:tentative="0">
      <w:start w:val="1"/>
      <w:numFmt w:val="bullet"/>
      <w:lvlText w:val=""/>
      <w:lvlJc w:val="left"/>
      <w:pPr>
        <w:tabs>
          <w:tab w:val="left" w:pos="2100"/>
        </w:tabs>
        <w:ind w:left="2100" w:firstLine="0"/>
      </w:pPr>
      <w:rPr>
        <w:rFonts w:hint="default" w:ascii="Symbol" w:hAnsi="Symbol"/>
      </w:rPr>
    </w:lvl>
    <w:lvl w:ilvl="5" w:tentative="0">
      <w:start w:val="1"/>
      <w:numFmt w:val="bullet"/>
      <w:lvlText w:val=""/>
      <w:lvlJc w:val="left"/>
      <w:pPr>
        <w:tabs>
          <w:tab w:val="left" w:pos="2520"/>
        </w:tabs>
        <w:ind w:left="2520" w:firstLine="0"/>
      </w:pPr>
      <w:rPr>
        <w:rFonts w:hint="default" w:ascii="Symbol" w:hAnsi="Symbol"/>
      </w:rPr>
    </w:lvl>
    <w:lvl w:ilvl="6" w:tentative="0">
      <w:start w:val="1"/>
      <w:numFmt w:val="bullet"/>
      <w:lvlText w:val=""/>
      <w:lvlJc w:val="left"/>
      <w:pPr>
        <w:tabs>
          <w:tab w:val="left" w:pos="2940"/>
        </w:tabs>
        <w:ind w:left="2940" w:firstLine="0"/>
      </w:pPr>
      <w:rPr>
        <w:rFonts w:hint="default" w:ascii="Symbol" w:hAnsi="Symbol"/>
      </w:rPr>
    </w:lvl>
    <w:lvl w:ilvl="7" w:tentative="0">
      <w:start w:val="1"/>
      <w:numFmt w:val="bullet"/>
      <w:lvlText w:val=""/>
      <w:lvlJc w:val="left"/>
      <w:pPr>
        <w:tabs>
          <w:tab w:val="left" w:pos="3360"/>
        </w:tabs>
        <w:ind w:left="3360" w:firstLine="0"/>
      </w:pPr>
      <w:rPr>
        <w:rFonts w:hint="default" w:ascii="Symbol" w:hAnsi="Symbol"/>
      </w:rPr>
    </w:lvl>
    <w:lvl w:ilvl="8" w:tentative="0">
      <w:start w:val="1"/>
      <w:numFmt w:val="bullet"/>
      <w:lvlText w:val=""/>
      <w:lvlJc w:val="left"/>
      <w:pPr>
        <w:tabs>
          <w:tab w:val="left" w:pos="3780"/>
        </w:tabs>
        <w:ind w:left="3780" w:firstLine="0"/>
      </w:pPr>
      <w:rPr>
        <w:rFonts w:hint="default" w:ascii="Symbol" w:hAnsi="Symbol"/>
      </w:rPr>
    </w:lvl>
  </w:abstractNum>
  <w:abstractNum w:abstractNumId="6">
    <w:nsid w:val="2FE72756"/>
    <w:multiLevelType w:val="multilevel"/>
    <w:tmpl w:val="2FE72756"/>
    <w:lvl w:ilvl="0" w:tentative="0">
      <w:start w:val="1"/>
      <w:numFmt w:val="decimal"/>
      <w:pStyle w:val="5"/>
      <w:lvlText w:val="%1 "/>
      <w:lvlJc w:val="left"/>
      <w:pPr>
        <w:ind w:left="425" w:hanging="425"/>
      </w:pPr>
      <w:rPr>
        <w:rFonts w:hint="default"/>
        <w:sz w:val="24"/>
        <w:szCs w:val="24"/>
      </w:rPr>
    </w:lvl>
    <w:lvl w:ilvl="1" w:tentative="0">
      <w:start w:val="1"/>
      <w:numFmt w:val="decimal"/>
      <w:lvlText w:val="%1.%2 "/>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suff w:val="nothing"/>
      <w:lvlText w:val="%1.%2.%3.%4 "/>
      <w:lvlJc w:val="left"/>
      <w:pPr>
        <w:ind w:left="850" w:hanging="850"/>
      </w:pPr>
      <w:rPr>
        <w:rFonts w:hint="default"/>
        <w:color w:val="auto"/>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4"/>
  </w:num>
  <w:num w:numId="2">
    <w:abstractNumId w:val="6"/>
  </w:num>
  <w:num w:numId="3">
    <w:abstractNumId w:val="1"/>
  </w:num>
  <w:num w:numId="4">
    <w:abstractNumId w:val="2"/>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0FF1B91"/>
    <w:rsid w:val="015A69DF"/>
    <w:rsid w:val="01A43D9C"/>
    <w:rsid w:val="01A77B35"/>
    <w:rsid w:val="01D23333"/>
    <w:rsid w:val="01E67C51"/>
    <w:rsid w:val="020E1A24"/>
    <w:rsid w:val="023E7B4D"/>
    <w:rsid w:val="02937356"/>
    <w:rsid w:val="02B60C69"/>
    <w:rsid w:val="02C25ED8"/>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705418"/>
    <w:rsid w:val="0BC72059"/>
    <w:rsid w:val="0BCB5B13"/>
    <w:rsid w:val="0BCF5FF3"/>
    <w:rsid w:val="0BD9123D"/>
    <w:rsid w:val="0BE37DF5"/>
    <w:rsid w:val="0C311396"/>
    <w:rsid w:val="0C5C5076"/>
    <w:rsid w:val="0C692CAD"/>
    <w:rsid w:val="0D681B8E"/>
    <w:rsid w:val="0D9F3011"/>
    <w:rsid w:val="0DC0015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B607CE"/>
    <w:rsid w:val="11D43A27"/>
    <w:rsid w:val="11F80CB0"/>
    <w:rsid w:val="12690D63"/>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9C3A5F"/>
    <w:rsid w:val="19B90824"/>
    <w:rsid w:val="19BE7C49"/>
    <w:rsid w:val="19CD1D13"/>
    <w:rsid w:val="1AB142A0"/>
    <w:rsid w:val="1AE46932"/>
    <w:rsid w:val="1B120167"/>
    <w:rsid w:val="1B841991"/>
    <w:rsid w:val="1B9510AD"/>
    <w:rsid w:val="1BCC5575"/>
    <w:rsid w:val="1BE428CB"/>
    <w:rsid w:val="1BE438B9"/>
    <w:rsid w:val="1C1E21F6"/>
    <w:rsid w:val="1C250273"/>
    <w:rsid w:val="1C2F0AC3"/>
    <w:rsid w:val="1C6C2094"/>
    <w:rsid w:val="1C886017"/>
    <w:rsid w:val="1CA0747F"/>
    <w:rsid w:val="1CAD0C3E"/>
    <w:rsid w:val="1CCC4063"/>
    <w:rsid w:val="1CF159FF"/>
    <w:rsid w:val="1D3F0444"/>
    <w:rsid w:val="1D547AAF"/>
    <w:rsid w:val="1DC91D6E"/>
    <w:rsid w:val="1E2A28EC"/>
    <w:rsid w:val="1E3316FE"/>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8684B"/>
    <w:rsid w:val="252F1318"/>
    <w:rsid w:val="25391977"/>
    <w:rsid w:val="26015614"/>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86490F"/>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D902F3B"/>
    <w:rsid w:val="2DBD39CF"/>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733C31"/>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954890"/>
    <w:rsid w:val="3DA41C67"/>
    <w:rsid w:val="3DBA2D6A"/>
    <w:rsid w:val="3DDD1B25"/>
    <w:rsid w:val="3E5A1BA6"/>
    <w:rsid w:val="3E6671CB"/>
    <w:rsid w:val="3E7C44C3"/>
    <w:rsid w:val="3EAF2378"/>
    <w:rsid w:val="3EC42F0D"/>
    <w:rsid w:val="3F162913"/>
    <w:rsid w:val="40713D5C"/>
    <w:rsid w:val="408A5219"/>
    <w:rsid w:val="40A9648B"/>
    <w:rsid w:val="40E4749D"/>
    <w:rsid w:val="41413F6F"/>
    <w:rsid w:val="41791BBD"/>
    <w:rsid w:val="41867134"/>
    <w:rsid w:val="41AB4010"/>
    <w:rsid w:val="41BF6404"/>
    <w:rsid w:val="41CC0BF5"/>
    <w:rsid w:val="41DD28D2"/>
    <w:rsid w:val="422A026F"/>
    <w:rsid w:val="42611CA0"/>
    <w:rsid w:val="42884F34"/>
    <w:rsid w:val="4291098B"/>
    <w:rsid w:val="42B6747F"/>
    <w:rsid w:val="434902A0"/>
    <w:rsid w:val="43B600AD"/>
    <w:rsid w:val="44116024"/>
    <w:rsid w:val="4446233C"/>
    <w:rsid w:val="444A4106"/>
    <w:rsid w:val="45131232"/>
    <w:rsid w:val="45A91659"/>
    <w:rsid w:val="460F757E"/>
    <w:rsid w:val="462D6C1B"/>
    <w:rsid w:val="464553D9"/>
    <w:rsid w:val="46470102"/>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755B2D"/>
    <w:rsid w:val="4AA52299"/>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1A54381"/>
    <w:rsid w:val="52176C0D"/>
    <w:rsid w:val="521B2258"/>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3C29B5"/>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26630"/>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001DEA"/>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66F3F89"/>
    <w:rsid w:val="669A52F6"/>
    <w:rsid w:val="67243570"/>
    <w:rsid w:val="6728083A"/>
    <w:rsid w:val="672C6851"/>
    <w:rsid w:val="6795761D"/>
    <w:rsid w:val="681A6810"/>
    <w:rsid w:val="682E257A"/>
    <w:rsid w:val="68573C08"/>
    <w:rsid w:val="68A240DF"/>
    <w:rsid w:val="68F47BF7"/>
    <w:rsid w:val="68FE7928"/>
    <w:rsid w:val="69212716"/>
    <w:rsid w:val="699A59FC"/>
    <w:rsid w:val="6A072332"/>
    <w:rsid w:val="6A077D43"/>
    <w:rsid w:val="6A0C1AA2"/>
    <w:rsid w:val="6A266C5C"/>
    <w:rsid w:val="6A336057"/>
    <w:rsid w:val="6A401C7B"/>
    <w:rsid w:val="6A443CD9"/>
    <w:rsid w:val="6AAE7116"/>
    <w:rsid w:val="6AF4360E"/>
    <w:rsid w:val="6BAE18B0"/>
    <w:rsid w:val="6BF33F5B"/>
    <w:rsid w:val="6C2C4C83"/>
    <w:rsid w:val="6C587129"/>
    <w:rsid w:val="6D404BA8"/>
    <w:rsid w:val="6D4C4156"/>
    <w:rsid w:val="6D73789E"/>
    <w:rsid w:val="6DA1107A"/>
    <w:rsid w:val="6DD65992"/>
    <w:rsid w:val="6DE45640"/>
    <w:rsid w:val="6DE73CDD"/>
    <w:rsid w:val="6E0445EC"/>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1E1809"/>
    <w:rsid w:val="7156451C"/>
    <w:rsid w:val="71AC5B4C"/>
    <w:rsid w:val="71B82D06"/>
    <w:rsid w:val="721169B3"/>
    <w:rsid w:val="723E4E4F"/>
    <w:rsid w:val="72F44A27"/>
    <w:rsid w:val="73033F5A"/>
    <w:rsid w:val="73590446"/>
    <w:rsid w:val="738B271B"/>
    <w:rsid w:val="73D46CB4"/>
    <w:rsid w:val="73D71451"/>
    <w:rsid w:val="7410466E"/>
    <w:rsid w:val="74104F53"/>
    <w:rsid w:val="746232DB"/>
    <w:rsid w:val="74CE7B18"/>
    <w:rsid w:val="74D63BBF"/>
    <w:rsid w:val="74F457F1"/>
    <w:rsid w:val="74F8544F"/>
    <w:rsid w:val="750B05EF"/>
    <w:rsid w:val="759A6034"/>
    <w:rsid w:val="75A632A4"/>
    <w:rsid w:val="75A83AFD"/>
    <w:rsid w:val="75DF1923"/>
    <w:rsid w:val="75EA6029"/>
    <w:rsid w:val="76EE1CCF"/>
    <w:rsid w:val="77935DDC"/>
    <w:rsid w:val="77CA2A48"/>
    <w:rsid w:val="77DF4F5D"/>
    <w:rsid w:val="78024BAC"/>
    <w:rsid w:val="78192717"/>
    <w:rsid w:val="7843265A"/>
    <w:rsid w:val="786106CA"/>
    <w:rsid w:val="78A83C61"/>
    <w:rsid w:val="78C837FD"/>
    <w:rsid w:val="78D93E53"/>
    <w:rsid w:val="78DC157F"/>
    <w:rsid w:val="79652624"/>
    <w:rsid w:val="798D6205"/>
    <w:rsid w:val="79A5003A"/>
    <w:rsid w:val="7A05115D"/>
    <w:rsid w:val="7A294D85"/>
    <w:rsid w:val="7A377D18"/>
    <w:rsid w:val="7A9A1DAD"/>
    <w:rsid w:val="7AB362CC"/>
    <w:rsid w:val="7B32448A"/>
    <w:rsid w:val="7B8557C4"/>
    <w:rsid w:val="7BE81D4E"/>
    <w:rsid w:val="7C096DF1"/>
    <w:rsid w:val="7C233A3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300" w:lineRule="auto"/>
      <w:ind w:firstLine="640" w:firstLineChars="200"/>
      <w:jc w:val="both"/>
    </w:pPr>
    <w:rPr>
      <w:rFonts w:ascii="Times New Roman" w:hAnsi="Times New Roman" w:eastAsia="宋体" w:cs="宋体"/>
      <w:kern w:val="2"/>
      <w:sz w:val="24"/>
      <w:szCs w:val="22"/>
      <w:lang w:val="en-US" w:eastAsia="zh-CN" w:bidi="ar-SA"/>
    </w:rPr>
  </w:style>
  <w:style w:type="paragraph" w:styleId="2">
    <w:name w:val="heading 1"/>
    <w:next w:val="3"/>
    <w:link w:val="27"/>
    <w:qFormat/>
    <w:uiPriority w:val="0"/>
    <w:pPr>
      <w:keepNext/>
      <w:numPr>
        <w:ilvl w:val="0"/>
        <w:numId w:val="1"/>
      </w:numPr>
      <w:spacing w:line="400" w:lineRule="atLeast"/>
      <w:ind w:left="0" w:right="0" w:rightChars="0" w:firstLine="0"/>
      <w:jc w:val="left"/>
      <w:outlineLvl w:val="0"/>
    </w:pPr>
    <w:rPr>
      <w:rFonts w:ascii="Times New Roman" w:hAnsi="Times New Roman" w:eastAsia="黑体" w:cstheme="minorBidi"/>
      <w:sz w:val="32"/>
    </w:rPr>
  </w:style>
  <w:style w:type="paragraph" w:styleId="3">
    <w:name w:val="heading 2"/>
    <w:basedOn w:val="1"/>
    <w:next w:val="1"/>
    <w:link w:val="33"/>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34"/>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46"/>
    <w:semiHidden/>
    <w:unhideWhenUsed/>
    <w:qFormat/>
    <w:uiPriority w:val="0"/>
    <w:pPr>
      <w:keepNext/>
      <w:numPr>
        <w:ilvl w:val="0"/>
        <w:numId w:val="2"/>
      </w:numPr>
      <w:spacing w:line="400" w:lineRule="atLeast"/>
      <w:ind w:left="0" w:right="0" w:rightChars="0" w:firstLine="0" w:firstLineChars="0"/>
      <w:jc w:val="left"/>
      <w:outlineLvl w:val="3"/>
    </w:pPr>
  </w:style>
  <w:style w:type="paragraph" w:styleId="6">
    <w:name w:val="heading 5"/>
    <w:next w:val="7"/>
    <w:semiHidden/>
    <w:unhideWhenUsed/>
    <w:qFormat/>
    <w:uiPriority w:val="0"/>
    <w:pPr>
      <w:numPr>
        <w:ilvl w:val="4"/>
        <w:numId w:val="3"/>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3"/>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3"/>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3"/>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3"/>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1"/>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uiPriority w:val="0"/>
    <w:rPr>
      <w:sz w:val="24"/>
    </w:rPr>
  </w:style>
  <w:style w:type="paragraph" w:styleId="22">
    <w:name w:val="Title"/>
    <w:basedOn w:val="1"/>
    <w:next w:val="1"/>
    <w:link w:val="52"/>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paragraph" w:customStyle="1" w:styleId="26">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character" w:customStyle="1" w:styleId="27">
    <w:name w:val="标题 1 Char"/>
    <w:link w:val="2"/>
    <w:qFormat/>
    <w:uiPriority w:val="0"/>
    <w:rPr>
      <w:rFonts w:ascii="Times New Roman" w:hAnsi="Times New Roman" w:eastAsia="宋体" w:cs="宋体"/>
      <w:b/>
      <w:snapToGrid w:val="0"/>
      <w:color w:val="000000"/>
      <w:kern w:val="2"/>
      <w:sz w:val="36"/>
      <w:szCs w:val="24"/>
      <w:lang w:eastAsia="zh-CN"/>
    </w:rPr>
  </w:style>
  <w:style w:type="paragraph" w:customStyle="1" w:styleId="28">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29">
    <w:name w:val="目录"/>
    <w:basedOn w:val="1"/>
    <w:next w:val="1"/>
    <w:link w:val="30"/>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0">
    <w:name w:val="目录 Char"/>
    <w:link w:val="29"/>
    <w:qFormat/>
    <w:uiPriority w:val="0"/>
    <w:rPr>
      <w:rFonts w:ascii="Times New Roman" w:hAnsi="Times New Roman" w:eastAsia="宋体"/>
      <w:b/>
      <w:bCs/>
      <w:sz w:val="36"/>
      <w:szCs w:val="44"/>
    </w:rPr>
  </w:style>
  <w:style w:type="paragraph" w:customStyle="1" w:styleId="31">
    <w:name w:val="目录1"/>
    <w:basedOn w:val="14"/>
    <w:next w:val="29"/>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2">
    <w:name w:val="图序与图名"/>
    <w:basedOn w:val="1"/>
    <w:link w:val="57"/>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character" w:customStyle="1" w:styleId="33">
    <w:name w:val="标题 2 Char"/>
    <w:link w:val="3"/>
    <w:qFormat/>
    <w:uiPriority w:val="0"/>
    <w:rPr>
      <w:rFonts w:ascii="Times New Roman" w:hAnsi="Times New Roman" w:eastAsia="宋体" w:cs="宋体"/>
      <w:kern w:val="2"/>
      <w:sz w:val="28"/>
      <w:szCs w:val="24"/>
      <w:lang w:val="en-US" w:eastAsia="zh-CN" w:bidi="ar-SA"/>
    </w:rPr>
  </w:style>
  <w:style w:type="character" w:customStyle="1" w:styleId="34">
    <w:name w:val="标题 3 Char"/>
    <w:link w:val="4"/>
    <w:qFormat/>
    <w:uiPriority w:val="0"/>
    <w:rPr>
      <w:rFonts w:ascii="Times New Roman" w:hAnsi="Times New Roman" w:eastAsia="宋体" w:cs="宋体"/>
      <w:kern w:val="2"/>
      <w:sz w:val="28"/>
      <w:szCs w:val="24"/>
      <w:lang w:eastAsia="zh-CN"/>
    </w:rPr>
  </w:style>
  <w:style w:type="paragraph" w:customStyle="1" w:styleId="35">
    <w:name w:val="样式3"/>
    <w:basedOn w:val="1"/>
    <w:qFormat/>
    <w:uiPriority w:val="0"/>
    <w:pPr>
      <w:ind w:firstLine="0" w:firstLineChars="0"/>
    </w:pPr>
    <w:rPr>
      <w:rFonts w:hint="eastAsia"/>
      <w:lang w:val="zh-CN"/>
    </w:rPr>
  </w:style>
  <w:style w:type="paragraph" w:customStyle="1" w:styleId="36">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7">
    <w:name w:val="样式7"/>
    <w:basedOn w:val="1"/>
    <w:qFormat/>
    <w:uiPriority w:val="0"/>
    <w:pPr>
      <w:ind w:firstLine="0" w:firstLineChars="0"/>
      <w:jc w:val="center"/>
    </w:pPr>
    <w:rPr>
      <w:rFonts w:hint="eastAsia" w:ascii="宋体" w:hAnsi="宋体" w:eastAsia="宋体"/>
      <w:szCs w:val="22"/>
    </w:rPr>
  </w:style>
  <w:style w:type="paragraph" w:customStyle="1" w:styleId="38">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39">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0">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1">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2">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3">
    <w:name w:val="图题"/>
    <w:basedOn w:val="1"/>
    <w:qFormat/>
    <w:uiPriority w:val="0"/>
    <w:rPr>
      <w:rFonts w:hint="default" w:ascii="Times New Roman" w:hAnsi="Times New Roman" w:eastAsia="宋体"/>
      <w:sz w:val="21"/>
    </w:rPr>
  </w:style>
  <w:style w:type="paragraph" w:customStyle="1" w:styleId="44">
    <w:name w:val="参考文献"/>
    <w:basedOn w:val="1"/>
    <w:next w:val="1"/>
    <w:qFormat/>
    <w:uiPriority w:val="0"/>
    <w:pPr>
      <w:numPr>
        <w:ilvl w:val="0"/>
        <w:numId w:val="4"/>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5">
    <w:name w:val="参考文献正文"/>
    <w:basedOn w:val="1"/>
    <w:qFormat/>
    <w:uiPriority w:val="0"/>
    <w:pPr>
      <w:numPr>
        <w:ilvl w:val="0"/>
        <w:numId w:val="5"/>
      </w:numPr>
      <w:spacing w:before="50" w:beforeLines="50" w:after="50" w:afterLines="50"/>
    </w:pPr>
    <w:rPr>
      <w:rFonts w:hint="eastAsia"/>
    </w:rPr>
  </w:style>
  <w:style w:type="character" w:customStyle="1" w:styleId="46">
    <w:name w:val="标题 4 Char"/>
    <w:link w:val="5"/>
    <w:qFormat/>
    <w:uiPriority w:val="0"/>
    <w:rPr>
      <w:rFonts w:ascii="Times New Roman" w:hAnsi="Times New Roman" w:eastAsia="宋体" w:cs="Times New Roman"/>
      <w:snapToGrid/>
      <w:sz w:val="24"/>
      <w:szCs w:val="24"/>
      <w:lang w:val="en-US" w:eastAsia="zh-CN" w:bidi="ar-SA"/>
    </w:rPr>
  </w:style>
  <w:style w:type="paragraph" w:customStyle="1" w:styleId="47">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48">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49">
    <w:name w:val="一级标题"/>
    <w:basedOn w:val="1"/>
    <w:link w:val="50"/>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0">
    <w:name w:val="一级标题 Char"/>
    <w:link w:val="49"/>
    <w:autoRedefine/>
    <w:qFormat/>
    <w:uiPriority w:val="0"/>
    <w:rPr>
      <w:rFonts w:ascii="黑体" w:hAnsi="黑体" w:eastAsia="黑体" w:cs="Times New Roman"/>
      <w:b/>
      <w:bCs/>
      <w:kern w:val="32"/>
      <w:sz w:val="36"/>
      <w:szCs w:val="36"/>
    </w:rPr>
  </w:style>
  <w:style w:type="character" w:customStyle="1" w:styleId="51">
    <w:name w:val="页脚 字符"/>
    <w:link w:val="17"/>
    <w:qFormat/>
    <w:uiPriority w:val="99"/>
    <w:rPr>
      <w:rFonts w:ascii="Times New Roman" w:hAnsi="Times New Roman" w:eastAsia="宋体"/>
      <w:sz w:val="18"/>
    </w:rPr>
  </w:style>
  <w:style w:type="character" w:customStyle="1" w:styleId="52">
    <w:name w:val="标题 Char"/>
    <w:link w:val="22"/>
    <w:qFormat/>
    <w:uiPriority w:val="0"/>
    <w:rPr>
      <w:rFonts w:ascii="等线 Light" w:hAnsi="等线 Light" w:eastAsia="宋体"/>
      <w:b/>
      <w:bCs/>
      <w:kern w:val="2"/>
      <w:sz w:val="32"/>
      <w:szCs w:val="32"/>
    </w:rPr>
  </w:style>
  <w:style w:type="paragraph" w:customStyle="1" w:styleId="53">
    <w:name w:val="题标"/>
    <w:basedOn w:val="1"/>
    <w:next w:val="1"/>
    <w:qFormat/>
    <w:uiPriority w:val="0"/>
    <w:pPr>
      <w:keepNext/>
      <w:keepLines/>
      <w:numPr>
        <w:ilvl w:val="0"/>
        <w:numId w:val="6"/>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4">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5">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6">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7">
    <w:name w:val="图序与图名 Char"/>
    <w:link w:val="32"/>
    <w:qFormat/>
    <w:uiPriority w:val="0"/>
    <w:rPr>
      <w:rFonts w:ascii="宋体" w:hAnsi="宋体" w:eastAsia="宋体" w:cs="宋体"/>
      <w:spacing w:val="-2"/>
      <w:sz w:val="21"/>
      <w:szCs w:val="20"/>
    </w:rPr>
  </w:style>
  <w:style w:type="paragraph" w:customStyle="1" w:styleId="58">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59">
    <w:name w:val="图序"/>
    <w:basedOn w:val="1"/>
    <w:qFormat/>
    <w:uiPriority w:val="0"/>
    <w:pPr>
      <w:spacing w:line="240" w:lineRule="auto"/>
      <w:jc w:val="center"/>
    </w:pPr>
    <w:rPr>
      <w:rFonts w:hint="default" w:ascii="Times New Roman" w:hAnsi="Times New Roman" w:eastAsia="黑体" w:cs="Times New Roman"/>
      <w:sz w:val="21"/>
    </w:rPr>
  </w:style>
  <w:style w:type="paragraph" w:customStyle="1" w:styleId="60">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1">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 w:type="paragraph" w:customStyle="1" w:styleId="62">
    <w:name w:val="正文部分"/>
    <w:basedOn w:val="1"/>
    <w:qFormat/>
    <w:uiPriority w:val="0"/>
    <w:pPr>
      <w:numPr>
        <w:ilvl w:val="0"/>
        <w:numId w:val="7"/>
      </w:numPr>
      <w:spacing w:line="400" w:lineRule="exact"/>
      <w:ind w:left="0" w:firstLine="560" w:firstLineChars="200"/>
      <w:jc w:val="both"/>
    </w:pPr>
    <w:rPr>
      <w:bCs/>
    </w:rPr>
  </w:style>
  <w:style w:type="paragraph" w:customStyle="1" w:styleId="63">
    <w:name w:val="样式14"/>
    <w:basedOn w:val="1"/>
    <w:qFormat/>
    <w:uiPriority w:val="0"/>
    <w:pPr>
      <w:ind w:firstLine="560" w:firstLineChars="200"/>
    </w:pPr>
    <w:rPr>
      <w:rFonts w:ascii="Times New Roman" w:hAnsi="Times New Roman"/>
    </w:rPr>
  </w:style>
  <w:style w:type="paragraph" w:customStyle="1" w:styleId="64">
    <w:name w:val="图标"/>
    <w:basedOn w:val="1"/>
    <w:uiPriority w:val="0"/>
    <w:pPr>
      <w:ind w:firstLine="0" w:firstLineChars="0"/>
      <w:jc w:val="center"/>
    </w:pPr>
    <w:rPr>
      <w:rFonts w:ascii="Times New Roman" w:hAnsi="Times New Roman" w:eastAsia="宋体"/>
      <w:b/>
      <w:sz w:val="21"/>
    </w:rPr>
  </w:style>
  <w:style w:type="paragraph" w:customStyle="1" w:styleId="65">
    <w:name w:val="正文部分。"/>
    <w:basedOn w:val="1"/>
    <w:qFormat/>
    <w:uiPriority w:val="0"/>
    <w:pPr>
      <w:spacing w:line="360" w:lineRule="auto"/>
      <w:ind w:firstLine="360" w:firstLineChars="200"/>
      <w:jc w:val="left"/>
    </w:pPr>
    <w:rPr>
      <w:rFonts w:hint="eastAsia" w:ascii="宋体" w:hAnsi="宋体" w:eastAsia="宋体" w:cs="宋体"/>
      <w:sz w:val="24"/>
    </w:rPr>
  </w:style>
  <w:style w:type="paragraph" w:customStyle="1" w:styleId="66">
    <w:name w:val="正文部分，"/>
    <w:basedOn w:val="1"/>
    <w:qFormat/>
    <w:uiPriority w:val="0"/>
    <w:pPr>
      <w:spacing w:line="360" w:lineRule="auto"/>
      <w:ind w:firstLine="560" w:firstLineChars="200"/>
    </w:pPr>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235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Dirge°</cp:lastModifiedBy>
  <dcterms:modified xsi:type="dcterms:W3CDTF">2026-06-22T08:00:46Z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93E2341044554BCB916DCF4C663B1711_12</vt:lpwstr>
  </property>
  <property fmtid="{D5CDD505-2E9C-101B-9397-08002B2CF9AE}" pid="4" name="KSOTemplateDocerSaveRecord">
    <vt:lpwstr>eyJoZGlkIjoiNDViMDI0MDczYTQ2ZWNmYjBkZTY5ZTVjOTVhNzEzYmYiLCJ1c2VySWQiOiIzMTY1NzIwNTQifQ==</vt:lpwstr>
  </property>
</Properties>
</file>