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14F7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2026年4月17日，中国人民银行新疆维吾尔自治区分行发布的一纸罚单，让银行科技条线第一次站到了聚光灯下。</w:t>
      </w:r>
    </w:p>
    <w:p w14:paraId="737336B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哈密市商业银行因违反支付结算业务管理规定、违反网络安全与数据安全管理规定、违反反假货币业务管理规定、违反征信管理规定以及违反反洗钱管理规定等5项违规，被警告并罚款383.6万元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"https://www.secrss.com/articles/89607"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E25D06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罚单金额在动辄千万的行业顶格罚单面前并不惹眼，真正的特殊之处在罚单末尾</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同时被罚的两个人中，信息科技部的梁某鹏因对违反网络安全与数据安全管理规定的违法行为负有责任，被罚款1万元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"https://www.secrss.com/articles/89607"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46F39A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这不是该行存在网络安全漏洞这种泛泛而谈的机构罚单，而是精确到信息科技部的具体人员</w:t>
      </w:r>
      <w:r>
        <w:rPr>
          <w:rFonts w:hint="eastAsia" w:ascii="Segoe UI" w:hAnsi="Segoe UI" w:eastAsia="宋体" w:cs="Segoe UI"/>
          <w:b/>
          <w:bCs/>
          <w:i w:val="0"/>
          <w:iCs w:val="0"/>
          <w:caps w:val="0"/>
          <w:color w:val="0F1115"/>
          <w:spacing w:val="0"/>
          <w:sz w:val="19"/>
          <w:szCs w:val="19"/>
          <w:shd w:val="clear" w:fill="FFFFFF"/>
          <w:lang w:eastAsia="zh-CN"/>
        </w:rPr>
        <w:t>，</w:t>
      </w:r>
      <w:r>
        <w:rPr>
          <w:rFonts w:hint="default" w:ascii="Segoe UI" w:hAnsi="Segoe UI" w:eastAsia="Segoe UI" w:cs="Segoe UI"/>
          <w:b/>
          <w:bCs/>
          <w:i w:val="0"/>
          <w:iCs w:val="0"/>
          <w:caps w:val="0"/>
          <w:color w:val="0F1115"/>
          <w:spacing w:val="0"/>
          <w:sz w:val="19"/>
          <w:szCs w:val="19"/>
          <w:shd w:val="clear" w:fill="FFFFFF"/>
        </w:rPr>
        <w:t>写代码的、管服务器的、做运维的，名字上了央行的行政处罚决定书。</w:t>
      </w: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3"/>
        <w:gridCol w:w="1198"/>
        <w:gridCol w:w="1326"/>
        <w:gridCol w:w="2568"/>
        <w:gridCol w:w="2508"/>
      </w:tblGrid>
      <w:tr w14:paraId="5D7E0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31" w:type="pct"/>
            <w:tcBorders>
              <w:top w:val="single" w:color="FFFFFF" w:sz="4" w:space="0"/>
              <w:left w:val="single" w:color="FFFFFF" w:sz="4" w:space="0"/>
              <w:bottom w:val="single" w:color="FFFFFF" w:sz="4" w:space="0"/>
              <w:right w:val="single" w:color="FFFFFF" w:sz="4" w:space="0"/>
              <w:tl2br w:val="nil"/>
            </w:tcBorders>
            <w:shd w:val="clear" w:color="auto" w:fill="4874CB"/>
            <w:tcMar>
              <w:top w:w="120" w:type="dxa"/>
              <w:left w:w="0" w:type="dxa"/>
              <w:bottom w:w="120" w:type="dxa"/>
              <w:right w:w="192" w:type="dxa"/>
            </w:tcMar>
            <w:vAlign w:val="center"/>
          </w:tcPr>
          <w:p w14:paraId="10D923D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季度</w:t>
            </w:r>
          </w:p>
        </w:tc>
        <w:tc>
          <w:tcPr>
            <w:tcW w:w="704"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6F36ACCE">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被罚银行数量</w:t>
            </w:r>
          </w:p>
        </w:tc>
        <w:tc>
          <w:tcPr>
            <w:tcW w:w="779"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25D99BA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科技类机构罚单</w:t>
            </w:r>
          </w:p>
        </w:tc>
        <w:tc>
          <w:tcPr>
            <w:tcW w:w="1509"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68BBCCB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被"双罚"条数</w:t>
            </w:r>
          </w:p>
        </w:tc>
        <w:tc>
          <w:tcPr>
            <w:tcW w:w="1474" w:type="pct"/>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6B619E1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被罚科技人员</w:t>
            </w:r>
          </w:p>
        </w:tc>
      </w:tr>
      <w:tr w14:paraId="0735D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3FB315A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2026年1月</w:t>
            </w:r>
          </w:p>
        </w:tc>
        <w:tc>
          <w:tcPr>
            <w:tcW w:w="70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770C69C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12家</w:t>
            </w:r>
          </w:p>
        </w:tc>
        <w:tc>
          <w:tcPr>
            <w:tcW w:w="779"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29BAA89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11张</w:t>
            </w:r>
          </w:p>
        </w:tc>
        <w:tc>
          <w:tcPr>
            <w:tcW w:w="1509"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1D0F9A2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1条（石狮农商银行）</w:t>
            </w:r>
          </w:p>
        </w:tc>
        <w:tc>
          <w:tcPr>
            <w:tcW w:w="147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7F3E296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1人（信息技术总监）</w:t>
            </w:r>
          </w:p>
        </w:tc>
      </w:tr>
      <w:tr w14:paraId="1B8EA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FFFFFF" w:sz="4" w:space="0"/>
              <w:left w:val="single" w:color="FFFFFF" w:sz="4" w:space="0"/>
              <w:bottom w:val="single" w:color="FFFFFF" w:sz="4" w:space="0"/>
              <w:right w:val="single" w:color="FFFFFF" w:sz="4" w:space="0"/>
            </w:tcBorders>
            <w:shd w:val="clear" w:color="auto" w:fill="DAE3F5"/>
            <w:tcMar>
              <w:top w:w="120" w:type="dxa"/>
              <w:left w:w="0" w:type="dxa"/>
              <w:bottom w:w="120" w:type="dxa"/>
              <w:right w:w="192" w:type="dxa"/>
            </w:tcMar>
            <w:vAlign w:val="center"/>
          </w:tcPr>
          <w:p w14:paraId="68C8056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2026年2月</w:t>
            </w:r>
          </w:p>
        </w:tc>
        <w:tc>
          <w:tcPr>
            <w:tcW w:w="704"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323E3A8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14家</w:t>
            </w:r>
          </w:p>
        </w:tc>
        <w:tc>
          <w:tcPr>
            <w:tcW w:w="779"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59F1CF2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14张</w:t>
            </w:r>
          </w:p>
        </w:tc>
        <w:tc>
          <w:tcPr>
            <w:tcW w:w="1509"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3C33D71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2条（瑞丰农商银行、北京农商银行）</w:t>
            </w:r>
          </w:p>
        </w:tc>
        <w:tc>
          <w:tcPr>
            <w:tcW w:w="1474" w:type="pct"/>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0" w:type="dxa"/>
            </w:tcMar>
            <w:vAlign w:val="center"/>
          </w:tcPr>
          <w:p w14:paraId="2886E27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2人（科技部员工、运行维护中心员工）</w:t>
            </w:r>
          </w:p>
        </w:tc>
      </w:tr>
      <w:tr w14:paraId="1472E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0CA2E42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2026年3月</w:t>
            </w:r>
          </w:p>
        </w:tc>
        <w:tc>
          <w:tcPr>
            <w:tcW w:w="70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31BDB08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21家</w:t>
            </w:r>
          </w:p>
        </w:tc>
        <w:tc>
          <w:tcPr>
            <w:tcW w:w="779"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508BB00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21张</w:t>
            </w:r>
          </w:p>
        </w:tc>
        <w:tc>
          <w:tcPr>
            <w:tcW w:w="1509"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6D0E196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c>
          <w:tcPr>
            <w:tcW w:w="1474" w:type="pct"/>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287E3B6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w:t>
            </w:r>
          </w:p>
        </w:tc>
      </w:tr>
    </w:tbl>
    <w:p w14:paraId="717A145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同一季度的94张科技类罚单中，单独处罚机构的86张，同时处罚机构与个人的仅3张，单纯处罚个人的5张</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"https://www.gm7.org/archives/88259"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4E36E2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每20张科技类罚单里，只有不到</w:t>
      </w:r>
      <w:r>
        <w:rPr>
          <w:rFonts w:hint="eastAsia" w:ascii="Segoe UI" w:hAnsi="Segoe UI" w:eastAsia="宋体" w:cs="Segoe UI"/>
          <w:i w:val="0"/>
          <w:iCs w:val="0"/>
          <w:caps w:val="0"/>
          <w:color w:val="0F1115"/>
          <w:spacing w:val="0"/>
          <w:sz w:val="19"/>
          <w:szCs w:val="19"/>
          <w:highlight w:val="yellow"/>
          <w:shd w:val="clear" w:fill="FFFFFF"/>
          <w:lang w:val="en-US" w:eastAsia="zh-CN"/>
        </w:rPr>
        <w:t>2</w:t>
      </w:r>
      <w:r>
        <w:rPr>
          <w:rFonts w:hint="default" w:ascii="Segoe UI" w:hAnsi="Segoe UI" w:eastAsia="Segoe UI" w:cs="Segoe UI"/>
          <w:i w:val="0"/>
          <w:iCs w:val="0"/>
          <w:caps w:val="0"/>
          <w:color w:val="0F1115"/>
          <w:spacing w:val="0"/>
          <w:sz w:val="19"/>
          <w:szCs w:val="19"/>
          <w:highlight w:val="yellow"/>
          <w:shd w:val="clear" w:fill="FFFFFF"/>
        </w:rPr>
        <w:t>张</w:t>
      </w:r>
      <w:r>
        <w:rPr>
          <w:rFonts w:hint="default" w:ascii="Segoe UI" w:hAnsi="Segoe UI" w:eastAsia="Segoe UI" w:cs="Segoe UI"/>
          <w:i w:val="0"/>
          <w:iCs w:val="0"/>
          <w:caps w:val="0"/>
          <w:color w:val="0F1115"/>
          <w:spacing w:val="0"/>
          <w:sz w:val="19"/>
          <w:szCs w:val="19"/>
          <w:shd w:val="clear" w:fill="FFFFFF"/>
        </w:rPr>
        <w:t>穿透到了个人。哈密市商业银行的1万元罚单，属于这极少数中的一张。</w:t>
      </w:r>
    </w:p>
    <w:p w14:paraId="5B6664B0">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五大类违规并行，383.6万罚单与两次通报</w:t>
      </w:r>
    </w:p>
    <w:p w14:paraId="776ECEF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先把罚单全貌看清楚。</w:t>
      </w:r>
    </w:p>
    <w:p w14:paraId="159F3F9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根据中国人民银行新疆维吾尔自治区分行公布的行政处罚决定书，哈密市商业银行的问题并非单一违规，而是支付结算、网络安全与数据安全、反假货币、征信管理、反洗钱五大监管条线全线触雷</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"https://finance.eastmoney.com/a/202604193709995565.html"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。383.6万元的罚单在城市商业银行中处于偏重档次。</w:t>
      </w:r>
    </w:p>
    <w:p w14:paraId="49EB69E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但这并非哈密市商业银行首次在科技合规领域出问题。2025年12月，中国互联网金融协会发布《移动金融App自律检查情况通告》，哈密市商业银行旗下的哈密市商业银行App因在非现场检查中被发现存在合规问题被点名通报</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"https://finance.eastmoney.com/a/202604193709995565.html"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。从App合规问题被通报，到网络安全与数据安全管理被罚，前后间隔不过4个月。</w:t>
      </w:r>
    </w:p>
    <w:p w14:paraId="5146C4A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两次敲打指向的是同一个核心问题</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系统开发和运维管理存在体系性短板。</w:t>
      </w:r>
    </w:p>
    <w:p w14:paraId="35030D0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App端暴露的是应用层不合规，网络安全的漏洞则更根本：</w:t>
      </w:r>
      <w:r>
        <w:rPr>
          <w:rFonts w:hint="default" w:ascii="Segoe UI" w:hAnsi="Segoe UI" w:eastAsia="Segoe UI" w:cs="Segoe UI"/>
          <w:b/>
          <w:bCs/>
          <w:i w:val="0"/>
          <w:iCs w:val="0"/>
          <w:caps w:val="0"/>
          <w:color w:val="0F1115"/>
          <w:spacing w:val="0"/>
          <w:sz w:val="19"/>
          <w:szCs w:val="19"/>
          <w:shd w:val="clear" w:fill="FFFFFF"/>
        </w:rPr>
        <w:t>未及时修复已知的系统和应用漏洞、未严格落实数据安全管控要求、未按照规定留存相关日志、关键系统上线前未完成网络安全评估</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"https://m.mpaypass.com.cn/news/202603/18114546.html"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。应用层的功能违规和管理层的安全责任落实不到位，是同一枚硬币的两面。</w:t>
      </w:r>
    </w:p>
    <w:p w14:paraId="182B3FB9">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科技人员占被罚人数的极少数，但问责链条长得多</w:t>
      </w:r>
    </w:p>
    <w:p w14:paraId="215430C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在一季度94张科技类罚单中，仅86张是单罚机构，被罚银行不会被追到具体谁担责</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这是过去很长一段时间里网络安全/数据安全处罚的常态</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"http://security.zone.ci/secarticles/wx/520804.html" \l "respond"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484693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双罚之所以罕见，是因为科技类违规和信贷违规、反洗钱违规不同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它很难精确归因到某一个人。一个系统漏洞的存在，可能涉及到开发人员、运维人员、安全测试人员、外包服务商、管理层决策等多个环节。罚个人，必须先厘清责任归属，而科技系统的责任链条远比信贷审批复杂。</w:t>
      </w:r>
    </w:p>
    <w:p w14:paraId="10DB784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但极少数被追责的案例，已经勾勒出了问责链条的完整轮廓。广东大埔农商银行的信息科技与创新发展部副总经理罗某某，对违反金融科技业务管理有关规定负有责任，被罚2万元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"https://www.mpaypass.com.cn/news/202604/14114842.html"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7A876F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北京农商银行的运行维护中心王某志，对违反数据安全管理相关规定负有责任，被罚14万元，罚金远超一般的科技人员处罚</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"https://www.sohu.com/a/991596616_479806?scm=10001.1035_13-100000-0_922.0-0.0-1-0-0-0.a2_5X162X1920&amp;spm=smpc.home.city-news.3.1772433896772LDvyqRd_1467"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。浙江绍兴瑞丰农商银行的金融科技部俞某汉，因违反数据安全管理规定被罚1.5万元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"https://m.mpaypass.com.cn/news/202603/18114546.html"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2AB461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从乌海银行金融科技部总经理因未上报网络安全事件被罚0.6万元，到北京农商银行运维中心人员被罚14万元，再到哈密市商业银行信息科技部人员被罚1万元</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被追责的岗位从部门负责人延伸到基层执行人员，处罚金额从几千元到十几万元不等</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"https://www.mpaypass.com.cn/news/202604/14114842.html"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42261B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互联网行业的逻辑是代码无罪，管理者有责</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出了问题问责的是产品经理和部门负责人。银行业正在走的完全是另一条路：责任人包括写代码的工程师，也包括外包服务商，也不排除还包括科技条线的管理层。问责链条正在被拉长，从机构穿透到个人，从管理层穿透到执行层。</w:t>
      </w:r>
    </w:p>
    <w:p w14:paraId="0BA7DAEA">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eastAsia" w:ascii="Segoe UI" w:hAnsi="Segoe UI" w:eastAsia="宋体" w:cs="Segoe UI"/>
          <w:b/>
          <w:bCs/>
          <w:caps w:val="0"/>
          <w:color w:val="0F1115"/>
          <w:spacing w:val="0"/>
          <w:sz w:val="26"/>
          <w:szCs w:val="26"/>
          <w:lang w:eastAsia="zh-CN"/>
        </w:rPr>
      </w:pPr>
      <w:r>
        <w:rPr>
          <w:rFonts w:hint="default" w:ascii="Segoe UI" w:hAnsi="Segoe UI" w:eastAsia="Segoe UI" w:cs="Segoe UI"/>
          <w:b/>
          <w:bCs/>
          <w:caps w:val="0"/>
          <w:color w:val="0F1115"/>
          <w:spacing w:val="0"/>
          <w:sz w:val="26"/>
          <w:szCs w:val="26"/>
          <w:shd w:val="clear" w:fill="FFFFFF"/>
        </w:rPr>
        <w:t>《网络安全法》修订落地，法律和监管双重收紧</w:t>
      </w:r>
    </w:p>
    <w:p w14:paraId="2F0EE50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科技人员被罚从极少数走到常态化的边缘，核心推力在2026年初的两项制度变量。</w:t>
      </w:r>
    </w:p>
    <w:p w14:paraId="600C499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第一项是行政法规。2025年10月，全国人大常委会通过《网络安全法》修订，并于2026年1月1日起施行。修订后的罚则直接挂钩营收比例</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对违反网络安全保护义务、造成数据泄露等严重后果的行为，罚款上限提升至5000万元或上一年度营收的千分之五。法律修订的威慑力不在于上限有多高，而在于将处罚对象从机构扩展为组织和个人。</w:t>
      </w:r>
    </w:p>
    <w:p w14:paraId="609A38C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第二项是行业自律。在《网络安全法》修订施行的同一时间点，监管部门开始对金融科技违规行为全面采用双罚机制</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既罚机构，也罚个人。</w:t>
      </w:r>
    </w:p>
    <w:p w14:paraId="5227E3A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与此同时，金融监管部门持续强化数据和网络安全管理。2026年一季度全行业625条处罚记录中，涉及数据安全和网络安全的罚单占了近半壁江山。</w:t>
      </w:r>
    </w:p>
    <w:p w14:paraId="6F0D0BA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季度罚单的逐月攀升印证了这一趋势</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从1月的12家银行被罚，到2月的14家，再到3月的21家</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"https://m.mpaypass.com.cn/news/202603/18114546.html"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。双罚是结果，不是原因。真正发生变化的是制度底层</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网络安全的问责主体，从机构意志变成了自然人责任。</w:t>
      </w:r>
    </w:p>
    <w:p w14:paraId="64C1B5A5">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罚单机制背后的信号收紧，写代码不再是免罪金牌</w:t>
      </w:r>
    </w:p>
    <w:p w14:paraId="4C74B42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科技人员从罚不到变成被追责，本质上是一次问责体系的转向。</w:t>
      </w:r>
    </w:p>
    <w:p w14:paraId="2A98FB0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过去银行的科技合规处于有约束、难落实的模糊状态。系统出现安全漏洞、未及时修补、未对第三方进行安全管理、甚至发现平台数据泄露后未及时上报</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这些问题对应的都是科技系统的复杂性，但安全事件背后的当事人很少被直接追责。合规文件里永远写着信息科技部负责网络安全，但从来没有哪个程序员因为代码漏洞被央行开过罚单。</w:t>
      </w:r>
    </w:p>
    <w:p w14:paraId="5E7714E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哈密的这张1万元罚单，从金额上来说更像是一个信号束</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它不追求惩戒的力度，而是追求追责的象征意义。更重要的是，它把科技人员纳入了监管视野：数据安全的合规不再只是文件写到位就行，而是要追溯到系统测试、上线的执行层面。</w:t>
      </w:r>
    </w:p>
    <w:p w14:paraId="7F8B689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与此同时，银行科技人员的灰色地带被一步步压缩。机房巡检值班表造假、等保测评走过场、未做开发阶段的渗透测试、用户数据脱敏不完整、未能阻止SQL注入攻击致损</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这些过去会被当做内部考核扣分的行为，如果被监管认定为直接责任人违反规定，可能不再只是扣绩效的问题，而会直接进入个人征信和职业生涯的负面清单。</w:t>
      </w:r>
      <w:bookmarkStart w:id="0" w:name="_GoBack"/>
      <w:bookmarkEnd w:id="0"/>
    </w:p>
    <w:tbl>
      <w:tblPr>
        <w:tblStyle w:val="24"/>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4"/>
        <w:gridCol w:w="3359"/>
        <w:gridCol w:w="4601"/>
      </w:tblGrid>
      <w:tr w14:paraId="7067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FFFFFF" w:sz="4" w:space="0"/>
              <w:left w:val="single" w:color="FFFFFF" w:sz="4" w:space="0"/>
              <w:bottom w:val="single" w:color="FFFFFF" w:sz="4" w:space="0"/>
              <w:right w:val="single" w:color="FFFFFF" w:sz="4" w:space="0"/>
              <w:tl2br w:val="nil"/>
            </w:tcBorders>
            <w:shd w:val="clear" w:color="auto" w:fill="4874CB"/>
            <w:tcMar>
              <w:top w:w="120" w:type="dxa"/>
              <w:left w:w="0" w:type="dxa"/>
              <w:bottom w:w="120" w:type="dxa"/>
              <w:right w:w="192" w:type="dxa"/>
            </w:tcMar>
            <w:vAlign w:val="center"/>
          </w:tcPr>
          <w:p w14:paraId="2CB20D3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对比维度</w:t>
            </w:r>
          </w:p>
        </w:tc>
        <w:tc>
          <w:tcPr>
            <w:tcW w:w="0" w:type="auto"/>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1798505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过去（2025年前）</w:t>
            </w:r>
          </w:p>
        </w:tc>
        <w:tc>
          <w:tcPr>
            <w:tcW w:w="0" w:type="auto"/>
            <w:tcBorders>
              <w:top w:val="single" w:color="FFFFFF" w:sz="4" w:space="0"/>
              <w:left w:val="single" w:color="FFFFFF" w:sz="4" w:space="0"/>
              <w:bottom w:val="single" w:color="FFFFFF" w:sz="4" w:space="0"/>
              <w:right w:val="single" w:color="FFFFFF" w:sz="4" w:space="0"/>
            </w:tcBorders>
            <w:shd w:val="clear" w:color="auto" w:fill="4874CB"/>
            <w:tcMar>
              <w:top w:w="120" w:type="dxa"/>
              <w:left w:w="192" w:type="dxa"/>
              <w:bottom w:w="120" w:type="dxa"/>
              <w:right w:w="192" w:type="dxa"/>
            </w:tcMar>
            <w:vAlign w:val="center"/>
          </w:tcPr>
          <w:p w14:paraId="3073BB2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color w:val="FFFFFF"/>
                <w:sz w:val="18"/>
                <w:szCs w:val="18"/>
              </w:rPr>
            </w:pPr>
            <w:r>
              <w:rPr>
                <w:rFonts w:hint="default" w:ascii="Segoe UI" w:hAnsi="Segoe UI" w:eastAsia="Segoe UI" w:cs="Segoe UI"/>
                <w:b/>
                <w:snapToGrid w:val="0"/>
                <w:color w:val="FFFFFF"/>
                <w:kern w:val="0"/>
                <w:sz w:val="18"/>
                <w:szCs w:val="18"/>
                <w:lang w:val="en-US" w:eastAsia="zh-CN" w:bidi="ar"/>
              </w:rPr>
              <w:t>现在（2026年起）</w:t>
            </w:r>
          </w:p>
        </w:tc>
      </w:tr>
      <w:tr w14:paraId="2EC2F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3A47722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处罚对象</w:t>
            </w:r>
          </w:p>
        </w:tc>
        <w:tc>
          <w:tcPr>
            <w:tcW w:w="0" w:type="auto"/>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5723026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以罚机构为主，个人极少被追责</w:t>
            </w:r>
          </w:p>
        </w:tc>
        <w:tc>
          <w:tcPr>
            <w:tcW w:w="0" w:type="auto"/>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220A948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双罚制全面推行，科技人员被追责</w:t>
            </w:r>
          </w:p>
        </w:tc>
      </w:tr>
      <w:tr w14:paraId="3521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DAE3F5"/>
            <w:tcMar>
              <w:top w:w="120" w:type="dxa"/>
              <w:left w:w="0" w:type="dxa"/>
              <w:bottom w:w="120" w:type="dxa"/>
              <w:right w:w="192" w:type="dxa"/>
            </w:tcMar>
            <w:vAlign w:val="center"/>
          </w:tcPr>
          <w:p w14:paraId="19ABCC1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问责范围</w:t>
            </w:r>
          </w:p>
        </w:tc>
        <w:tc>
          <w:tcPr>
            <w:tcW w:w="0" w:type="auto"/>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2B65261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信贷审批、反洗钱等业务条线</w:t>
            </w:r>
          </w:p>
        </w:tc>
        <w:tc>
          <w:tcPr>
            <w:tcW w:w="0" w:type="auto"/>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0" w:type="dxa"/>
            </w:tcMar>
            <w:vAlign w:val="center"/>
          </w:tcPr>
          <w:p w14:paraId="2E59BCC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延伸至数据安全、网络安全科技条线</w:t>
            </w:r>
          </w:p>
        </w:tc>
      </w:tr>
      <w:tr w14:paraId="546C6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B6C8EB"/>
            <w:tcMar>
              <w:top w:w="120" w:type="dxa"/>
              <w:left w:w="0" w:type="dxa"/>
              <w:bottom w:w="120" w:type="dxa"/>
              <w:right w:w="192" w:type="dxa"/>
            </w:tcMar>
            <w:vAlign w:val="center"/>
          </w:tcPr>
          <w:p w14:paraId="58E8CB4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处罚力度</w:t>
            </w:r>
          </w:p>
        </w:tc>
        <w:tc>
          <w:tcPr>
            <w:tcW w:w="0" w:type="auto"/>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192" w:type="dxa"/>
            </w:tcMar>
            <w:vAlign w:val="center"/>
          </w:tcPr>
          <w:p w14:paraId="58B1634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几万到几十万，个人罚款罕见</w:t>
            </w:r>
          </w:p>
        </w:tc>
        <w:tc>
          <w:tcPr>
            <w:tcW w:w="0" w:type="auto"/>
            <w:tcBorders>
              <w:top w:val="single" w:color="FFFFFF" w:sz="4" w:space="0"/>
              <w:left w:val="single" w:color="FFFFFF" w:sz="4" w:space="0"/>
              <w:bottom w:val="single" w:color="FFFFFF" w:sz="4" w:space="0"/>
              <w:right w:val="single" w:color="FFFFFF" w:sz="4" w:space="0"/>
            </w:tcBorders>
            <w:shd w:val="clear" w:color="auto" w:fill="B6C8EB"/>
            <w:tcMar>
              <w:top w:w="120" w:type="dxa"/>
              <w:left w:w="192" w:type="dxa"/>
              <w:bottom w:w="120" w:type="dxa"/>
              <w:right w:w="0" w:type="dxa"/>
            </w:tcMar>
            <w:vAlign w:val="center"/>
          </w:tcPr>
          <w:p w14:paraId="2DA7AB1F">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个人罚款1万至14万，问责到具体岗位</w:t>
            </w:r>
          </w:p>
        </w:tc>
      </w:tr>
      <w:tr w14:paraId="00116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DAE3F5"/>
            <w:tcMar>
              <w:top w:w="120" w:type="dxa"/>
              <w:left w:w="0" w:type="dxa"/>
              <w:bottom w:w="120" w:type="dxa"/>
              <w:right w:w="192" w:type="dxa"/>
            </w:tcMar>
            <w:vAlign w:val="center"/>
          </w:tcPr>
          <w:p w14:paraId="3298388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法规支撑</w:t>
            </w:r>
          </w:p>
        </w:tc>
        <w:tc>
          <w:tcPr>
            <w:tcW w:w="0" w:type="auto"/>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192" w:type="dxa"/>
            </w:tcMar>
            <w:vAlign w:val="center"/>
          </w:tcPr>
          <w:p w14:paraId="4C30CC3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《网络安全法》旧版，罚则偏弱</w:t>
            </w:r>
          </w:p>
        </w:tc>
        <w:tc>
          <w:tcPr>
            <w:tcW w:w="0" w:type="auto"/>
            <w:tcBorders>
              <w:top w:val="single" w:color="FFFFFF" w:sz="4" w:space="0"/>
              <w:left w:val="single" w:color="FFFFFF" w:sz="4" w:space="0"/>
              <w:bottom w:val="single" w:color="FFFFFF" w:sz="4" w:space="0"/>
              <w:right w:val="single" w:color="FFFFFF" w:sz="4" w:space="0"/>
            </w:tcBorders>
            <w:shd w:val="clear" w:color="auto" w:fill="DAE3F5"/>
            <w:tcMar>
              <w:top w:w="120" w:type="dxa"/>
              <w:left w:w="192" w:type="dxa"/>
              <w:bottom w:w="120" w:type="dxa"/>
              <w:right w:w="0" w:type="dxa"/>
            </w:tcMar>
            <w:vAlign w:val="center"/>
          </w:tcPr>
          <w:p w14:paraId="7AE6333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新版《网络安全法》施行，处罚主体扩展至个人</w:t>
            </w:r>
          </w:p>
        </w:tc>
      </w:tr>
    </w:tbl>
    <w:p w14:paraId="4F3141F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农商行在此轮处罚中占比接近50%，成为科技违规的重灾区</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"http://security.zone.ci/secarticles/wx/520804.html" \l "respond"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。这背后是中小银行在科技投入上的系统性短板</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安全团队人数不足、系统依赖外包、开发测试环境不隔离客户数据，每一项都可能触发监管红线。</w:t>
      </w:r>
    </w:p>
    <w:p w14:paraId="6C6F34D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0"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94</w:t>
      </w:r>
      <w:r>
        <w:rPr>
          <w:rFonts w:hint="eastAsia" w:ascii="Segoe UI" w:hAnsi="Segoe UI" w:eastAsia="宋体" w:cs="Segoe UI"/>
          <w:i w:val="0"/>
          <w:iCs w:val="0"/>
          <w:caps w:val="0"/>
          <w:color w:val="0F1115"/>
          <w:spacing w:val="0"/>
          <w:sz w:val="19"/>
          <w:szCs w:val="19"/>
          <w:shd w:val="clear" w:fill="FFFFFF"/>
          <w:lang w:val="en-US" w:eastAsia="zh-CN"/>
        </w:rPr>
        <w:t>张</w:t>
      </w:r>
      <w:r>
        <w:rPr>
          <w:rFonts w:hint="default" w:ascii="Segoe UI" w:hAnsi="Segoe UI" w:eastAsia="Segoe UI" w:cs="Segoe UI"/>
          <w:i w:val="0"/>
          <w:iCs w:val="0"/>
          <w:caps w:val="0"/>
          <w:color w:val="0F1115"/>
          <w:spacing w:val="0"/>
          <w:sz w:val="19"/>
          <w:szCs w:val="19"/>
          <w:shd w:val="clear" w:fill="FFFFFF"/>
        </w:rPr>
        <w:t>机构罚单、47家银行被罚、3个自然季度数据指向，科技人员被问责的趋势已不只是一纸罚单的个案，而是一种正在逼近的发展性态势。哈密的1万元罚单只是前哨。</w:t>
      </w:r>
    </w:p>
    <w:p w14:paraId="23F926D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0"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科技条线在监管眼中的定位已经发生变化</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技术能力不再是单纯的赋能工具，权力明确，责任也就随之明确。曾经遥不可及的警示，正在变成近在眼前的一张罚单。</w:t>
      </w:r>
    </w:p>
    <w:p w14:paraId="772AB7E8">
      <w:pPr>
        <w:keepNext w:val="0"/>
        <w:keepLines w:val="0"/>
        <w:pageBreakBefore w:val="0"/>
        <w:widowControl/>
        <w:kinsoku w:val="0"/>
        <w:wordWrap/>
        <w:overflowPunct/>
        <w:topLinePunct w:val="0"/>
        <w:autoSpaceDE w:val="0"/>
        <w:autoSpaceDN w:val="0"/>
        <w:bidi w:val="0"/>
        <w:adjustRightInd w:val="0"/>
        <w:snapToGrid w:val="0"/>
        <w:ind w:firstLine="0" w:firstLineChars="0"/>
        <w:textAlignment w:val="baseline"/>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B17FF"/>
    <w:multiLevelType w:val="singleLevel"/>
    <w:tmpl w:val="C78B17FF"/>
    <w:lvl w:ilvl="0" w:tentative="0">
      <w:start w:val="1"/>
      <w:numFmt w:val="decimal"/>
      <w:pStyle w:val="47"/>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6"/>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5"/>
      <w:lvlText w:val="图4-%1"/>
      <w:lvlJc w:val="left"/>
      <w:pPr>
        <w:tabs>
          <w:tab w:val="left" w:pos="567"/>
        </w:tabs>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15A69DF"/>
    <w:rsid w:val="01A43D9C"/>
    <w:rsid w:val="01A77B35"/>
    <w:rsid w:val="01D23333"/>
    <w:rsid w:val="01E67C51"/>
    <w:rsid w:val="020E1A24"/>
    <w:rsid w:val="02937356"/>
    <w:rsid w:val="02B60C69"/>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C72059"/>
    <w:rsid w:val="0BCB5B13"/>
    <w:rsid w:val="0BCF5FF3"/>
    <w:rsid w:val="0BD9123D"/>
    <w:rsid w:val="0BE37DF5"/>
    <w:rsid w:val="0C311396"/>
    <w:rsid w:val="0C5C5076"/>
    <w:rsid w:val="0C692CAD"/>
    <w:rsid w:val="0D681B8E"/>
    <w:rsid w:val="0D9F301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F80CB0"/>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B90824"/>
    <w:rsid w:val="19BE7C49"/>
    <w:rsid w:val="19CD1D13"/>
    <w:rsid w:val="1AB142A0"/>
    <w:rsid w:val="1AE46932"/>
    <w:rsid w:val="1B120167"/>
    <w:rsid w:val="1B841991"/>
    <w:rsid w:val="1B9510AD"/>
    <w:rsid w:val="1BE428CB"/>
    <w:rsid w:val="1BE438B9"/>
    <w:rsid w:val="1C1E21F6"/>
    <w:rsid w:val="1C250273"/>
    <w:rsid w:val="1C2F0AC3"/>
    <w:rsid w:val="1C6C2094"/>
    <w:rsid w:val="1CA0747F"/>
    <w:rsid w:val="1CCC4063"/>
    <w:rsid w:val="1CF159FF"/>
    <w:rsid w:val="1D3F0444"/>
    <w:rsid w:val="1D547AAF"/>
    <w:rsid w:val="1DAE65CA"/>
    <w:rsid w:val="1DC91D6E"/>
    <w:rsid w:val="1E2A28EC"/>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F1318"/>
    <w:rsid w:val="25391977"/>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954890"/>
    <w:rsid w:val="3DA41C67"/>
    <w:rsid w:val="3DBA2D6A"/>
    <w:rsid w:val="3DDD1B25"/>
    <w:rsid w:val="3E5A1BA6"/>
    <w:rsid w:val="3E6671CB"/>
    <w:rsid w:val="3E7C44C3"/>
    <w:rsid w:val="3EAF2378"/>
    <w:rsid w:val="3EC42F0D"/>
    <w:rsid w:val="3F162913"/>
    <w:rsid w:val="408A5219"/>
    <w:rsid w:val="40E4749D"/>
    <w:rsid w:val="41791BBD"/>
    <w:rsid w:val="41867134"/>
    <w:rsid w:val="41AB4010"/>
    <w:rsid w:val="41BF6404"/>
    <w:rsid w:val="41CC0BF5"/>
    <w:rsid w:val="422A026F"/>
    <w:rsid w:val="42884F34"/>
    <w:rsid w:val="4291098B"/>
    <w:rsid w:val="42B6747F"/>
    <w:rsid w:val="434902A0"/>
    <w:rsid w:val="43A5490C"/>
    <w:rsid w:val="43B600AD"/>
    <w:rsid w:val="44116024"/>
    <w:rsid w:val="4446233C"/>
    <w:rsid w:val="444A4106"/>
    <w:rsid w:val="45A91659"/>
    <w:rsid w:val="460F757E"/>
    <w:rsid w:val="462D6C1B"/>
    <w:rsid w:val="464553D9"/>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B91025"/>
    <w:rsid w:val="4B3A65C3"/>
    <w:rsid w:val="4B4E12A3"/>
    <w:rsid w:val="4C1415C9"/>
    <w:rsid w:val="4C3C52A0"/>
    <w:rsid w:val="4CC2216C"/>
    <w:rsid w:val="4D0E729E"/>
    <w:rsid w:val="4D29482B"/>
    <w:rsid w:val="4D5E0195"/>
    <w:rsid w:val="4DA8622E"/>
    <w:rsid w:val="4DDB2F6B"/>
    <w:rsid w:val="4E716E93"/>
    <w:rsid w:val="4EAA1EE0"/>
    <w:rsid w:val="4EBD75BF"/>
    <w:rsid w:val="4F556B17"/>
    <w:rsid w:val="50290A0F"/>
    <w:rsid w:val="503E0E60"/>
    <w:rsid w:val="50716043"/>
    <w:rsid w:val="50C647C0"/>
    <w:rsid w:val="50F42B5F"/>
    <w:rsid w:val="513244C6"/>
    <w:rsid w:val="5157600F"/>
    <w:rsid w:val="515F165B"/>
    <w:rsid w:val="52176C0D"/>
    <w:rsid w:val="521B2258"/>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7243570"/>
    <w:rsid w:val="6728083A"/>
    <w:rsid w:val="672C6851"/>
    <w:rsid w:val="6795761D"/>
    <w:rsid w:val="681A6810"/>
    <w:rsid w:val="682E257A"/>
    <w:rsid w:val="68573C08"/>
    <w:rsid w:val="68A240DF"/>
    <w:rsid w:val="68F47BF7"/>
    <w:rsid w:val="68FE7928"/>
    <w:rsid w:val="699A59FC"/>
    <w:rsid w:val="6A072332"/>
    <w:rsid w:val="6A077D43"/>
    <w:rsid w:val="6A0C1AA2"/>
    <w:rsid w:val="6A266C5C"/>
    <w:rsid w:val="6A336057"/>
    <w:rsid w:val="6A401C7B"/>
    <w:rsid w:val="6A443CD9"/>
    <w:rsid w:val="6AAE7116"/>
    <w:rsid w:val="6BAE18B0"/>
    <w:rsid w:val="6BF33F5B"/>
    <w:rsid w:val="6C2C4C83"/>
    <w:rsid w:val="6C587129"/>
    <w:rsid w:val="6D404BA8"/>
    <w:rsid w:val="6D73789E"/>
    <w:rsid w:val="6DA1107A"/>
    <w:rsid w:val="6DD65992"/>
    <w:rsid w:val="6DE45640"/>
    <w:rsid w:val="6DE73CDD"/>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56451C"/>
    <w:rsid w:val="71AC5B4C"/>
    <w:rsid w:val="71B82D06"/>
    <w:rsid w:val="721169B3"/>
    <w:rsid w:val="723E4E4F"/>
    <w:rsid w:val="72F44A27"/>
    <w:rsid w:val="73033F5A"/>
    <w:rsid w:val="738B271B"/>
    <w:rsid w:val="73D46CB4"/>
    <w:rsid w:val="73D71451"/>
    <w:rsid w:val="7410466E"/>
    <w:rsid w:val="74104F53"/>
    <w:rsid w:val="746232DB"/>
    <w:rsid w:val="74CE7B18"/>
    <w:rsid w:val="74D63BBF"/>
    <w:rsid w:val="74F457F1"/>
    <w:rsid w:val="74F8544F"/>
    <w:rsid w:val="750B05EF"/>
    <w:rsid w:val="759A6034"/>
    <w:rsid w:val="75A632A4"/>
    <w:rsid w:val="75A83AFD"/>
    <w:rsid w:val="75DF1923"/>
    <w:rsid w:val="75EA6029"/>
    <w:rsid w:val="76EE1CCF"/>
    <w:rsid w:val="77935DDC"/>
    <w:rsid w:val="77CA2A48"/>
    <w:rsid w:val="77DF4F5D"/>
    <w:rsid w:val="78024BAC"/>
    <w:rsid w:val="78192717"/>
    <w:rsid w:val="7843265A"/>
    <w:rsid w:val="786106CA"/>
    <w:rsid w:val="78C837FD"/>
    <w:rsid w:val="78D93E53"/>
    <w:rsid w:val="78DC157F"/>
    <w:rsid w:val="79652624"/>
    <w:rsid w:val="798D6205"/>
    <w:rsid w:val="79A5003A"/>
    <w:rsid w:val="7A294D85"/>
    <w:rsid w:val="7A9A1DAD"/>
    <w:rsid w:val="7AB362CC"/>
    <w:rsid w:val="7B32448A"/>
    <w:rsid w:val="7B8557C4"/>
    <w:rsid w:val="7C096DF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34"/>
    <w:qFormat/>
    <w:uiPriority w:val="0"/>
    <w:pPr>
      <w:keepNext/>
      <w:keepLines/>
      <w:tabs>
        <w:tab w:val="left" w:pos="0"/>
      </w:tabs>
      <w:spacing w:before="100" w:beforeLines="100" w:after="100" w:afterLines="100"/>
      <w:ind w:firstLine="0" w:firstLineChars="0"/>
      <w:jc w:val="center"/>
      <w:outlineLvl w:val="0"/>
    </w:pPr>
    <w:rPr>
      <w:rFonts w:eastAsia="黑体"/>
      <w:b/>
      <w:kern w:val="44"/>
      <w:sz w:val="30"/>
      <w:szCs w:val="18"/>
    </w:rPr>
  </w:style>
  <w:style w:type="paragraph" w:styleId="3">
    <w:name w:val="heading 2"/>
    <w:basedOn w:val="1"/>
    <w:next w:val="1"/>
    <w:link w:val="27"/>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8"/>
    <w:semiHidden/>
    <w:unhideWhenUsed/>
    <w:qFormat/>
    <w:uiPriority w:val="0"/>
    <w:pPr>
      <w:tabs>
        <w:tab w:val="left" w:pos="312"/>
      </w:tabs>
      <w:ind w:firstLine="0" w:firstLineChars="0"/>
      <w:jc w:val="left"/>
      <w:outlineLvl w:val="2"/>
    </w:pPr>
    <w:rPr>
      <w:rFonts w:ascii="Times New Roman" w:hAnsi="Times New Roman" w:eastAsia="黑体"/>
      <w:sz w:val="24"/>
      <w:szCs w:val="30"/>
    </w:rPr>
  </w:style>
  <w:style w:type="paragraph" w:styleId="5">
    <w:name w:val="heading 4"/>
    <w:basedOn w:val="1"/>
    <w:next w:val="6"/>
    <w:link w:val="48"/>
    <w:semiHidden/>
    <w:unhideWhenUsed/>
    <w:qFormat/>
    <w:uiPriority w:val="0"/>
    <w:pPr>
      <w:keepNext/>
      <w:keepLines/>
      <w:numPr>
        <w:ilvl w:val="3"/>
        <w:numId w:val="1"/>
      </w:numPr>
      <w:spacing w:before="10" w:beforeLines="0" w:beforeAutospacing="0" w:after="10" w:afterLines="0" w:afterAutospacing="0" w:line="360" w:lineRule="auto"/>
      <w:ind w:left="864" w:leftChars="0" w:hanging="864" w:firstLineChars="0"/>
      <w:jc w:val="left"/>
      <w:outlineLvl w:val="3"/>
    </w:pPr>
    <w:rPr>
      <w:rFonts w:ascii="Arial" w:hAnsi="Arial" w:eastAsia="黑体" w:cs="Times New Roman"/>
    </w:rPr>
  </w:style>
  <w:style w:type="paragraph" w:styleId="7">
    <w:name w:val="heading 5"/>
    <w:next w:val="6"/>
    <w:semiHidden/>
    <w:unhideWhenUsed/>
    <w:qFormat/>
    <w:uiPriority w:val="0"/>
    <w:pPr>
      <w:numPr>
        <w:ilvl w:val="4"/>
        <w:numId w:val="1"/>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3"/>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qFormat/>
    <w:uiPriority w:val="0"/>
    <w:rPr>
      <w:sz w:val="24"/>
    </w:rPr>
  </w:style>
  <w:style w:type="paragraph" w:styleId="22">
    <w:name w:val="Title"/>
    <w:basedOn w:val="1"/>
    <w:next w:val="1"/>
    <w:link w:val="54"/>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character" w:styleId="26">
    <w:name w:val="Strong"/>
    <w:basedOn w:val="25"/>
    <w:qFormat/>
    <w:uiPriority w:val="0"/>
    <w:rPr>
      <w:b/>
    </w:rPr>
  </w:style>
  <w:style w:type="character" w:customStyle="1" w:styleId="27">
    <w:name w:val="标题 2 Char"/>
    <w:link w:val="3"/>
    <w:qFormat/>
    <w:uiPriority w:val="0"/>
    <w:rPr>
      <w:rFonts w:ascii="Times New Roman" w:hAnsi="Times New Roman" w:eastAsia="宋体" w:cs="宋体"/>
      <w:kern w:val="2"/>
      <w:sz w:val="28"/>
      <w:szCs w:val="22"/>
      <w:lang w:val="en-US" w:eastAsia="zh-CN" w:bidi="ar-SA"/>
    </w:rPr>
  </w:style>
  <w:style w:type="character" w:customStyle="1" w:styleId="28">
    <w:name w:val="标题 3 Char"/>
    <w:link w:val="4"/>
    <w:qFormat/>
    <w:uiPriority w:val="0"/>
    <w:rPr>
      <w:rFonts w:ascii="Times New Roman" w:hAnsi="Times New Roman" w:eastAsia="宋体" w:cs="宋体"/>
      <w:sz w:val="28"/>
    </w:rPr>
  </w:style>
  <w:style w:type="paragraph" w:customStyle="1" w:styleId="29">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30">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31">
    <w:name w:val="样式3"/>
    <w:basedOn w:val="1"/>
    <w:qFormat/>
    <w:uiPriority w:val="0"/>
    <w:pPr>
      <w:ind w:firstLine="0" w:firstLineChars="0"/>
    </w:pPr>
    <w:rPr>
      <w:rFonts w:hint="eastAsia"/>
      <w:lang w:val="zh-CN"/>
    </w:rPr>
  </w:style>
  <w:style w:type="paragraph" w:customStyle="1" w:styleId="32">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3">
    <w:name w:val="图序"/>
    <w:basedOn w:val="1"/>
    <w:qFormat/>
    <w:uiPriority w:val="0"/>
    <w:pPr>
      <w:spacing w:line="240" w:lineRule="auto"/>
      <w:jc w:val="center"/>
    </w:pPr>
    <w:rPr>
      <w:rFonts w:hint="default" w:ascii="Times New Roman" w:hAnsi="Times New Roman" w:eastAsia="黑体" w:cs="Times New Roman"/>
      <w:sz w:val="21"/>
    </w:rPr>
  </w:style>
  <w:style w:type="character" w:customStyle="1" w:styleId="34">
    <w:name w:val="标题 1 Char"/>
    <w:link w:val="2"/>
    <w:qFormat/>
    <w:uiPriority w:val="0"/>
    <w:rPr>
      <w:rFonts w:ascii="Times New Roman" w:hAnsi="Times New Roman" w:eastAsia="宋体" w:cs="宋体"/>
      <w:b/>
      <w:snapToGrid w:val="0"/>
      <w:color w:val="000000"/>
      <w:kern w:val="44"/>
      <w:sz w:val="36"/>
      <w:szCs w:val="21"/>
      <w:lang w:eastAsia="en-US"/>
    </w:rPr>
  </w:style>
  <w:style w:type="paragraph" w:customStyle="1" w:styleId="35">
    <w:name w:val="目录"/>
    <w:basedOn w:val="1"/>
    <w:next w:val="1"/>
    <w:link w:val="36"/>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6">
    <w:name w:val="目录 Char"/>
    <w:link w:val="35"/>
    <w:qFormat/>
    <w:uiPriority w:val="0"/>
    <w:rPr>
      <w:rFonts w:ascii="Times New Roman" w:hAnsi="Times New Roman" w:eastAsia="宋体"/>
      <w:b/>
      <w:bCs/>
      <w:sz w:val="36"/>
      <w:szCs w:val="44"/>
    </w:rPr>
  </w:style>
  <w:style w:type="paragraph" w:customStyle="1" w:styleId="37">
    <w:name w:val="目录1"/>
    <w:basedOn w:val="14"/>
    <w:next w:val="35"/>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8">
    <w:name w:val="图序与图名"/>
    <w:basedOn w:val="1"/>
    <w:link w:val="59"/>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paragraph" w:customStyle="1" w:styleId="39">
    <w:name w:val="样式7"/>
    <w:basedOn w:val="1"/>
    <w:qFormat/>
    <w:uiPriority w:val="0"/>
    <w:pPr>
      <w:ind w:firstLine="0" w:firstLineChars="0"/>
      <w:jc w:val="center"/>
    </w:pPr>
    <w:rPr>
      <w:rFonts w:hint="eastAsia" w:ascii="宋体" w:hAnsi="宋体" w:eastAsia="宋体"/>
      <w:szCs w:val="22"/>
    </w:rPr>
  </w:style>
  <w:style w:type="paragraph" w:customStyle="1" w:styleId="40">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41">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2">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3">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4">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5">
    <w:name w:val="图题"/>
    <w:basedOn w:val="1"/>
    <w:qFormat/>
    <w:uiPriority w:val="0"/>
    <w:rPr>
      <w:rFonts w:hint="default" w:ascii="Times New Roman" w:hAnsi="Times New Roman" w:eastAsia="宋体"/>
      <w:sz w:val="21"/>
    </w:rPr>
  </w:style>
  <w:style w:type="paragraph" w:customStyle="1" w:styleId="46">
    <w:name w:val="参考文献"/>
    <w:basedOn w:val="1"/>
    <w:next w:val="1"/>
    <w:qFormat/>
    <w:uiPriority w:val="0"/>
    <w:pPr>
      <w:numPr>
        <w:ilvl w:val="0"/>
        <w:numId w:val="2"/>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7">
    <w:name w:val="参考文献正文"/>
    <w:basedOn w:val="1"/>
    <w:qFormat/>
    <w:uiPriority w:val="0"/>
    <w:pPr>
      <w:numPr>
        <w:ilvl w:val="0"/>
        <w:numId w:val="3"/>
      </w:numPr>
      <w:spacing w:before="50" w:beforeLines="50" w:after="50" w:afterLines="50"/>
    </w:pPr>
    <w:rPr>
      <w:rFonts w:hint="eastAsia"/>
    </w:rPr>
  </w:style>
  <w:style w:type="character" w:customStyle="1" w:styleId="48">
    <w:name w:val="标题 4 Char"/>
    <w:link w:val="5"/>
    <w:qFormat/>
    <w:uiPriority w:val="0"/>
    <w:rPr>
      <w:rFonts w:ascii="Arial" w:hAnsi="Arial" w:eastAsia="宋体" w:cs="Times New Roman"/>
      <w:snapToGrid/>
      <w:sz w:val="24"/>
      <w:szCs w:val="24"/>
      <w:lang w:val="en-US" w:eastAsia="zh-CN" w:bidi="ar-SA"/>
    </w:rPr>
  </w:style>
  <w:style w:type="paragraph" w:customStyle="1" w:styleId="49">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50">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51">
    <w:name w:val="一级标题"/>
    <w:basedOn w:val="1"/>
    <w:link w:val="52"/>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2">
    <w:name w:val="一级标题 Char"/>
    <w:link w:val="51"/>
    <w:autoRedefine/>
    <w:qFormat/>
    <w:uiPriority w:val="0"/>
    <w:rPr>
      <w:rFonts w:ascii="黑体" w:hAnsi="黑体" w:eastAsia="黑体" w:cs="Times New Roman"/>
      <w:b/>
      <w:bCs/>
      <w:kern w:val="32"/>
      <w:sz w:val="36"/>
      <w:szCs w:val="36"/>
    </w:rPr>
  </w:style>
  <w:style w:type="character" w:customStyle="1" w:styleId="53">
    <w:name w:val="页脚 字符"/>
    <w:link w:val="17"/>
    <w:qFormat/>
    <w:uiPriority w:val="99"/>
    <w:rPr>
      <w:rFonts w:ascii="Times New Roman" w:hAnsi="Times New Roman" w:eastAsia="宋体"/>
      <w:sz w:val="18"/>
    </w:rPr>
  </w:style>
  <w:style w:type="character" w:customStyle="1" w:styleId="54">
    <w:name w:val="标题 Char"/>
    <w:link w:val="22"/>
    <w:qFormat/>
    <w:uiPriority w:val="0"/>
    <w:rPr>
      <w:rFonts w:ascii="等线 Light" w:hAnsi="等线 Light" w:eastAsia="宋体"/>
      <w:b/>
      <w:bCs/>
      <w:kern w:val="2"/>
      <w:sz w:val="32"/>
      <w:szCs w:val="32"/>
    </w:rPr>
  </w:style>
  <w:style w:type="paragraph" w:customStyle="1" w:styleId="55">
    <w:name w:val="题标"/>
    <w:basedOn w:val="1"/>
    <w:next w:val="1"/>
    <w:qFormat/>
    <w:uiPriority w:val="0"/>
    <w:pPr>
      <w:keepNext/>
      <w:keepLines/>
      <w:numPr>
        <w:ilvl w:val="0"/>
        <w:numId w:val="4"/>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6">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7">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8">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9">
    <w:name w:val="图序与图名 Char"/>
    <w:link w:val="38"/>
    <w:qFormat/>
    <w:uiPriority w:val="0"/>
    <w:rPr>
      <w:rFonts w:ascii="宋体" w:hAnsi="宋体" w:eastAsia="宋体" w:cs="宋体"/>
      <w:spacing w:val="-2"/>
      <w:sz w:val="21"/>
      <w:szCs w:val="20"/>
    </w:rPr>
  </w:style>
  <w:style w:type="paragraph" w:customStyle="1" w:styleId="60">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61">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2">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1794</Words>
  <Characters>1861</Characters>
  <Lines>0</Lines>
  <Paragraphs>0</Paragraphs>
  <TotalTime>222</TotalTime>
  <ScaleCrop>false</ScaleCrop>
  <LinksUpToDate>false</LinksUpToDate>
  <CharactersWithSpaces>1861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懂懂</cp:lastModifiedBy>
  <dcterms:modified xsi:type="dcterms:W3CDTF">2026-04-29T09:32:38Z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1918E7584A47407EAF56722634452A5C_13</vt:lpwstr>
  </property>
  <property fmtid="{D5CDD505-2E9C-101B-9397-08002B2CF9AE}" pid="4" name="KSOTemplateDocerSaveRecord">
    <vt:lpwstr>eyJoZGlkIjoiYTk5M2VlNGFjMjM5YWExMzRjYmJmMzI4YTY3NDdhN2MiLCJ1c2VySWQiOiIxMDM2NjI3NDI0In0=</vt:lpwstr>
  </property>
</Properties>
</file>