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2660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2025年年报季落幕，22家A股上市银行中，有21家银行掏出真金白银向股东派息，六大行合计分红超4200亿元，招行单家派发超500亿元，华夏银行、光大银行股息率均突破5%。</w:t>
      </w:r>
    </w:p>
    <w:p w14:paraId="72901BC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在这一片“分红欢歌”中，只有一家银行站到了所有同行的对立面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郑州银行，2025年度，再次决定不进行现金分红。</w:t>
      </w:r>
    </w:p>
    <w:p w14:paraId="60736AD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这是继2020年至2023年连续四年不分红之后的第五个“零分红”年报。唯一的“间奏”是2024年那次被市场戏称为“应付检查”的微量分红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每10股派现0.2元，合计1.82亿元，分红比例仅9.69%，股息率1.05%，均在A股上市银行中垫底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"http://finance.ce.cn/bank12/scroll/202604/t20260417_2912099.shtml"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"https://m.qlwb.com.cn/detail/27467706.html"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2EB371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全国首家“A+H”股上市城商行，中西部金融版图上曾经的标杆机构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怎样沦为中国资本市场上最孤独的“分红绝缘体”？</w:t>
      </w:r>
    </w:p>
    <w:p w14:paraId="731D304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五年间只分过一次红，那次还是被逼的</w:t>
      </w:r>
    </w:p>
    <w:p w14:paraId="05F9F08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先看一张郑州银行的分红时间轴：</w:t>
      </w:r>
    </w:p>
    <w:tbl>
      <w:tblPr>
        <w:tblStyle w:val="24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6"/>
        <w:gridCol w:w="1540"/>
        <w:gridCol w:w="1324"/>
        <w:gridCol w:w="1324"/>
        <w:gridCol w:w="1744"/>
      </w:tblGrid>
      <w:tr w14:paraId="04F16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0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886A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年度</w:t>
            </w:r>
          </w:p>
        </w:tc>
        <w:tc>
          <w:tcPr>
            <w:tcW w:w="90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659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归母净利润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F7A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分红金额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041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分红比例</w:t>
            </w:r>
          </w:p>
        </w:tc>
        <w:tc>
          <w:tcPr>
            <w:tcW w:w="1025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DFBE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分红状态</w:t>
            </w:r>
          </w:p>
        </w:tc>
      </w:tr>
      <w:tr w14:paraId="50767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5784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2018年（A股上市首年）</w:t>
            </w:r>
          </w:p>
        </w:tc>
        <w:tc>
          <w:tcPr>
            <w:tcW w:w="90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3DB3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约25亿元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19E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8.88亿元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0CF6E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34.75%</w:t>
            </w:r>
          </w:p>
        </w:tc>
        <w:tc>
          <w:tcPr>
            <w:tcW w:w="1025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C08B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正常分红</w:t>
            </w:r>
          </w:p>
        </w:tc>
      </w:tr>
      <w:tr w14:paraId="33824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D2B3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2019年</w:t>
            </w:r>
          </w:p>
        </w:tc>
        <w:tc>
          <w:tcPr>
            <w:tcW w:w="90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A98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  <w:t>32.85亿元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15B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约6亿元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CAD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1025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F88AA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分红（含转增）</w:t>
            </w:r>
          </w:p>
        </w:tc>
      </w:tr>
      <w:tr w14:paraId="14EF9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9134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2020年</w:t>
            </w:r>
          </w:p>
        </w:tc>
        <w:tc>
          <w:tcPr>
            <w:tcW w:w="90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5382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  <w:t>31.68亿元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35F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305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25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69C0F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不分红</w:t>
            </w:r>
          </w:p>
        </w:tc>
      </w:tr>
      <w:tr w14:paraId="707E5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FD60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2021年</w:t>
            </w:r>
          </w:p>
        </w:tc>
        <w:tc>
          <w:tcPr>
            <w:tcW w:w="90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5E5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32.26亿元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997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E664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25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55C3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不分红</w:t>
            </w:r>
          </w:p>
        </w:tc>
      </w:tr>
      <w:tr w14:paraId="06D51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5111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2022年</w:t>
            </w:r>
          </w:p>
        </w:tc>
        <w:tc>
          <w:tcPr>
            <w:tcW w:w="90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9D35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24.22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3C9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2A0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25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F486A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不分红</w:t>
            </w:r>
          </w:p>
        </w:tc>
      </w:tr>
      <w:tr w14:paraId="2E1F6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CB7F1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2023年</w:t>
            </w:r>
          </w:p>
        </w:tc>
        <w:tc>
          <w:tcPr>
            <w:tcW w:w="90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11BF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18.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50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75D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4C4AA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25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8F653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不分红</w:t>
            </w:r>
          </w:p>
        </w:tc>
      </w:tr>
      <w:tr w14:paraId="45494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5ECF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2024年</w:t>
            </w:r>
          </w:p>
        </w:tc>
        <w:tc>
          <w:tcPr>
            <w:tcW w:w="90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3A22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18.76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A63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1.82亿元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377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9.69%</w:t>
            </w:r>
          </w:p>
        </w:tc>
        <w:tc>
          <w:tcPr>
            <w:tcW w:w="1025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03FB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“象征性分红”</w:t>
            </w:r>
          </w:p>
        </w:tc>
      </w:tr>
      <w:tr w14:paraId="33B14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B41F0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</w:t>
            </w:r>
          </w:p>
        </w:tc>
        <w:tc>
          <w:tcPr>
            <w:tcW w:w="906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FF5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18.95亿元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75A5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779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4DF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025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C4B0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不分红</w:t>
            </w:r>
          </w:p>
        </w:tc>
      </w:tr>
      <w:bookmarkEnd w:id="0"/>
    </w:tbl>
    <w:p w14:paraId="7BA6F58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数据来源：郑州银行2018-2025年年报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"http://finance.ce.cn/bank12/scroll/202604/t20260417_2912099.shtml"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"https://m.qlwb.com.cn/detail/27467706.html"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7724B31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A股上市首年（2018年），郑州银行以34.75%的分红比例、8.88亿元的现金分红慷慨派息，此后分红政策逐年缩紧。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"https://m.qlwb.com.cn/detail/27467706.html"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60FEBD8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2020年到2023年，整整四年，零分红。2024年突然恢复分红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但9.69%的分红比例让这次现金派息被市场解读为“被逼就范。因为2024年新国九条与沪深交易所修订的《上市规则》明确：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主板上市公司若最近三年累计现金分红金额低于年均净利润的30%且累计分红总额低于5000万元，将被实施其他风险警示（ST处理）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。郑州银行2024年的这次分红，恰好规避了ST红线。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"https://m.qlwb.com.cn/detail/27467706.html"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1978D89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五年间，郑州银行赚了超过百亿元净利润，给股东的分红仅1.82亿元。</w:t>
      </w:r>
    </w:p>
    <w:p w14:paraId="3E93C66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为什么不分红？</w:t>
      </w:r>
    </w:p>
    <w:p w14:paraId="18EFCF8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2026年3月30日，郑州银行第八届董事会第五次会议全票通过了2025年度利润分配预案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不分红。官方公告给出的理由是：“留存未分配利润有利于夯实高质量发展的资金基础，进一步增强风险抵御能力”。</w:t>
      </w:r>
    </w:p>
    <w:p w14:paraId="164D9AB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但一组数据直接戳穿了这套说辞。</w:t>
      </w:r>
    </w:p>
    <w:p w14:paraId="1FF99A4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困局一：核心一级资本充足率只剩8.45%。</w:t>
      </w:r>
    </w:p>
    <w:p w14:paraId="69D5660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截至2025年末，郑州银行核心一级资本充足率降至8.45%，距离7.5%的监管红线仅剩不到1个百分点。这已经是该数据连续第4年下滑——2021年末曾达到9.49%的上市以来顶峰，此后一路下探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"https://m.qlwb.com.cn/detail/27467706.html"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。一级资本充足率10.44%，较上年末下降0.37个百分点；资本充足率11.71%，较上年末下降0.35个百分点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三项资本充足率指标已连续三年全线下滑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"http://finance.ce.cn/bank12/scroll/202604/t20260417_2912099.shtml"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8973CA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困局二：利润的会计魔术</w:t>
      </w: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连续八年四季度亏损。</w:t>
      </w:r>
    </w:p>
    <w:p w14:paraId="6EEA47A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一个更值得警惕的数据：2025年，郑州银行前三季度实现归母净利润22.79亿元，第四季度单季却净亏损3.84亿元，一口吞噬了前三季度近17%的盈利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"http://finance.ce.cn/bank12/scroll/202604/t20260417_2912099.shtml"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2873CC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这已是郑州银行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连续第八年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出现“前三季度盈利、四季度亏损”的走势。根源在于信用减值损失的年末集中计提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2025年全年计提72.82亿元，其中第四季度就高达29.23亿元，占比超过四成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"http://finance.ce.cn/bank12/scroll/202604/t20260417_2912099.shtml"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7D7FBC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困局三：不良贷款率被动下行的假象。</w:t>
      </w:r>
    </w:p>
    <w:p w14:paraId="179A09C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郑州银行2025年末不良贷款余额70.29亿元，不良贷款率1.71%，较上年末下降0.08个百分点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表面看是改善。但关键细节被年报隐藏在细微处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2025年贷款总额增速达5.82%，显著快于不良贷款余额1.53%的增幅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"https://m.qlwb.com.cn/detail/27467706.html"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95884A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不良贷款率的下降不是因为坏账被清除了，而是因为贷款总额这个“分母”被做大了。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不良贷款总量仍在增长，只是被增量贷款稀释了。</w:t>
      </w:r>
    </w:p>
    <w:p w14:paraId="20608E6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再拉升年份维度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2020年至2025年，郑州银行累计信用减值损失计提高达384.97亿元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超过同期净利润总和。这不是经营，是排雷。</w:t>
      </w:r>
    </w:p>
    <w:p w14:paraId="74F4D6C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比不分红更可怕</w:t>
      </w:r>
    </w:p>
    <w:p w14:paraId="187B7ED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第一：收入结构高度依赖利差，非息收入加速萎缩。</w:t>
      </w:r>
    </w:p>
    <w:p w14:paraId="7B447B0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2025年，郑州银行利息净收入占营收比重攀升至84.08%，非利息收入同比下降18.13%，占营收比重仅15.92%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"http://finance.ce.cn/bank12/scroll/202604/t20260417_2912099.shtml"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。手续费及佣金净收入同比下降13.95%，轻资本业务全面萎缩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"http://finance.ce.cn/bank12/scroll/202604/t20260417_2912099.shtml"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。在利率市场化和息差持续收窄的行业趋势下，这种单一的盈利结构意味着抗风险能力接近于零。</w:t>
      </w:r>
    </w:p>
    <w:p w14:paraId="3355E0D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第二：扣非净利润同比下降，主营业务造血能力在恶化。</w:t>
      </w:r>
    </w:p>
    <w:p w14:paraId="7DDBABB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2025年，郑州银行扣非净利润为18.24亿元，同比下降1.86%，在2024年短暂回正后再度掉头向下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"http://finance.ce.cn/bank12/scroll/202604/t20260417_2912099.shtml"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。这意味着其主营业务的真实盈利能力非但没有修复，反而在持续恶化。</w:t>
      </w:r>
    </w:p>
    <w:p w14:paraId="3D4E0D1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第三：2024年的“象征性分红”恰好暴露了真实的资金压力。</w:t>
      </w:r>
    </w:p>
    <w:p w14:paraId="1D0A4C6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2024年，为规避ST风险，郑州银行掏出了1.82亿元分红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这个数字恰好踩在监管要求的门槛上。但2025年，它选择不再分红。这个举动说明，即使只是1.82亿元的微小分红，对当下的郑州银行也是不可承受之重。</w:t>
      </w:r>
    </w:p>
    <w:p w14:paraId="0CA25D7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郑州银行的困境并非一日之寒。</w:t>
      </w:r>
    </w:p>
    <w:p w14:paraId="3276CA9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自2021年起，其营收与净利润已连续多年交替下滑。营业收入从2021年的148.01亿元持续下挫，归母净利润也从32.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亿元大幅萎缩至18.95亿元。资本充足率指标全线下行，核心一级资本充足率从9.49%一路跌至8.45%。</w:t>
      </w:r>
    </w:p>
    <w:p w14:paraId="00DF3A2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于一家账面仍在盈利的上市银行而言，连续五年零分红（仅一次监管驱动型象征性分红），通常释放出两个信号：一是内部现金流趋紧，亟需通过留存利润补充核心一级资本以应对监管压力；二是管理层对潜在资产质量风险心存戒备，急需储备“余粮”以备未来坏账核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"http://finance.ce.cn/bank12/scroll/202604/t20260417_2912099.shtml"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32A89C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在2025年全行业分红总额突破5800亿元、六大行集体超过4200亿元的背景下，郑州银行站在了A股银行分红版图的对立面上。2024年被“新国九条”的ST红线逼出一次9.69%的分红记录，2025年再次归零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这组数字轨迹，比任何研报评级都更直观地揭示了这家银行的真实处境。</w:t>
      </w:r>
    </w:p>
    <w:p w14:paraId="388F98F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分红本身不是罪，资本充足率逼近监管红线时保留利润是负责任的行为。但当“连续八年四季度亏损”、“扣非净利润重新下滑”、“核心一级资本充足率四年连降”、“五年赚超百亿仅分1.82亿元”这四组数据同时出现在同一家银行身上时，它已经不能用资本压力一句话来解释了。</w:t>
      </w:r>
    </w:p>
    <w:p w14:paraId="00D50EB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0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它是中国42家A股上市银行中唯一一个被ST红线束缚过、又选择再次站回零分红边缘的机构。不是其他银行太慷慨，是郑州银行真的挤不出分红的现金了。</w:t>
      </w:r>
    </w:p>
    <w:p w14:paraId="772AB7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17FF"/>
    <w:multiLevelType w:val="singleLevel"/>
    <w:tmpl w:val="C78B17FF"/>
    <w:lvl w:ilvl="0" w:tentative="0">
      <w:start w:val="1"/>
      <w:numFmt w:val="decimal"/>
      <w:pStyle w:val="47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FE2F7AC"/>
    <w:multiLevelType w:val="multilevel"/>
    <w:tmpl w:val="EFE2F7AC"/>
    <w:lvl w:ilvl="0" w:tentative="0">
      <w:start w:val="1"/>
      <w:numFmt w:val="decimal"/>
      <w:pStyle w:val="46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ACE2DB4"/>
    <w:multiLevelType w:val="singleLevel"/>
    <w:tmpl w:val="FACE2DB4"/>
    <w:lvl w:ilvl="0" w:tentative="0">
      <w:start w:val="1"/>
      <w:numFmt w:val="decimal"/>
      <w:pStyle w:val="55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15A69DF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A967B2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CD46CD"/>
    <w:rsid w:val="11F80CB0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9FA32DD"/>
    <w:rsid w:val="3A6213AD"/>
    <w:rsid w:val="3A872066"/>
    <w:rsid w:val="3B2E12D2"/>
    <w:rsid w:val="3B4267EB"/>
    <w:rsid w:val="3B580C7A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34902A0"/>
    <w:rsid w:val="43B600AD"/>
    <w:rsid w:val="44116024"/>
    <w:rsid w:val="4446233C"/>
    <w:rsid w:val="444A4106"/>
    <w:rsid w:val="45A91659"/>
    <w:rsid w:val="460F757E"/>
    <w:rsid w:val="462D6C1B"/>
    <w:rsid w:val="464553D9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BCA2A08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F44A27"/>
    <w:rsid w:val="73033F5A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9652624"/>
    <w:rsid w:val="798D6205"/>
    <w:rsid w:val="79A5003A"/>
    <w:rsid w:val="7A294D85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tabs>
        <w:tab w:val="left" w:pos="0"/>
      </w:tabs>
      <w:spacing w:before="100" w:beforeLines="100" w:after="100" w:afterLines="100"/>
      <w:ind w:firstLine="0" w:firstLineChars="0"/>
      <w:jc w:val="center"/>
      <w:outlineLvl w:val="0"/>
    </w:pPr>
    <w:rPr>
      <w:rFonts w:eastAsia="黑体"/>
      <w:b/>
      <w:kern w:val="44"/>
      <w:sz w:val="30"/>
      <w:szCs w:val="18"/>
    </w:rPr>
  </w:style>
  <w:style w:type="paragraph" w:styleId="3">
    <w:name w:val="heading 2"/>
    <w:basedOn w:val="1"/>
    <w:next w:val="1"/>
    <w:link w:val="27"/>
    <w:semiHidden/>
    <w:unhideWhenUsed/>
    <w:qFormat/>
    <w:uiPriority w:val="0"/>
    <w:pPr>
      <w:tabs>
        <w:tab w:val="left" w:pos="0"/>
      </w:tabs>
      <w:ind w:firstLine="0" w:firstLineChars="0"/>
      <w:jc w:val="left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link w:val="28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6"/>
    <w:link w:val="48"/>
    <w:semiHidden/>
    <w:unhideWhenUsed/>
    <w:qFormat/>
    <w:uiPriority w:val="0"/>
    <w:pPr>
      <w:keepNext/>
      <w:keepLines/>
      <w:numPr>
        <w:ilvl w:val="3"/>
        <w:numId w:val="1"/>
      </w:numPr>
      <w:spacing w:before="10" w:beforeLines="0" w:beforeAutospacing="0" w:after="10" w:afterLines="0" w:afterAutospacing="0" w:line="360" w:lineRule="auto"/>
      <w:ind w:left="864" w:leftChars="0" w:hanging="864" w:firstLineChars="0"/>
      <w:jc w:val="left"/>
      <w:outlineLvl w:val="3"/>
    </w:pPr>
    <w:rPr>
      <w:rFonts w:ascii="Arial" w:hAnsi="Arial" w:eastAsia="黑体" w:cs="Times New Roman"/>
    </w:rPr>
  </w:style>
  <w:style w:type="paragraph" w:styleId="7">
    <w:name w:val="heading 5"/>
    <w:next w:val="6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3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qFormat/>
    <w:uiPriority w:val="0"/>
    <w:rPr>
      <w:sz w:val="24"/>
    </w:rPr>
  </w:style>
  <w:style w:type="paragraph" w:styleId="22">
    <w:name w:val="Title"/>
    <w:basedOn w:val="1"/>
    <w:next w:val="1"/>
    <w:link w:val="54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character" w:styleId="26">
    <w:name w:val="Strong"/>
    <w:basedOn w:val="25"/>
    <w:qFormat/>
    <w:uiPriority w:val="0"/>
    <w:rPr>
      <w:b/>
    </w:rPr>
  </w:style>
  <w:style w:type="character" w:customStyle="1" w:styleId="27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2"/>
      <w:lang w:val="en-US" w:eastAsia="zh-CN" w:bidi="ar-SA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 w:cs="宋体"/>
      <w:sz w:val="28"/>
    </w:rPr>
  </w:style>
  <w:style w:type="paragraph" w:customStyle="1" w:styleId="29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30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31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2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3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character" w:customStyle="1" w:styleId="34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35">
    <w:name w:val="目录"/>
    <w:basedOn w:val="1"/>
    <w:next w:val="1"/>
    <w:link w:val="36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6">
    <w:name w:val="目录 Char"/>
    <w:link w:val="35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7">
    <w:name w:val="目录1"/>
    <w:basedOn w:val="14"/>
    <w:next w:val="35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8">
    <w:name w:val="图序与图名"/>
    <w:basedOn w:val="1"/>
    <w:link w:val="59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paragraph" w:customStyle="1" w:styleId="39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40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41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2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3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4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5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6">
    <w:name w:val="参考文献"/>
    <w:basedOn w:val="1"/>
    <w:next w:val="1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7">
    <w:name w:val="参考文献正文"/>
    <w:basedOn w:val="1"/>
    <w:qFormat/>
    <w:uiPriority w:val="0"/>
    <w:pPr>
      <w:numPr>
        <w:ilvl w:val="0"/>
        <w:numId w:val="3"/>
      </w:numPr>
      <w:spacing w:before="50" w:beforeLines="50" w:after="50" w:afterLines="50"/>
    </w:pPr>
    <w:rPr>
      <w:rFonts w:hint="eastAsia"/>
    </w:rPr>
  </w:style>
  <w:style w:type="character" w:customStyle="1" w:styleId="48">
    <w:name w:val="标题 4 Char"/>
    <w:link w:val="5"/>
    <w:qFormat/>
    <w:uiPriority w:val="0"/>
    <w:rPr>
      <w:rFonts w:ascii="Arial" w:hAnsi="Arial" w:eastAsia="宋体" w:cs="Times New Roman"/>
      <w:snapToGrid/>
      <w:sz w:val="24"/>
      <w:szCs w:val="24"/>
      <w:lang w:val="en-US" w:eastAsia="zh-CN" w:bidi="ar-SA"/>
    </w:rPr>
  </w:style>
  <w:style w:type="paragraph" w:customStyle="1" w:styleId="49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50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51">
    <w:name w:val="一级标题"/>
    <w:basedOn w:val="1"/>
    <w:link w:val="52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2">
    <w:name w:val="一级标题 Char"/>
    <w:link w:val="51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3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4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5">
    <w:name w:val="题标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6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7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8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9">
    <w:name w:val="图序与图名 Char"/>
    <w:link w:val="38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60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61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2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1317</Words>
  <Characters>1579</Characters>
  <Lines>0</Lines>
  <Paragraphs>0</Paragraphs>
  <TotalTime>221</TotalTime>
  <ScaleCrop>false</ScaleCrop>
  <LinksUpToDate>false</LinksUpToDate>
  <CharactersWithSpaces>1580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懂懂</cp:lastModifiedBy>
  <dcterms:modified xsi:type="dcterms:W3CDTF">2026-04-29T09:34:06Z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C2E2C9DBD5B842FFA2B55B3289123D3E_13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