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A9A1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一季度保险业罚没9032万元同比增13%，华安财险单笔被罚386万，销售误导和财务造假成两大“雷区”</w:t>
      </w:r>
    </w:p>
    <w:p w14:paraId="17ED392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一季度保险业罚单数据出炉。企业预警通统计显示，一季度金融监管部门对保险行业累计开出974张罚单，较去年同期增长13%；全行业共有72家保险公司（含分支机构）被监管罚没累计9032万元，行业强监管、严合规的整治态势持续深化。平均每天10张罚单、100万元罚款。</w:t>
      </w:r>
    </w:p>
    <w:p w14:paraId="2C8084F5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从大额罚单到个人追责，从销售误导到财务造假，监管正在用真金白银的罚单逼着保险公司从“规模至上”转向“合规与效益并重”。</w:t>
      </w:r>
    </w:p>
    <w:p w14:paraId="3706F6E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一、974张罚单、9032万元，华安财险单笔386万居首</w:t>
      </w:r>
    </w:p>
    <w:p w14:paraId="35F47880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先把一季度保险业罚单的总盘子摊开。</w:t>
      </w:r>
    </w:p>
    <w:p w14:paraId="17DAE868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drawing>
          <wp:inline distT="0" distB="0" distL="114300" distR="114300">
            <wp:extent cx="5274310" cy="136969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42E3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从处罚力度看，一季度大额罚单频出，共有6家险企单次罚没金额超百万元，其中5家为总公司，仅1家为分公司。监管的处罚重心正在从分支机构向总公司层面穿透，不再满足于“罚几个基层机构了事”。</w:t>
      </w:r>
    </w:p>
    <w:p w14:paraId="5C8010DC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华安财产保险股份有限公司位列险企单次罚没金额榜首。2月27日，国家金融监督管理总局发布的行政处罚信息显示，因“未按照规定使用经批准或备案的保险条款、费率，报送数据不准确，跨区域开展业务”等违法违规行为，华安财险被给予警告并罚款386万元。与此同时，华安财险山东分公司被处以罚款60万元，福建分公司被处以罚款35万元。另有13名相关责任人员被给予警告并罚款共计84万元，机构与个人合计罚没金额达565万元，监管“双罚制”从严执行，直指公司管理层与核心岗位合规管控失效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"https://finance.eastmoney.com/a/202604123702322929.html"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542EC243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涉罚人员方面，包括总精算师、总经理助理及多家分公司主要负责人在内的13名相关责任人被同步处罚。部分被罚责任人还存在二次“翻车”情况——河南分公司时任总经理朱某早在2018年就因虚构中介业务套取费用被罚，此次再度因违规被监管追责；健康险事业部时任副总经理廖某在2024年12月刚因数据不真实被处罚，2026年2月再次出现在处罚名单中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"https://stock.stockstar.com/SS2026030400020867.shtml"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16FA65D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从罚单出具主体看，一季度保险业罚单主要由国家金融监管总局派出机构作出。地域分布上，吉林、广东两地被罚次数位居全国前列，成为保险违规行为高发区域。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"https://finance.eastmoney.com/a/202604123702322929.html"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2689D2C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highlight w:val="yellow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二、华安财险：年罚没超1100万，董事长“空悬”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highlight w:val="none"/>
          <w:shd w:val="clear" w:fill="FFFFFF"/>
        </w:rPr>
        <w:t>超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6"/>
          <w:szCs w:val="26"/>
          <w:highlight w:val="none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highlight w:val="none"/>
          <w:shd w:val="clear" w:fill="FFFFFF"/>
        </w:rPr>
        <w:t>年</w:t>
      </w:r>
    </w:p>
    <w:p w14:paraId="4DB93F6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华安财险并非首次触碰监管红线。</w:t>
      </w:r>
    </w:p>
    <w:p w14:paraId="7DB816E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据该公司2025年一季度至四季度偿付能力报告披露，华安财险2025年全年累计收到64张监管罚单，罚没金额合计超1100万元，违规集中于财务业务数据不真实、虚列费用、虚构中介套费、未按规定使用条款费率等。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"http://m.mp.oeeee.com/a/BAAFRD0000202604111554978.html"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11D406C8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2026年，罚单节奏丝毫未减。开年仅两个月，华安财险合计被罚金额已超700万元。除2月27日的565万元大额罚单外，1月9日，华安财险宿州中心支公司因财务业务数据不真实，被罚款17万元；重庆分公司被罚94万元，主要涉及虚列费用、虚构保险中介业务套取费用等问题；江西分公司及南昌中心支公司共被罚52万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"http://m.mp.oeeee.com/a/BAAFRD0000202604111554978.html"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19900BB2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频次、大范围的处罚贯穿总公司与各地方分支机构，反映出合规管控体系存在系统性漏洞。从违规特征来看，“造假”仍是重灾区——财务业务数据不真实、虚列费用、虚构中介套费、未按规定使用条款费率，这些违规行为反复出现。</w:t>
      </w:r>
    </w:p>
    <w:p w14:paraId="3501D24A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但比罚单更棘手的是治理层面的瘫痪。华安财险董事长一职自2019年以来持续“空悬”，至今已超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none"/>
          <w:shd w:val="clear" w:fill="FFFFFF"/>
        </w:rPr>
        <w:t>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。2018年4月，时任董事长李光荣因涉嫌行贿罪被批捕，2019年初在临时股东大会上卸任董事长职务，改任副董事长、执行董事。此后董事长席位持续空缺，公司治理架构长期不完整。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"http://m.mp.oeeee.com/a/BAAFRD0000202604111554978.html"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4C09AB2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偿付能力方面，华安财险自2022年一季度以来曾连续13个季度风险综合评级为C类，属于偿付能力不达标机构，长期处于监管重点关注对象行列。2025年二季度起评级提升至B类，正式结束不达标状态。截至2025年四季度末，公司核心偿付能力充足率为117.08%，综合偿付能力充足率为155.88%，两项指标均满足监管最低要求，但资本缓冲空间有限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"https://stock.stockstar.com/SS2026030400020867.shtml"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706D04D1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华安财险全年实现保险业务收入179.4亿元，净利润5.01亿元，同比增长158%。但从盈利质量看，净利润的大幅增长主要源于投资收益的一次性释放和准备金释放，承保端综合成本率仍处于较高水平，盈利质量偏弱。短期经营指标改善，并未从根本上破解长期积累的发展沉疴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"https://stock.stockstar.com/SS2026030400020867.shtml"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709F15B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三、销售误导561张、信披违规471张，两大“雷区”集中暴露</w:t>
      </w:r>
    </w:p>
    <w:p w14:paraId="203ACBAA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从违规案由来看，保险机构违规事项呈现高度集中特征，销售行为违规、信息披露违规成为行业两大踩雷的“重灾区”。</w:t>
      </w:r>
    </w:p>
    <w:p w14:paraId="273174F9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drawing>
          <wp:inline distT="0" distB="0" distL="114300" distR="114300">
            <wp:extent cx="4170045" cy="123952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402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销售端违规集中于夸大保险责任与收益、隐瞒合同免责条款、违规向投保人给予合同外利益、虚假宣传误导投保、从业人员无证展业等高频乱象，也是长期以来保险消费投诉的核心诱因。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"https://finance.eastmoney.com/a/202604123702322929.html"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4FEF7EF8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信息披露违规则以财务与业务数据虚假记载、监管报表报送失真、产品信息与重大事项披露不及时不完整为主，直接触碰监管划定的数据真实性底线。</w:t>
      </w:r>
    </w:p>
    <w:p w14:paraId="77B0D7B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季度披露的违规案由中，公司治理与内控管理违规罚单数量共有228张。其中机构罚单82张，个人罚单146张。而上年同期公司治理与内控管理违规罚单共计173张，其中机构罚单81张、个人罚单92张。对比来看，今年一季度相关从业人员追责处罚占比显著提升——机构罚单几乎没变，个人罚单从92张暴增到146张，增幅近六成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"https://finance.eastmoney.com/a/202604123702322929.html"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1AB86A7C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从涉罚机构类型来看，罚单主要集中于寿险公司与财险公司，覆盖头部险企与地方中小保险机构。大公司和小公司、总公司和分公司、机构和个人，无一幸免，反映出全行业合规管理仍存在普遍短板。</w:t>
      </w:r>
    </w:p>
    <w:p w14:paraId="52EFE70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四、监管逻辑已变：从“罚机构”到“双罚制”，从“形式合规”到“穿透治理”</w:t>
      </w:r>
    </w:p>
    <w:p w14:paraId="391AB03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一季度保险业罚单传递的信号非常清晰：合规不是选择题，而是生存线。</w:t>
      </w:r>
    </w:p>
    <w:p w14:paraId="5F4F0CD4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处罚力度在系统性加码。974张罚单同比增长13%，9032万元罚没总额创近年同期新高，6家险企单次罚没超百万元。千万元级罚单从“罕见”变成“常见”，百万级罚单从“重罚”变成“标配”。</w:t>
      </w:r>
    </w:p>
    <w:p w14:paraId="1EF6E93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罚方式在根本性转变。“双罚制”成为每一张大额罚单的标准配置——华安财险565万元罚单中，13名责任人被同步追责84万元。2026年一季度公司治理与内控管理违规的个人罚单同比暴增近六成，问责链条正在从机构层面穿透到个人层面。批了这笔业务的、签了这份报告的、管了这个部门的——出了问题一个都跑不掉。</w:t>
      </w:r>
    </w:p>
    <w:p w14:paraId="01CAAA3A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罚重点在向核心领域聚焦。销售行为违规561张、信息披露违规471张，两大类违规合计超过千张，占罚单总数的绝对多数。销售端的问题出在代理人激励机制的扭曲——佣金驱动下夸大收益、隐瞒风险是必然结果；信披端的问题出在险企为掩盖经营问题而粉饰报表——财务数据不真实、报表报送失真的背后，往往是对偿付能力或盈利能力的焦虑。</w:t>
      </w:r>
    </w:p>
    <w:p w14:paraId="2A8A1A3F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华安财险的案例极具标本意义。一家成立近30年的老牌财险公司，年罚没超1100万元，董事长“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none"/>
          <w:shd w:val="clear" w:fill="FFFFFF"/>
        </w:rPr>
        <w:t>空悬”超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none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none"/>
          <w:shd w:val="clear" w:fill="FFFFFF"/>
        </w:rPr>
        <w:t>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，部分责任人屡罚屡犯。业务在扩张，合规却空心化；净利润大涨，治理却跛脚——这不只是华安的问题，而是整个保险行业在规模冲动与合规底线之间长期失衡的缩影。</w:t>
      </w:r>
    </w:p>
    <w:p w14:paraId="772AB7E8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随着《保险销售行为管理办法》等监管制度全面落地，未来监管将持续聚焦消费者权益保护、经营数据真实性、公司治理有效性三大核心方向。974张罚单、9032万元罚款只是开始。真正的考验在于——当每一笔销售都全程可回溯、每一份报表都穿透可查、每一个责任人都在问责链条上时，保险公司还能不能靠“规模扩张”的老路子活下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6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5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4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3F058F8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5B83632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4E846CA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C34959"/>
    <w:rsid w:val="76EE1CCF"/>
    <w:rsid w:val="776963DA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7"/>
    <w:semiHidden/>
    <w:unhideWhenUsed/>
    <w:qFormat/>
    <w:uiPriority w:val="0"/>
    <w:pPr>
      <w:tabs>
        <w:tab w:val="left" w:pos="312"/>
      </w:tabs>
      <w:ind w:firstLine="0" w:firstLineChars="0"/>
      <w:jc w:val="left"/>
      <w:outlineLvl w:val="2"/>
    </w:pPr>
    <w:rPr>
      <w:rFonts w:ascii="Times New Roman" w:hAnsi="Times New Roman" w:eastAsia="黑体"/>
      <w:sz w:val="24"/>
      <w:szCs w:val="30"/>
    </w:rPr>
  </w:style>
  <w:style w:type="paragraph" w:styleId="5">
    <w:name w:val="heading 4"/>
    <w:basedOn w:val="1"/>
    <w:next w:val="6"/>
    <w:link w:val="47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2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uiPriority w:val="0"/>
    <w:rPr>
      <w:sz w:val="24"/>
    </w:rPr>
  </w:style>
  <w:style w:type="paragraph" w:styleId="22">
    <w:name w:val="Title"/>
    <w:basedOn w:val="1"/>
    <w:next w:val="1"/>
    <w:link w:val="53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customStyle="1" w:styleId="26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7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8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29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0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1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2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3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4">
    <w:name w:val="目录"/>
    <w:basedOn w:val="1"/>
    <w:next w:val="1"/>
    <w:link w:val="35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5">
    <w:name w:val="目录 Char"/>
    <w:link w:val="34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6">
    <w:name w:val="目录1"/>
    <w:basedOn w:val="14"/>
    <w:next w:val="34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7">
    <w:name w:val="图序与图名"/>
    <w:basedOn w:val="1"/>
    <w:link w:val="58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8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39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0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1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2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3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4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5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6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7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8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49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0">
    <w:name w:val="一级标题"/>
    <w:basedOn w:val="1"/>
    <w:link w:val="51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1">
    <w:name w:val="一级标题 Char"/>
    <w:link w:val="50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3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4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5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6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7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8">
    <w:name w:val="图序与图名 Char"/>
    <w:link w:val="37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59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0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1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1740</Words>
  <Characters>1876</Characters>
  <Lines>0</Lines>
  <Paragraphs>0</Paragraphs>
  <TotalTime>227</TotalTime>
  <ScaleCrop>false</ScaleCrop>
  <LinksUpToDate>false</LinksUpToDate>
  <CharactersWithSpaces>1876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2026-04-23T07:10:36Z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62A2218FCE1A4E04BB60545DDAF4B410_13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