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D8FD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p>
    <w:p w14:paraId="24F5095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2026年一季报的底色，是反转。</w:t>
      </w:r>
    </w:p>
    <w:p w14:paraId="27B0B56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平安银行营收同比大增4.7%，而就在三个月前，它还在以-10.4%的全年增速刷新市场底线</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"http://stockfinance.sina.cn/stock/go.php/paper/reportid/830537059568/index.phtml?vt=4"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。杭州银行净利润增速站上10.09%</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"https://data.eastmoney.com/notices/detail/600926/AN202604221821467198.html"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，齐鲁银行营收与净利双双实现两位数增长，南京银行在一季度再下一城</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营收161.11亿元，同比增长13.54%，归母净利润66亿元，同比增长8.05%</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"https://www.sohu.com/a/1013665449_237556?scm=10001.325_13-325_13.0.0-0-0-0-0.5_1334&amp;spm=smpc.channel_248.block3_308_NDdFbm_1_fd.1.1776951341458R02TGxd_324&amp;_trans_=060008_lym"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FEF1A79">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截至4月23日，10家已披露一季报的上市银行营收和归母净利润全部实现正增长</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"https://news.futunn.com/post/72077625?level=1&amp;data_ticket=1777259710234340"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3C54DE1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但这幅反转全景图一旦被拆解开来，就露出了内部巨大的裂痕</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有些银行的反转是真实经营改善驱动的真反转，另一些则是在极低基数上被政策红利暂时拉升的假性复苏。两种反转的含金量，天差地别。</w:t>
      </w:r>
    </w:p>
    <w:p w14:paraId="4AF2DA0A">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平安银行</w:t>
      </w:r>
      <w:r>
        <w:rPr>
          <w:rFonts w:hint="eastAsia" w:ascii="Segoe UI" w:hAnsi="Segoe UI" w:cs="Segoe UI"/>
          <w:b/>
          <w:bCs/>
          <w:caps w:val="0"/>
          <w:color w:val="0F1115"/>
          <w:spacing w:val="0"/>
          <w:sz w:val="26"/>
          <w:szCs w:val="26"/>
          <w:shd w:val="clear" w:fill="FFFFFF"/>
          <w:lang w:eastAsia="zh-CN"/>
        </w:rPr>
        <w:t>，</w:t>
      </w:r>
      <w:r>
        <w:rPr>
          <w:rFonts w:hint="default" w:ascii="Segoe UI" w:hAnsi="Segoe UI" w:eastAsia="Segoe UI" w:cs="Segoe UI"/>
          <w:b/>
          <w:bCs/>
          <w:caps w:val="0"/>
          <w:color w:val="0F1115"/>
          <w:spacing w:val="0"/>
          <w:sz w:val="26"/>
          <w:szCs w:val="26"/>
          <w:shd w:val="clear" w:fill="FFFFFF"/>
        </w:rPr>
        <w:t>-10.4%到+4.7%，这次是真的回来了</w:t>
      </w:r>
    </w:p>
    <w:p w14:paraId="406F057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平安银行2026年一季报，是整个银行业反转叙事的最强主角。</w:t>
      </w:r>
    </w:p>
    <w:p w14:paraId="1BF208B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三组关键数据构成了一张完整的反转拼图：</w:t>
      </w:r>
    </w:p>
    <w:p w14:paraId="37C1776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第一组：营收和利润全面由负转正。</w:t>
      </w:r>
      <w:r>
        <w:rPr>
          <w:rFonts w:hint="default" w:ascii="Segoe UI" w:hAnsi="Segoe UI" w:eastAsia="Segoe UI" w:cs="Segoe UI"/>
          <w:i w:val="0"/>
          <w:iCs w:val="0"/>
          <w:caps w:val="0"/>
          <w:color w:val="0F1115"/>
          <w:spacing w:val="0"/>
          <w:sz w:val="19"/>
          <w:szCs w:val="19"/>
          <w:shd w:val="clear" w:fill="FFFFFF"/>
        </w:rPr>
        <w:t> 1Q26实现营业收入352.77亿元，同比增长4.7%，较2025年全年-10.4%的增速环比大幅提升15.1个百分点。归母净利润145.23亿元，同比增长3.0%，2025年全年还是-4.2%。营收、拨备前利润、归母净利润三项核心指标全部由负转正</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"http://stockfinance.sina.cn/stock/go.php/paper/reportid/830537059568/index.phtml?vt=4"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781962C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第二组：净息差从失血到止血。</w:t>
      </w:r>
      <w:r>
        <w:rPr>
          <w:rFonts w:hint="default" w:ascii="Segoe UI" w:hAnsi="Segoe UI" w:eastAsia="Segoe UI" w:cs="Segoe UI"/>
          <w:i w:val="0"/>
          <w:iCs w:val="0"/>
          <w:caps w:val="0"/>
          <w:color w:val="0F1115"/>
          <w:spacing w:val="0"/>
          <w:sz w:val="19"/>
          <w:szCs w:val="19"/>
          <w:shd w:val="clear" w:fill="FFFFFF"/>
        </w:rPr>
        <w:t> 1Q26净息差为1.79%，季度环比提升6个基点，同比仅下降4个基点，较2025年全年还提升了1个基点。资产端生息资产收益率环比回升1个基点至3.24%，负债端计息负债成本率环比大幅下降6个基点至1.45%</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"http://stockfinance.sina.cn/stock/go.php/paper/reportid/830537059568/index.phtml?vt=4"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。吸收存款平均付息率骤降至1.41%，较去年同期大幅下降40个基点</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"https://finance.eastmoney.com/a/202604273720850126.html"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。存款成本率的断崖式下降，是平安银行息差止血的核心密码。</w:t>
      </w:r>
      <w:bookmarkStart w:id="0" w:name="_GoBack"/>
      <w:bookmarkEnd w:id="0"/>
    </w:p>
    <w:tbl>
      <w:tblPr>
        <w:tblStyle w:val="24"/>
        <w:tblpPr w:leftFromText="180" w:rightFromText="180" w:vertAnchor="text" w:horzAnchor="page" w:tblpX="1800" w:tblpY="1718"/>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68"/>
        <w:gridCol w:w="1894"/>
        <w:gridCol w:w="1391"/>
        <w:gridCol w:w="2647"/>
      </w:tblGrid>
      <w:tr w14:paraId="50883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510" w:type="pct"/>
            <w:tcBorders>
              <w:top w:val="single" w:color="FFFFFF" w:sz="4" w:space="0"/>
              <w:left w:val="single" w:color="FFFFFF" w:sz="4" w:space="0"/>
              <w:bottom w:val="single" w:color="FFFFFF" w:sz="4" w:space="0"/>
              <w:right w:val="single" w:color="FFFFFF" w:sz="4" w:space="0"/>
              <w:tl2br w:val="nil"/>
            </w:tcBorders>
            <w:shd w:val="clear" w:color="auto" w:fill="4874CB"/>
            <w:tcMar>
              <w:top w:w="120" w:type="dxa"/>
              <w:left w:w="0" w:type="dxa"/>
              <w:bottom w:w="120" w:type="dxa"/>
              <w:right w:w="192" w:type="dxa"/>
            </w:tcMar>
            <w:vAlign w:val="center"/>
          </w:tcPr>
          <w:p w14:paraId="5C7FC95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指标</w:t>
            </w:r>
          </w:p>
        </w:tc>
        <w:tc>
          <w:tcPr>
            <w:tcW w:w="1114" w:type="pct"/>
            <w:tcBorders>
              <w:top w:val="single" w:color="FFFFFF" w:sz="4" w:space="0"/>
              <w:left w:val="single" w:color="FFFFFF" w:sz="4" w:space="0"/>
              <w:bottom w:val="single" w:color="FFFFFF" w:sz="4" w:space="0"/>
              <w:right w:val="single" w:color="FFFFFF" w:sz="4" w:space="0"/>
            </w:tcBorders>
            <w:shd w:val="clear" w:color="auto" w:fill="4874CB"/>
            <w:tcMar>
              <w:top w:w="120" w:type="dxa"/>
              <w:left w:w="192" w:type="dxa"/>
              <w:bottom w:w="120" w:type="dxa"/>
              <w:right w:w="192" w:type="dxa"/>
            </w:tcMar>
            <w:vAlign w:val="center"/>
          </w:tcPr>
          <w:p w14:paraId="63E41DD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2025年全年</w:t>
            </w:r>
          </w:p>
        </w:tc>
        <w:tc>
          <w:tcPr>
            <w:tcW w:w="818" w:type="pct"/>
            <w:tcBorders>
              <w:top w:val="single" w:color="FFFFFF" w:sz="4" w:space="0"/>
              <w:left w:val="single" w:color="FFFFFF" w:sz="4" w:space="0"/>
              <w:bottom w:val="single" w:color="FFFFFF" w:sz="4" w:space="0"/>
              <w:right w:val="single" w:color="FFFFFF" w:sz="4" w:space="0"/>
            </w:tcBorders>
            <w:shd w:val="clear" w:color="auto" w:fill="4874CB"/>
            <w:tcMar>
              <w:top w:w="120" w:type="dxa"/>
              <w:left w:w="192" w:type="dxa"/>
              <w:bottom w:w="120" w:type="dxa"/>
              <w:right w:w="192" w:type="dxa"/>
            </w:tcMar>
            <w:vAlign w:val="center"/>
          </w:tcPr>
          <w:p w14:paraId="61EB121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1Q26</w:t>
            </w:r>
          </w:p>
        </w:tc>
        <w:tc>
          <w:tcPr>
            <w:tcW w:w="1556" w:type="pct"/>
            <w:tcBorders>
              <w:top w:val="single" w:color="FFFFFF" w:sz="4" w:space="0"/>
              <w:left w:val="single" w:color="FFFFFF" w:sz="4" w:space="0"/>
              <w:bottom w:val="single" w:color="FFFFFF" w:sz="4" w:space="0"/>
              <w:right w:val="single" w:color="FFFFFF" w:sz="4" w:space="0"/>
            </w:tcBorders>
            <w:shd w:val="clear" w:color="auto" w:fill="4874CB"/>
            <w:tcMar>
              <w:top w:w="120" w:type="dxa"/>
              <w:left w:w="192" w:type="dxa"/>
              <w:bottom w:w="120" w:type="dxa"/>
              <w:right w:w="192" w:type="dxa"/>
            </w:tcMar>
            <w:vAlign w:val="center"/>
          </w:tcPr>
          <w:p w14:paraId="1535196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变化</w:t>
            </w:r>
          </w:p>
        </w:tc>
      </w:tr>
      <w:tr w14:paraId="4AB87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10" w:type="pct"/>
            <w:tcBorders>
              <w:top w:val="single" w:color="FFFFFF" w:sz="4" w:space="0"/>
              <w:left w:val="single" w:color="FFFFFF" w:sz="4" w:space="0"/>
              <w:bottom w:val="single" w:color="FFFFFF" w:sz="4" w:space="0"/>
              <w:right w:val="single" w:color="FFFFFF" w:sz="4" w:space="0"/>
            </w:tcBorders>
            <w:shd w:val="clear" w:color="auto" w:fill="B6C8EB"/>
            <w:tcMar>
              <w:top w:w="120" w:type="dxa"/>
              <w:left w:w="0" w:type="dxa"/>
              <w:bottom w:w="120" w:type="dxa"/>
              <w:right w:w="192" w:type="dxa"/>
            </w:tcMar>
            <w:vAlign w:val="center"/>
          </w:tcPr>
          <w:p w14:paraId="65FFF84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营收增速</w:t>
            </w:r>
          </w:p>
        </w:tc>
        <w:tc>
          <w:tcPr>
            <w:tcW w:w="1114"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77AE388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Style w:val="26"/>
                <w:rFonts w:hint="default" w:ascii="Segoe UI" w:hAnsi="Segoe UI" w:eastAsia="Segoe UI" w:cs="Segoe UI"/>
                <w:b w:val="0"/>
                <w:bCs/>
                <w:snapToGrid w:val="0"/>
                <w:color w:val="000000"/>
                <w:kern w:val="0"/>
                <w:sz w:val="18"/>
                <w:szCs w:val="18"/>
                <w:lang w:val="en-US" w:eastAsia="zh-CN" w:bidi="ar"/>
              </w:rPr>
              <w:t>-10.4%</w:t>
            </w:r>
          </w:p>
        </w:tc>
        <w:tc>
          <w:tcPr>
            <w:tcW w:w="818"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0EEDDA70">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Style w:val="26"/>
                <w:rFonts w:hint="default" w:ascii="Segoe UI" w:hAnsi="Segoe UI" w:eastAsia="Segoe UI" w:cs="Segoe UI"/>
                <w:b w:val="0"/>
                <w:bCs/>
                <w:snapToGrid w:val="0"/>
                <w:color w:val="000000"/>
                <w:kern w:val="0"/>
                <w:sz w:val="18"/>
                <w:szCs w:val="18"/>
                <w:lang w:val="en-US" w:eastAsia="zh-CN" w:bidi="ar"/>
              </w:rPr>
              <w:t>+4.7%</w:t>
            </w:r>
          </w:p>
        </w:tc>
        <w:tc>
          <w:tcPr>
            <w:tcW w:w="1556"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0" w:type="dxa"/>
            </w:tcMar>
            <w:vAlign w:val="center"/>
          </w:tcPr>
          <w:p w14:paraId="30798A4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+15.1pct</w:t>
            </w:r>
          </w:p>
        </w:tc>
      </w:tr>
      <w:tr w14:paraId="5B84D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0" w:type="pct"/>
            <w:tcBorders>
              <w:top w:val="single" w:color="FFFFFF" w:sz="4" w:space="0"/>
              <w:left w:val="single" w:color="FFFFFF" w:sz="4" w:space="0"/>
              <w:bottom w:val="single" w:color="FFFFFF" w:sz="4" w:space="0"/>
              <w:right w:val="single" w:color="FFFFFF" w:sz="4" w:space="0"/>
            </w:tcBorders>
            <w:shd w:val="clear" w:color="auto" w:fill="DAE3F5"/>
            <w:tcMar>
              <w:top w:w="120" w:type="dxa"/>
              <w:left w:w="0" w:type="dxa"/>
              <w:bottom w:w="120" w:type="dxa"/>
              <w:right w:w="192" w:type="dxa"/>
            </w:tcMar>
            <w:vAlign w:val="center"/>
          </w:tcPr>
          <w:p w14:paraId="6E94741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归母净利润增速</w:t>
            </w:r>
          </w:p>
        </w:tc>
        <w:tc>
          <w:tcPr>
            <w:tcW w:w="1114"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3A1453C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-4.2%</w:t>
            </w:r>
          </w:p>
        </w:tc>
        <w:tc>
          <w:tcPr>
            <w:tcW w:w="818"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7EB6AF5E">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+3.0%</w:t>
            </w:r>
          </w:p>
        </w:tc>
        <w:tc>
          <w:tcPr>
            <w:tcW w:w="1556"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0" w:type="dxa"/>
            </w:tcMar>
            <w:vAlign w:val="center"/>
          </w:tcPr>
          <w:p w14:paraId="185BBD4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+7.2pct</w:t>
            </w:r>
          </w:p>
        </w:tc>
      </w:tr>
      <w:tr w14:paraId="0F454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10" w:type="pct"/>
            <w:tcBorders>
              <w:top w:val="single" w:color="FFFFFF" w:sz="4" w:space="0"/>
              <w:left w:val="single" w:color="FFFFFF" w:sz="4" w:space="0"/>
              <w:bottom w:val="single" w:color="FFFFFF" w:sz="4" w:space="0"/>
              <w:right w:val="single" w:color="FFFFFF" w:sz="4" w:space="0"/>
            </w:tcBorders>
            <w:shd w:val="clear" w:color="auto" w:fill="B6C8EB"/>
            <w:tcMar>
              <w:top w:w="120" w:type="dxa"/>
              <w:left w:w="0" w:type="dxa"/>
              <w:bottom w:w="120" w:type="dxa"/>
              <w:right w:w="192" w:type="dxa"/>
            </w:tcMar>
            <w:vAlign w:val="center"/>
          </w:tcPr>
          <w:p w14:paraId="0CE726C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净息差</w:t>
            </w:r>
          </w:p>
        </w:tc>
        <w:tc>
          <w:tcPr>
            <w:tcW w:w="1114"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4C1C8C5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1.78%</w:t>
            </w:r>
          </w:p>
        </w:tc>
        <w:tc>
          <w:tcPr>
            <w:tcW w:w="818"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4E85CF4A">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1.79%</w:t>
            </w:r>
          </w:p>
        </w:tc>
        <w:tc>
          <w:tcPr>
            <w:tcW w:w="1556"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0" w:type="dxa"/>
            </w:tcMar>
            <w:vAlign w:val="center"/>
          </w:tcPr>
          <w:p w14:paraId="75919AF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+1bp（环比+6bp）</w:t>
            </w:r>
          </w:p>
        </w:tc>
      </w:tr>
      <w:tr w14:paraId="1B792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10" w:type="pct"/>
            <w:tcBorders>
              <w:top w:val="single" w:color="FFFFFF" w:sz="4" w:space="0"/>
              <w:left w:val="single" w:color="FFFFFF" w:sz="4" w:space="0"/>
              <w:bottom w:val="single" w:color="FFFFFF" w:sz="4" w:space="0"/>
              <w:right w:val="single" w:color="FFFFFF" w:sz="4" w:space="0"/>
            </w:tcBorders>
            <w:shd w:val="clear" w:color="auto" w:fill="DAE3F5"/>
            <w:tcMar>
              <w:top w:w="120" w:type="dxa"/>
              <w:left w:w="0" w:type="dxa"/>
              <w:bottom w:w="120" w:type="dxa"/>
              <w:right w:w="192" w:type="dxa"/>
            </w:tcMar>
            <w:vAlign w:val="center"/>
          </w:tcPr>
          <w:p w14:paraId="7DB0944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存款付息率</w:t>
            </w:r>
          </w:p>
        </w:tc>
        <w:tc>
          <w:tcPr>
            <w:tcW w:w="1114"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2A33E96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1.65%</w:t>
            </w:r>
          </w:p>
        </w:tc>
        <w:tc>
          <w:tcPr>
            <w:tcW w:w="818"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1F19E33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1.41%</w:t>
            </w:r>
          </w:p>
        </w:tc>
        <w:tc>
          <w:tcPr>
            <w:tcW w:w="1556"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0" w:type="dxa"/>
            </w:tcMar>
            <w:vAlign w:val="center"/>
          </w:tcPr>
          <w:p w14:paraId="4ACAB0E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-24bp（同比-40bp）</w:t>
            </w:r>
          </w:p>
        </w:tc>
      </w:tr>
      <w:tr w14:paraId="68D9A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10" w:type="pct"/>
            <w:tcBorders>
              <w:top w:val="single" w:color="FFFFFF" w:sz="4" w:space="0"/>
              <w:left w:val="single" w:color="FFFFFF" w:sz="4" w:space="0"/>
              <w:bottom w:val="single" w:color="FFFFFF" w:sz="4" w:space="0"/>
              <w:right w:val="single" w:color="FFFFFF" w:sz="4" w:space="0"/>
            </w:tcBorders>
            <w:shd w:val="clear" w:color="auto" w:fill="B6C8EB"/>
            <w:tcMar>
              <w:top w:w="120" w:type="dxa"/>
              <w:left w:w="0" w:type="dxa"/>
              <w:bottom w:w="120" w:type="dxa"/>
              <w:right w:w="192" w:type="dxa"/>
            </w:tcMar>
            <w:vAlign w:val="center"/>
          </w:tcPr>
          <w:p w14:paraId="09FD54D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手续费净收入增速</w:t>
            </w:r>
          </w:p>
        </w:tc>
        <w:tc>
          <w:tcPr>
            <w:tcW w:w="1114"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7D90B04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-0.9%</w:t>
            </w:r>
          </w:p>
        </w:tc>
        <w:tc>
          <w:tcPr>
            <w:tcW w:w="818"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2751438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+11.7%</w:t>
            </w:r>
          </w:p>
        </w:tc>
        <w:tc>
          <w:tcPr>
            <w:tcW w:w="1556"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0" w:type="dxa"/>
            </w:tcMar>
            <w:vAlign w:val="center"/>
          </w:tcPr>
          <w:p w14:paraId="2F54060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+12.6pct</w:t>
            </w:r>
          </w:p>
        </w:tc>
      </w:tr>
      <w:tr w14:paraId="36E96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10" w:type="pct"/>
            <w:tcBorders>
              <w:top w:val="single" w:color="FFFFFF" w:sz="4" w:space="0"/>
              <w:left w:val="single" w:color="FFFFFF" w:sz="4" w:space="0"/>
              <w:bottom w:val="single" w:color="FFFFFF" w:sz="4" w:space="0"/>
              <w:right w:val="single" w:color="FFFFFF" w:sz="4" w:space="0"/>
            </w:tcBorders>
            <w:shd w:val="clear" w:color="auto" w:fill="DAE3F5"/>
            <w:tcMar>
              <w:top w:w="120" w:type="dxa"/>
              <w:left w:w="0" w:type="dxa"/>
              <w:bottom w:w="120" w:type="dxa"/>
              <w:right w:w="192" w:type="dxa"/>
            </w:tcMar>
            <w:vAlign w:val="center"/>
          </w:tcPr>
          <w:p w14:paraId="275A28C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财富管理手续费增速</w:t>
            </w:r>
          </w:p>
        </w:tc>
        <w:tc>
          <w:tcPr>
            <w:tcW w:w="1114"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36B4DBB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c>
          <w:tcPr>
            <w:tcW w:w="818"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79D895C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Style w:val="26"/>
                <w:rFonts w:hint="default" w:ascii="Segoe UI" w:hAnsi="Segoe UI" w:eastAsia="Segoe UI" w:cs="Segoe UI"/>
                <w:b w:val="0"/>
                <w:bCs/>
                <w:snapToGrid w:val="0"/>
                <w:color w:val="000000"/>
                <w:kern w:val="0"/>
                <w:sz w:val="18"/>
                <w:szCs w:val="18"/>
                <w:lang w:val="en-US" w:eastAsia="zh-CN" w:bidi="ar"/>
              </w:rPr>
              <w:t>+55.1%</w:t>
            </w:r>
          </w:p>
        </w:tc>
        <w:tc>
          <w:tcPr>
            <w:tcW w:w="1556"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0" w:type="dxa"/>
            </w:tcMar>
            <w:vAlign w:val="center"/>
          </w:tcPr>
          <w:p w14:paraId="09B0C11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r>
      <w:tr w14:paraId="4BEA4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10" w:type="pct"/>
            <w:tcBorders>
              <w:top w:val="single" w:color="FFFFFF" w:sz="4" w:space="0"/>
              <w:left w:val="single" w:color="FFFFFF" w:sz="4" w:space="0"/>
              <w:bottom w:val="single" w:color="FFFFFF" w:sz="4" w:space="0"/>
              <w:right w:val="single" w:color="FFFFFF" w:sz="4" w:space="0"/>
            </w:tcBorders>
            <w:shd w:val="clear" w:color="auto" w:fill="B6C8EB"/>
            <w:tcMar>
              <w:top w:w="120" w:type="dxa"/>
              <w:left w:w="0" w:type="dxa"/>
              <w:bottom w:w="120" w:type="dxa"/>
              <w:right w:w="192" w:type="dxa"/>
            </w:tcMar>
            <w:vAlign w:val="center"/>
          </w:tcPr>
          <w:p w14:paraId="2A68514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不良率</w:t>
            </w:r>
          </w:p>
        </w:tc>
        <w:tc>
          <w:tcPr>
            <w:tcW w:w="1114"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59F6968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1.05%</w:t>
            </w:r>
          </w:p>
        </w:tc>
        <w:tc>
          <w:tcPr>
            <w:tcW w:w="818"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5C85B1E0">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1.05%</w:t>
            </w:r>
          </w:p>
        </w:tc>
        <w:tc>
          <w:tcPr>
            <w:tcW w:w="1556"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0" w:type="dxa"/>
            </w:tcMar>
            <w:vAlign w:val="center"/>
          </w:tcPr>
          <w:p w14:paraId="511FA7EA">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持平</w:t>
            </w:r>
          </w:p>
        </w:tc>
      </w:tr>
    </w:tbl>
    <w:p w14:paraId="6B69180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第三组：非息收入爆发式增长。</w:t>
      </w:r>
      <w:r>
        <w:rPr>
          <w:rFonts w:hint="default" w:ascii="Segoe UI" w:hAnsi="Segoe UI" w:eastAsia="Segoe UI" w:cs="Segoe UI"/>
          <w:i w:val="0"/>
          <w:iCs w:val="0"/>
          <w:caps w:val="0"/>
          <w:color w:val="0F1115"/>
          <w:spacing w:val="0"/>
          <w:sz w:val="19"/>
          <w:szCs w:val="19"/>
          <w:shd w:val="clear" w:fill="FFFFFF"/>
        </w:rPr>
        <w:t> 非利息净收入占比37.41%，同比上升5.01个百分点。手续费及佣金净收入74亿元，同比增长11.7%，全面扭转了去年同期微降0.9%的颓势。其中，财富管理手续费收入18.74亿元，同比暴增55.1%</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"https://finance.eastmoney.com/a/202604273720850126.html"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。代理个人保险收入同比增98.5%，代理个人基金收入同比增47.3%</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"https://finance.eastmoney.com/a/202604273720850126.html"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。其他非息收入58亿元，同比大增34.8%</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"https://finance.eastmoney.com/a/202604273720850126.html"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3C9A356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数据来源：平安银行2025年年报、2026年一季报，中信建投、光大金融等研报。</w:t>
      </w:r>
    </w:p>
    <w:p w14:paraId="43127099">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但反转叙事之下，结构性问题依然存在。</w:t>
      </w:r>
      <w:r>
        <w:rPr>
          <w:rFonts w:hint="default" w:ascii="Segoe UI" w:hAnsi="Segoe UI" w:eastAsia="Segoe UI" w:cs="Segoe UI"/>
          <w:i w:val="0"/>
          <w:iCs w:val="0"/>
          <w:caps w:val="0"/>
          <w:color w:val="0F1115"/>
          <w:spacing w:val="0"/>
          <w:sz w:val="19"/>
          <w:szCs w:val="19"/>
          <w:shd w:val="clear" w:fill="FFFFFF"/>
        </w:rPr>
        <w:t> 拨备覆盖率从220.88%下降至219.6%（季度环比</w:t>
      </w:r>
      <w:r>
        <w:rPr>
          <w:rFonts w:hint="default" w:ascii="Segoe UI" w:hAnsi="Segoe UI" w:eastAsia="Segoe UI" w:cs="Segoe UI"/>
          <w:i w:val="0"/>
          <w:iCs w:val="0"/>
          <w:caps w:val="0"/>
          <w:color w:val="0F1115"/>
          <w:spacing w:val="0"/>
          <w:sz w:val="19"/>
          <w:szCs w:val="19"/>
          <w:highlight w:val="yellow"/>
          <w:shd w:val="clear" w:fill="FFFFFF"/>
        </w:rPr>
        <w:t>下降1.</w:t>
      </w:r>
      <w:r>
        <w:rPr>
          <w:rFonts w:hint="eastAsia" w:ascii="Segoe UI" w:hAnsi="Segoe UI" w:eastAsia="宋体" w:cs="Segoe UI"/>
          <w:i w:val="0"/>
          <w:iCs w:val="0"/>
          <w:caps w:val="0"/>
          <w:color w:val="0F1115"/>
          <w:spacing w:val="0"/>
          <w:sz w:val="19"/>
          <w:szCs w:val="19"/>
          <w:highlight w:val="yellow"/>
          <w:shd w:val="clear" w:fill="FFFFFF"/>
          <w:lang w:val="en-US" w:eastAsia="zh-CN"/>
        </w:rPr>
        <w:t>28</w:t>
      </w:r>
      <w:r>
        <w:rPr>
          <w:rFonts w:hint="default" w:ascii="Segoe UI" w:hAnsi="Segoe UI" w:eastAsia="Segoe UI" w:cs="Segoe UI"/>
          <w:i w:val="0"/>
          <w:iCs w:val="0"/>
          <w:caps w:val="0"/>
          <w:color w:val="0F1115"/>
          <w:spacing w:val="0"/>
          <w:sz w:val="19"/>
          <w:szCs w:val="19"/>
          <w:shd w:val="clear" w:fill="FFFFFF"/>
        </w:rPr>
        <w:t>个百分点），安全垫仍在被缓慢消耗</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"http://stockfinance.sina.cn/stock/go.php/paper/reportid/830537059568/index.phtml?vt=4"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。零售贷款增速仅为0.3%，虽已转正，但与历史高峰期相比仍有相当距离</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"http://stockfinance.sina.cn/stock/go.php/paper/reportid/830537059568/index.phtml?vt=4"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。中信建投研报给出了审慎的判断：展望2026年，平安银行业务转型成效逐步凸显，营收、利润均能保持小个位数增长。</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不是V型暴冲，而是小个位数的微幅复苏</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"http://stockfinance.sina.cn/stock/go.php/paper/reportid/830537059568/index.phtml?vt=4"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B5E4510">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eastAsia" w:ascii="Segoe UI" w:hAnsi="Segoe UI" w:eastAsia="宋体" w:cs="Segoe UI"/>
          <w:b/>
          <w:bCs/>
          <w:caps w:val="0"/>
          <w:color w:val="0F1115"/>
          <w:spacing w:val="0"/>
          <w:sz w:val="26"/>
          <w:szCs w:val="26"/>
          <w:lang w:eastAsia="zh-CN"/>
        </w:rPr>
      </w:pPr>
      <w:r>
        <w:rPr>
          <w:rFonts w:hint="default" w:ascii="Segoe UI" w:hAnsi="Segoe UI" w:eastAsia="Segoe UI" w:cs="Segoe UI"/>
          <w:b/>
          <w:bCs/>
          <w:caps w:val="0"/>
          <w:color w:val="0F1115"/>
          <w:spacing w:val="0"/>
          <w:sz w:val="26"/>
          <w:szCs w:val="26"/>
          <w:shd w:val="clear" w:fill="FFFFFF"/>
        </w:rPr>
        <w:t>杭州银行</w:t>
      </w:r>
      <w:r>
        <w:rPr>
          <w:rFonts w:hint="eastAsia" w:ascii="Segoe UI" w:hAnsi="Segoe UI" w:cs="Segoe UI"/>
          <w:b/>
          <w:bCs/>
          <w:caps w:val="0"/>
          <w:color w:val="0F1115"/>
          <w:spacing w:val="0"/>
          <w:sz w:val="26"/>
          <w:szCs w:val="26"/>
          <w:shd w:val="clear" w:fill="FFFFFF"/>
          <w:lang w:eastAsia="zh-CN"/>
        </w:rPr>
        <w:t>，</w:t>
      </w:r>
      <w:r>
        <w:rPr>
          <w:rFonts w:hint="default" w:ascii="Segoe UI" w:hAnsi="Segoe UI" w:eastAsia="Segoe UI" w:cs="Segoe UI"/>
          <w:b/>
          <w:bCs/>
          <w:caps w:val="0"/>
          <w:color w:val="0F1115"/>
          <w:spacing w:val="0"/>
          <w:sz w:val="26"/>
          <w:szCs w:val="26"/>
          <w:shd w:val="clear" w:fill="FFFFFF"/>
        </w:rPr>
        <w:t>净利润增速从1.02%到10.09%</w:t>
      </w:r>
      <w:r>
        <w:rPr>
          <w:rFonts w:hint="eastAsia" w:ascii="Segoe UI" w:hAnsi="Segoe UI" w:cs="Segoe UI"/>
          <w:b/>
          <w:bCs/>
          <w:caps w:val="0"/>
          <w:color w:val="0F1115"/>
          <w:spacing w:val="0"/>
          <w:sz w:val="26"/>
          <w:szCs w:val="26"/>
          <w:shd w:val="clear" w:fill="FFFFFF"/>
          <w:lang w:eastAsia="zh-CN"/>
        </w:rPr>
        <w:t>，</w:t>
      </w:r>
      <w:r>
        <w:rPr>
          <w:rFonts w:hint="default" w:ascii="Segoe UI" w:hAnsi="Segoe UI" w:eastAsia="Segoe UI" w:cs="Segoe UI"/>
          <w:b/>
          <w:bCs/>
          <w:caps w:val="0"/>
          <w:color w:val="0F1115"/>
          <w:spacing w:val="0"/>
          <w:sz w:val="26"/>
          <w:szCs w:val="26"/>
          <w:shd w:val="clear" w:fill="FFFFFF"/>
        </w:rPr>
        <w:t>这才是最优质的反转样本</w:t>
      </w:r>
    </w:p>
    <w:p w14:paraId="0B48A75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杭州银行的2025年年报与2026年一季报构成了一组最令人叹服的反转曲线。</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2"/>
        <w:gridCol w:w="1809"/>
        <w:gridCol w:w="1712"/>
        <w:gridCol w:w="1272"/>
      </w:tblGrid>
      <w:tr w14:paraId="2A568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14:paraId="1379906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指标</w:t>
            </w:r>
          </w:p>
        </w:tc>
        <w:tc>
          <w:tcPr>
            <w:tcW w:w="0" w:type="auto"/>
            <w:tcBorders>
              <w:top w:val="nil"/>
            </w:tcBorders>
            <w:shd w:val="clear" w:color="auto" w:fill="auto"/>
            <w:tcMar>
              <w:top w:w="120" w:type="dxa"/>
              <w:left w:w="192" w:type="dxa"/>
              <w:bottom w:w="120" w:type="dxa"/>
              <w:right w:w="192" w:type="dxa"/>
            </w:tcMar>
            <w:vAlign w:val="center"/>
          </w:tcPr>
          <w:p w14:paraId="7A6622A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2025年年报</w:t>
            </w:r>
          </w:p>
        </w:tc>
        <w:tc>
          <w:tcPr>
            <w:tcW w:w="0" w:type="auto"/>
            <w:tcBorders>
              <w:top w:val="nil"/>
            </w:tcBorders>
            <w:shd w:val="clear" w:color="auto" w:fill="auto"/>
            <w:tcMar>
              <w:top w:w="120" w:type="dxa"/>
              <w:left w:w="192" w:type="dxa"/>
              <w:bottom w:w="120" w:type="dxa"/>
              <w:right w:w="192" w:type="dxa"/>
            </w:tcMar>
            <w:vAlign w:val="center"/>
          </w:tcPr>
          <w:p w14:paraId="2FEAE02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1Q26</w:t>
            </w:r>
          </w:p>
        </w:tc>
        <w:tc>
          <w:tcPr>
            <w:tcW w:w="0" w:type="auto"/>
            <w:tcBorders>
              <w:top w:val="nil"/>
            </w:tcBorders>
            <w:shd w:val="clear" w:color="auto" w:fill="auto"/>
            <w:tcMar>
              <w:top w:w="120" w:type="dxa"/>
              <w:left w:w="192" w:type="dxa"/>
              <w:bottom w:w="120" w:type="dxa"/>
              <w:right w:w="192" w:type="dxa"/>
            </w:tcMar>
            <w:vAlign w:val="center"/>
          </w:tcPr>
          <w:p w14:paraId="17A19E9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变化</w:t>
            </w:r>
          </w:p>
        </w:tc>
      </w:tr>
      <w:tr w14:paraId="1D46B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10BABE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营收增速</w:t>
            </w:r>
          </w:p>
        </w:tc>
        <w:tc>
          <w:tcPr>
            <w:tcW w:w="0" w:type="auto"/>
            <w:shd w:val="clear" w:color="auto" w:fill="auto"/>
            <w:tcMar>
              <w:top w:w="120" w:type="dxa"/>
              <w:left w:w="192" w:type="dxa"/>
              <w:bottom w:w="120" w:type="dxa"/>
              <w:right w:w="192" w:type="dxa"/>
            </w:tcMar>
            <w:vAlign w:val="center"/>
          </w:tcPr>
          <w:p w14:paraId="2BBE05B0">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+1.09%</w:t>
            </w:r>
          </w:p>
        </w:tc>
        <w:tc>
          <w:tcPr>
            <w:tcW w:w="0" w:type="auto"/>
            <w:shd w:val="clear" w:color="auto" w:fill="auto"/>
            <w:tcMar>
              <w:top w:w="120" w:type="dxa"/>
              <w:left w:w="192" w:type="dxa"/>
              <w:bottom w:w="120" w:type="dxa"/>
              <w:right w:w="192" w:type="dxa"/>
            </w:tcMar>
            <w:vAlign w:val="center"/>
          </w:tcPr>
          <w:p w14:paraId="4E2AB49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Style w:val="26"/>
                <w:rFonts w:hint="default" w:ascii="Segoe UI" w:hAnsi="Segoe UI" w:eastAsia="Segoe UI" w:cs="Segoe UI"/>
                <w:b/>
                <w:bCs/>
                <w:snapToGrid w:val="0"/>
                <w:color w:val="000000"/>
                <w:kern w:val="0"/>
                <w:sz w:val="18"/>
                <w:szCs w:val="18"/>
                <w:lang w:val="en-US" w:eastAsia="zh-CN" w:bidi="ar"/>
              </w:rPr>
              <w:t>+4.29%</w:t>
            </w:r>
          </w:p>
        </w:tc>
        <w:tc>
          <w:tcPr>
            <w:tcW w:w="0" w:type="auto"/>
            <w:shd w:val="clear" w:color="auto" w:fill="auto"/>
            <w:tcMar>
              <w:top w:w="120" w:type="dxa"/>
              <w:left w:w="192" w:type="dxa"/>
              <w:bottom w:w="120" w:type="dxa"/>
              <w:right w:w="0" w:type="dxa"/>
            </w:tcMar>
            <w:vAlign w:val="center"/>
          </w:tcPr>
          <w:p w14:paraId="5EBDA850">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+3.2pct</w:t>
            </w:r>
          </w:p>
        </w:tc>
      </w:tr>
      <w:tr w14:paraId="07929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89D603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归母净利润增速</w:t>
            </w:r>
          </w:p>
        </w:tc>
        <w:tc>
          <w:tcPr>
            <w:tcW w:w="0" w:type="auto"/>
            <w:shd w:val="clear" w:color="auto" w:fill="auto"/>
            <w:tcMar>
              <w:top w:w="120" w:type="dxa"/>
              <w:left w:w="192" w:type="dxa"/>
              <w:bottom w:w="120" w:type="dxa"/>
              <w:right w:w="192" w:type="dxa"/>
            </w:tcMar>
            <w:vAlign w:val="center"/>
          </w:tcPr>
          <w:p w14:paraId="5C9DE3C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Style w:val="26"/>
                <w:rFonts w:hint="default" w:ascii="Segoe UI" w:hAnsi="Segoe UI" w:eastAsia="Segoe UI" w:cs="Segoe UI"/>
                <w:b/>
                <w:bCs/>
                <w:snapToGrid w:val="0"/>
                <w:color w:val="000000"/>
                <w:kern w:val="0"/>
                <w:sz w:val="18"/>
                <w:szCs w:val="18"/>
                <w:lang w:val="en-US" w:eastAsia="zh-CN" w:bidi="ar"/>
              </w:rPr>
              <w:t>+12.05%</w:t>
            </w:r>
          </w:p>
        </w:tc>
        <w:tc>
          <w:tcPr>
            <w:tcW w:w="0" w:type="auto"/>
            <w:shd w:val="clear" w:color="auto" w:fill="auto"/>
            <w:tcMar>
              <w:top w:w="120" w:type="dxa"/>
              <w:left w:w="192" w:type="dxa"/>
              <w:bottom w:w="120" w:type="dxa"/>
              <w:right w:w="192" w:type="dxa"/>
            </w:tcMar>
            <w:vAlign w:val="center"/>
          </w:tcPr>
          <w:p w14:paraId="64636F2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Style w:val="26"/>
                <w:rFonts w:hint="default" w:ascii="Segoe UI" w:hAnsi="Segoe UI" w:eastAsia="Segoe UI" w:cs="Segoe UI"/>
                <w:b/>
                <w:bCs/>
                <w:snapToGrid w:val="0"/>
                <w:color w:val="000000"/>
                <w:kern w:val="0"/>
                <w:sz w:val="18"/>
                <w:szCs w:val="18"/>
                <w:lang w:val="en-US" w:eastAsia="zh-CN" w:bidi="ar"/>
              </w:rPr>
              <w:t>10.09%</w:t>
            </w:r>
          </w:p>
        </w:tc>
        <w:tc>
          <w:tcPr>
            <w:tcW w:w="0" w:type="auto"/>
            <w:shd w:val="clear" w:color="auto" w:fill="auto"/>
            <w:tcMar>
              <w:top w:w="120" w:type="dxa"/>
              <w:left w:w="192" w:type="dxa"/>
              <w:bottom w:w="120" w:type="dxa"/>
              <w:right w:w="0" w:type="dxa"/>
            </w:tcMar>
            <w:vAlign w:val="center"/>
          </w:tcPr>
          <w:p w14:paraId="2DB2854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连续高增</w:t>
            </w:r>
          </w:p>
        </w:tc>
      </w:tr>
      <w:tr w14:paraId="2E325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467934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净利润绝对值</w:t>
            </w:r>
          </w:p>
        </w:tc>
        <w:tc>
          <w:tcPr>
            <w:tcW w:w="0" w:type="auto"/>
            <w:shd w:val="clear" w:color="auto" w:fill="auto"/>
            <w:tcMar>
              <w:top w:w="120" w:type="dxa"/>
              <w:left w:w="192" w:type="dxa"/>
              <w:bottom w:w="120" w:type="dxa"/>
              <w:right w:w="192" w:type="dxa"/>
            </w:tcMar>
            <w:vAlign w:val="center"/>
          </w:tcPr>
          <w:p w14:paraId="4C9151BF">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190.29亿（全年）</w:t>
            </w:r>
          </w:p>
        </w:tc>
        <w:tc>
          <w:tcPr>
            <w:tcW w:w="0" w:type="auto"/>
            <w:shd w:val="clear" w:color="auto" w:fill="auto"/>
            <w:tcMar>
              <w:top w:w="120" w:type="dxa"/>
              <w:left w:w="192" w:type="dxa"/>
              <w:bottom w:w="120" w:type="dxa"/>
              <w:right w:w="192" w:type="dxa"/>
            </w:tcMar>
            <w:vAlign w:val="center"/>
          </w:tcPr>
          <w:p w14:paraId="11DF4F5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66.29亿（单季）</w:t>
            </w:r>
          </w:p>
        </w:tc>
        <w:tc>
          <w:tcPr>
            <w:tcW w:w="0" w:type="auto"/>
            <w:shd w:val="clear" w:color="auto" w:fill="auto"/>
            <w:tcMar>
              <w:top w:w="120" w:type="dxa"/>
              <w:left w:w="192" w:type="dxa"/>
              <w:bottom w:w="120" w:type="dxa"/>
              <w:right w:w="0" w:type="dxa"/>
            </w:tcMar>
            <w:vAlign w:val="center"/>
          </w:tcPr>
          <w:p w14:paraId="4B83C09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w:t>
            </w:r>
          </w:p>
        </w:tc>
      </w:tr>
      <w:tr w14:paraId="1EB58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4D1649F">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扣非净利润增速</w:t>
            </w:r>
          </w:p>
        </w:tc>
        <w:tc>
          <w:tcPr>
            <w:tcW w:w="0" w:type="auto"/>
            <w:shd w:val="clear" w:color="auto" w:fill="auto"/>
            <w:tcMar>
              <w:top w:w="120" w:type="dxa"/>
              <w:left w:w="192" w:type="dxa"/>
              <w:bottom w:w="120" w:type="dxa"/>
              <w:right w:w="192" w:type="dxa"/>
            </w:tcMar>
            <w:vAlign w:val="center"/>
          </w:tcPr>
          <w:p w14:paraId="3E37D5E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w:t>
            </w:r>
          </w:p>
        </w:tc>
        <w:tc>
          <w:tcPr>
            <w:tcW w:w="0" w:type="auto"/>
            <w:shd w:val="clear" w:color="auto" w:fill="auto"/>
            <w:tcMar>
              <w:top w:w="120" w:type="dxa"/>
              <w:left w:w="192" w:type="dxa"/>
              <w:bottom w:w="120" w:type="dxa"/>
              <w:right w:w="192" w:type="dxa"/>
            </w:tcMar>
            <w:vAlign w:val="center"/>
          </w:tcPr>
          <w:p w14:paraId="0C67189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Style w:val="26"/>
                <w:rFonts w:hint="default" w:ascii="Segoe UI" w:hAnsi="Segoe UI" w:eastAsia="Segoe UI" w:cs="Segoe UI"/>
                <w:b/>
                <w:bCs/>
                <w:snapToGrid w:val="0"/>
                <w:color w:val="000000"/>
                <w:kern w:val="0"/>
                <w:sz w:val="18"/>
                <w:szCs w:val="18"/>
                <w:lang w:val="en-US" w:eastAsia="zh-CN" w:bidi="ar"/>
              </w:rPr>
              <w:t>+10.85%</w:t>
            </w:r>
          </w:p>
        </w:tc>
        <w:tc>
          <w:tcPr>
            <w:tcW w:w="0" w:type="auto"/>
            <w:shd w:val="clear" w:color="auto" w:fill="auto"/>
            <w:tcMar>
              <w:top w:w="120" w:type="dxa"/>
              <w:left w:w="192" w:type="dxa"/>
              <w:bottom w:w="120" w:type="dxa"/>
              <w:right w:w="0" w:type="dxa"/>
            </w:tcMar>
            <w:vAlign w:val="center"/>
          </w:tcPr>
          <w:p w14:paraId="275CF8DA">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left"/>
              <w:textAlignment w:val="baseline"/>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bidi="ar"/>
              </w:rPr>
              <w:t>真实经营改善</w:t>
            </w:r>
          </w:p>
        </w:tc>
      </w:tr>
    </w:tbl>
    <w:p w14:paraId="248E566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数据来源：杭州银行2025年年报、2026年一季报</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"https://data.eastmoney.com/notices/detail/600926/AN202604221821467198.html"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2B469A7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杭州银行的年报显示，2025年营收增速仅为1.09%，几乎是停滞状态。但净利润增速达到了12.05%，说明其盈利增长不依赖营收的粗放扩张，而是靠更精细的成本管控和更扎实的资产质量。进入2026年，杭州银行一季报营收增速飙升至4.29%，归母净利润增速继续保持两位数（10.09%），扣非净利润增速更是高达10.85%</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"https://data.eastmoney.com/notices/detail/600926/AN202604221821467198.html"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E0578F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为什么说杭州银行的反转是最干净的？</w:t>
      </w:r>
    </w:p>
    <w:p w14:paraId="36D9672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因为它没有吃掉拨备来做利润。平安银行的拨备覆盖率在下降，而杭州银行</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2025年末不良贷款率仅0.76%，拨备覆盖率达502.24%，在上市银行中高居榜首。这意味着杭州银行的利润增长不但不需要靠拨备释放来粉饰，反而随时有超过500%的拨备家底可以用来对冲未来的风险波动。</w:t>
      </w:r>
    </w:p>
    <w:p w14:paraId="0F10B21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南京银行的数据同样值得细品。2025年全年营收增速10.48%，归母净利润218.07亿元，同比增长8.08%</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"https://www.sohu.com/a/1013665449_237556?scm=10001.325_13-325_13.0.0-0-0-0-0.5_1334&amp;spm=smpc.channel_248.block3_308_NDdFbm_1_fd.1.1776951341458R02TGxd_324&amp;_trans_=060008_lym"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。一季报再接再厉：营收161.11亿元，同比增长13.54%；归母净利润66亿元，同比增长8.05%</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"https://www.sohu.com/a/1013665449_237556?scm=10001.325_13-325_13.0.0-0-0-0-0.5_1334&amp;spm=smpc.channel_248.block3_308_NDdFbm_1_fd.1.1776951341458R02TGxd_324&amp;_trans_=060008_lym"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增速几乎与全年持平。这说明南京银行的高增长不是报复性反弹，而是持续的惯性上行。</w:t>
      </w:r>
    </w:p>
    <w:p w14:paraId="45AB3A1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齐鲁银行的成绩更加令人艳羡：2025年全年营收增长5.12%，归母净利润增长14.58%；一季报营收再增13.02%，归母净利润再增14.01%</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"https://www.sohu.com/a/1013665449_237556?scm=10001.325_13-325_13.0.0-0-0-0-0.5_1334&amp;spm=smpc.channel_248.block3_308_NDdFbm_1_fd.1.1776951341458R02TGxd_324&amp;_trans_=060008_lym"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净利润连续两个季度保持双位数增长。这种连续高增的模式，说明不是政策刺激下的一次性放量，而是业务结构持续优化带来的内生增长。</w:t>
      </w:r>
    </w:p>
    <w:p w14:paraId="4A60CF6F">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西安银行：41.54%的增速背后，全是十五五的红利</w:t>
      </w:r>
    </w:p>
    <w:p w14:paraId="2D3BBF3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在一季报的反转大合唱中，西安银行是第一高音</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营收同比暴增41.54%，在已披露一季报的银行中一骑绝尘</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"https://news.futunn.com/post/72077625?level=1&amp;data_ticket=1777259710234340"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F29E43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但这个高音区有一个致命的短板：</w:t>
      </w:r>
      <w:r>
        <w:rPr>
          <w:rStyle w:val="26"/>
          <w:rFonts w:hint="default" w:ascii="Segoe UI" w:hAnsi="Segoe UI" w:eastAsia="Segoe UI" w:cs="Segoe UI"/>
          <w:b/>
          <w:bCs/>
          <w:i w:val="0"/>
          <w:iCs w:val="0"/>
          <w:caps w:val="0"/>
          <w:color w:val="0F1115"/>
          <w:spacing w:val="0"/>
          <w:sz w:val="19"/>
          <w:szCs w:val="19"/>
          <w:shd w:val="clear" w:fill="FFFFFF"/>
        </w:rPr>
        <w:t>利息净收入是唯一的引擎。</w:t>
      </w:r>
    </w:p>
    <w:p w14:paraId="28A6B14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一季度，西安银行利息净收入24.71亿元，同比增长36.77%，贡献了41.54%营收增速中的绝对主力</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"https://news.futunn.com/post/72077625?level=1&amp;data_ticket=1777259710234340"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。多位业内人士指出，一季度后半段，省市县都启动‘十五五’相关的大中型项目，对地方银行的融资需求增加，而且规模较大周期较长，在利息方面相对前两年较高。</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"https://news.futunn.com/post/71909112/the-first-quarter-reports-of-the-initial-seven-listed-banks?futusource=news_newspage_recommend&amp;level=1&amp;data_ticket=1776916732363124"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p>
    <w:p w14:paraId="4D37CE5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把西安银行的年报和一季报放在一起看，问题立刻暴露：2025年全年营收99.66亿元，同比增长21.68%</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已经是高速增长</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"https://news.futunn.com/post/72077625?level=1&amp;data_ticket=1777259710234340"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。但它的业务高度集中在西安市。年报数据显示，西安银行去年在西安地区实现营收95.32亿元，营业利润26.10亿元；而在西安以外的其他地区，营收仅4.33亿元，营业利润为-1.04亿元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"https://news.futunn.com/post/72077625?level=1&amp;data_ticket=1777259710234340"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BC2191D">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更值得警惕的是，2026年一季度，西安银行贷款余额较上年末下降了0.83%，主要受个人贷款萎缩拖累</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"https://news.futunn.com/post/71909112/the-first-quarter-reports-of-the-initial-seven-listed-banks?futusource=news_newspage_recommend&amp;level=1&amp;data_ticket=1776916732363124"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r>
        <w:rPr>
          <w:rStyle w:val="26"/>
          <w:rFonts w:hint="default" w:ascii="Segoe UI" w:hAnsi="Segoe UI" w:eastAsia="Segoe UI" w:cs="Segoe UI"/>
          <w:b/>
          <w:bCs/>
          <w:i w:val="0"/>
          <w:iCs w:val="0"/>
          <w:caps w:val="0"/>
          <w:color w:val="0F1115"/>
          <w:spacing w:val="0"/>
          <w:sz w:val="19"/>
          <w:szCs w:val="19"/>
          <w:shd w:val="clear" w:fill="FFFFFF"/>
        </w:rPr>
        <w:t>贷款在收缩，利息净收入在暴增</w:t>
      </w:r>
      <w:r>
        <w:rPr>
          <w:rStyle w:val="26"/>
          <w:rFonts w:hint="eastAsia" w:ascii="Segoe UI" w:hAnsi="Segoe UI" w:eastAsia="宋体" w:cs="Segoe UI"/>
          <w:b/>
          <w:bCs/>
          <w:i w:val="0"/>
          <w:iCs w:val="0"/>
          <w:caps w:val="0"/>
          <w:color w:val="0F1115"/>
          <w:spacing w:val="0"/>
          <w:sz w:val="19"/>
          <w:szCs w:val="19"/>
          <w:shd w:val="clear" w:fill="FFFFFF"/>
          <w:lang w:eastAsia="zh-CN"/>
        </w:rPr>
        <w:t>，</w:t>
      </w:r>
      <w:r>
        <w:rPr>
          <w:rStyle w:val="26"/>
          <w:rFonts w:hint="default" w:ascii="Segoe UI" w:hAnsi="Segoe UI" w:eastAsia="Segoe UI" w:cs="Segoe UI"/>
          <w:b/>
          <w:bCs/>
          <w:i w:val="0"/>
          <w:iCs w:val="0"/>
          <w:caps w:val="0"/>
          <w:color w:val="0F1115"/>
          <w:spacing w:val="0"/>
          <w:sz w:val="19"/>
          <w:szCs w:val="19"/>
          <w:shd w:val="clear" w:fill="FFFFFF"/>
        </w:rPr>
        <w:t>这组数据说明它的利息收入增长并非来自贷款规模的扩大，而是来自贷款利率的阶段性回升，而这种回升很大程度上与十五五规划项目集中启动带来的短期需求脉冲有关。</w:t>
      </w:r>
    </w:p>
    <w:p w14:paraId="267CFB5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一旦这批政府类大项目集中投放完毕、信贷需求回落，西安银行的营收曲线能否继续保持45度的陡峭升势，是一个巨大的问号。</w:t>
      </w:r>
    </w:p>
    <w:p w14:paraId="0B60608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贵阳银行的故事同样需要审慎解构。2025年全年营收同比下降12.94%，已是连续第三年下滑，但一季报营收突然同比大增14.60%，归母净利润增长2.37%</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"https://www.sohu.com/a/1013665449_237556?scm=10001.325_13-325_13.0.0-0-0-0-0.5_1334&amp;spm=smpc.channel_248.block3_308_NDdFbm_1_fd.1.1776951341458R02TGxd_324&amp;_trans_=060008_lym"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。一季度净息差从去年的1.54%回升至1.66%，是营收改善的核心驱动</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"https://news.futunn.com/post/71909112/the-first-quarter-reports-of-the-initial-seven-listed-banks?futusource=news_newspage_recommend&amp;level=1&amp;data_ticket=1776916732363124"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563924E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Style w:val="26"/>
          <w:rFonts w:hint="default" w:ascii="Segoe UI" w:hAnsi="Segoe UI" w:eastAsia="Segoe UI" w:cs="Segoe UI"/>
          <w:b/>
          <w:bCs/>
          <w:i w:val="0"/>
          <w:iCs w:val="0"/>
          <w:caps w:val="0"/>
          <w:color w:val="0F1115"/>
          <w:spacing w:val="0"/>
          <w:sz w:val="19"/>
          <w:szCs w:val="19"/>
          <w:shd w:val="clear" w:fill="FFFFFF"/>
        </w:rPr>
        <w:t>14.60%的增速看起来喜人，但基数是什么？是去年一季度那个极低的平台。</w:t>
      </w:r>
      <w:r>
        <w:rPr>
          <w:rFonts w:hint="default" w:ascii="Segoe UI" w:hAnsi="Segoe UI" w:eastAsia="Segoe UI" w:cs="Segoe UI"/>
          <w:i w:val="0"/>
          <w:iCs w:val="0"/>
          <w:caps w:val="0"/>
          <w:color w:val="0F1115"/>
          <w:spacing w:val="0"/>
          <w:sz w:val="19"/>
          <w:szCs w:val="19"/>
          <w:shd w:val="clear" w:fill="FFFFFF"/>
        </w:rPr>
        <w:t> 低基数带来的高增速，不等于经营基本面的根本改善。</w:t>
      </w:r>
    </w:p>
    <w:p w14:paraId="2ED56ABA">
      <w:pPr>
        <w:pStyle w:val="3"/>
        <w:keepNext w:val="0"/>
        <w:keepLines w:val="0"/>
        <w:widowControl/>
        <w:suppressLineNumbers w:val="0"/>
        <w:shd w:val="clear" w:fill="FFFFFF"/>
        <w:spacing w:before="384" w:beforeAutospacing="0" w:after="192" w:afterAutospacing="0" w:line="384" w:lineRule="atLeast"/>
        <w:ind w:left="0" w:leftChars="0" w:right="0" w:firstLine="0" w:firstLineChars="0"/>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年报与一季报的冰火两重天</w:t>
      </w:r>
    </w:p>
    <w:p w14:paraId="2E8E0A5F">
      <w:pPr>
        <w:pStyle w:val="21"/>
        <w:keepNext w:val="0"/>
        <w:keepLines w:val="0"/>
        <w:widowControl/>
        <w:suppressLineNumbers w:val="0"/>
        <w:shd w:val="clear" w:fill="FFFFFF"/>
        <w:spacing w:before="192" w:beforeAutospacing="0" w:after="192" w:afterAutospacing="0"/>
        <w:ind w:left="0" w:leftChars="0" w:right="0" w:firstLine="0" w:firstLineChars="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将2025年年报与2026年一季报并排对比，结构分化的图景更加触目惊心。</w:t>
      </w:r>
    </w:p>
    <w:p w14:paraId="6049CEC3">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年报低走、一季报复活型：</w:t>
      </w:r>
      <w:r>
        <w:rPr>
          <w:rFonts w:hint="default" w:ascii="Segoe UI" w:hAnsi="Segoe UI" w:eastAsia="Segoe UI" w:cs="Segoe UI"/>
          <w:i w:val="0"/>
          <w:iCs w:val="0"/>
          <w:caps w:val="0"/>
          <w:color w:val="0F1115"/>
          <w:spacing w:val="0"/>
          <w:sz w:val="19"/>
          <w:szCs w:val="19"/>
          <w:shd w:val="clear" w:fill="FFFFFF"/>
        </w:rPr>
        <w:t> 贵阳银行。2025年全年营收-12.94%，已经连续三年下滑。一季报营收突然蹦到+14.60%。这样剧烈的波动，用“经营改善”来解释说服力不足——低基数效应和“十五五”项目的一次性脉冲才是核心驱动力。年报与一季报之间超过27个百分点的增速落差，反映的不是管理能力的提升，而是外部环境的骤变</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"https://www.sohu.com/a/1013665449_237556?scm=10001.325_13-325_13.0.0-0-0-0-0.5_1334&amp;spm=smpc.channel_248.block3_308_NDdFbm_1_fd.1.1776951341458R02TGxd_324&amp;_trans_=060008_lym"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746F51E7">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全年高增、一季报加速型：</w:t>
      </w:r>
      <w:r>
        <w:rPr>
          <w:rFonts w:hint="default" w:ascii="Segoe UI" w:hAnsi="Segoe UI" w:eastAsia="Segoe UI" w:cs="Segoe UI"/>
          <w:i w:val="0"/>
          <w:iCs w:val="0"/>
          <w:caps w:val="0"/>
          <w:color w:val="0F1115"/>
          <w:spacing w:val="0"/>
          <w:sz w:val="19"/>
          <w:szCs w:val="19"/>
          <w:shd w:val="clear" w:fill="FFFFFF"/>
        </w:rPr>
        <w:t> 西安银行。2025年全年+21.68%，一季报+41.54%，增速加速接近翻倍。但如前所述，高度依赖区域政府项目的结构风险被高增速掩盖。</w:t>
      </w:r>
    </w:p>
    <w:p w14:paraId="2E928429">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全年低增、一季报稳健抬升型：</w:t>
      </w:r>
      <w:r>
        <w:rPr>
          <w:rFonts w:hint="default" w:ascii="Segoe UI" w:hAnsi="Segoe UI" w:eastAsia="Segoe UI" w:cs="Segoe UI"/>
          <w:i w:val="0"/>
          <w:iCs w:val="0"/>
          <w:caps w:val="0"/>
          <w:color w:val="0F1115"/>
          <w:spacing w:val="0"/>
          <w:sz w:val="19"/>
          <w:szCs w:val="19"/>
          <w:shd w:val="clear" w:fill="FFFFFF"/>
        </w:rPr>
        <w:t> 南京银行和杭州银行。南京银行2025年全年+10.48%，一季报+13.54%；杭州银行2025年全年+1.09%，一季报+4.29%。增速温和抬升，不暴冲、不依赖单一客户群——这才是最健康的增长模式。</w:t>
      </w:r>
    </w:p>
    <w:p w14:paraId="2788104F">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平安银行副行长在业绩发布会上的一句话值得反复咀嚼：“零售信贷增速持续改善，负债成本优化与零售资产质量改善驱动业绩筑底，零售信贷收缩压力接近尾声。”</w:t>
      </w:r>
    </w:p>
    <w:p w14:paraId="57E16F83">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“接近尾声”是最精准的表述——它不意味着已经反转，而是正在走出来。</w:t>
      </w:r>
    </w:p>
    <w:p w14:paraId="678D6B3F">
      <w:pPr>
        <w:pStyle w:val="3"/>
        <w:keepNext w:val="0"/>
        <w:keepLines w:val="0"/>
        <w:widowControl/>
        <w:suppressLineNumbers w:val="0"/>
        <w:shd w:val="clear" w:fill="FFFFFF"/>
        <w:spacing w:before="384" w:beforeAutospacing="0" w:after="192" w:afterAutospacing="0" w:line="384" w:lineRule="atLeast"/>
        <w:ind w:left="0" w:leftChars="0" w:right="0" w:firstLine="0" w:firstLineChars="0"/>
        <w:rPr>
          <w:rFonts w:hint="default" w:ascii="Segoe UI" w:hAnsi="Segoe UI" w:eastAsia="Segoe UI" w:cs="Segoe UI"/>
          <w:b/>
          <w:bCs/>
          <w:caps w:val="0"/>
          <w:color w:val="0F1115"/>
          <w:spacing w:val="0"/>
          <w:sz w:val="26"/>
          <w:szCs w:val="26"/>
          <w:shd w:val="clear" w:fill="FFFFFF"/>
        </w:rPr>
      </w:pPr>
      <w:r>
        <w:rPr>
          <w:rFonts w:hint="default" w:ascii="Segoe UI" w:hAnsi="Segoe UI" w:eastAsia="Segoe UI" w:cs="Segoe UI"/>
          <w:b/>
          <w:bCs/>
          <w:caps w:val="0"/>
          <w:color w:val="0F1115"/>
          <w:spacing w:val="0"/>
          <w:sz w:val="26"/>
          <w:szCs w:val="26"/>
          <w:shd w:val="clear" w:fill="FFFFFF"/>
        </w:rPr>
        <w:t>重塑银行估值逻辑</w:t>
      </w:r>
      <w:r>
        <w:rPr>
          <w:rFonts w:hint="eastAsia" w:ascii="Segoe UI" w:hAnsi="Segoe UI" w:cs="Segoe UI"/>
          <w:b/>
          <w:bCs/>
          <w:caps w:val="0"/>
          <w:color w:val="0F1115"/>
          <w:spacing w:val="0"/>
          <w:sz w:val="26"/>
          <w:szCs w:val="26"/>
          <w:shd w:val="clear" w:fill="FFFFFF"/>
          <w:lang w:eastAsia="zh-CN"/>
        </w:rPr>
        <w:t>，</w:t>
      </w:r>
      <w:r>
        <w:rPr>
          <w:rFonts w:hint="default" w:ascii="Segoe UI" w:hAnsi="Segoe UI" w:eastAsia="Segoe UI" w:cs="Segoe UI"/>
          <w:b/>
          <w:bCs/>
          <w:caps w:val="0"/>
          <w:color w:val="0F1115"/>
          <w:spacing w:val="0"/>
          <w:sz w:val="26"/>
          <w:szCs w:val="26"/>
          <w:shd w:val="clear" w:fill="FFFFFF"/>
        </w:rPr>
        <w:t>谁的反转经得起推敲？</w:t>
      </w:r>
    </w:p>
    <w:p w14:paraId="717F0F86">
      <w:pPr>
        <w:rPr>
          <w:rFonts w:hint="default"/>
        </w:rPr>
      </w:pPr>
    </w:p>
    <w:p w14:paraId="7FBEC765">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当一季度10家上市银行全部交出正增长成绩单时，市场的第一反应必然是“银行业春天来了”。但拆开每一份一季报，你会发现这个春天对不同银行意味着完全不同的事情。</w:t>
      </w:r>
    </w:p>
    <w:p w14:paraId="03EFB7E7">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对平安银行来说，它意味着长达两年的营收下滑终于止住了血，零售转型的阵痛可能在2026年见到黎明。</w:t>
      </w:r>
    </w:p>
    <w:p w14:paraId="1CB4532E">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对杭州银行、南京银行来说，它意味着本就稳健的增长引擎继续平稳运转，波澜不惊。</w:t>
      </w:r>
    </w:p>
    <w:p w14:paraId="6E1CF78A">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对齐鲁银行来说，它意味着一个“省内追赶者”正在跑出令人刮目相看的加速度。</w:t>
      </w:r>
    </w:p>
    <w:p w14:paraId="7CD4F973">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对西安银行、贵阳银行来说，它意味着“十五五”开局之年的一次政策红利脉冲</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很高，但可能不可持续。</w:t>
      </w:r>
    </w:p>
    <w:p w14:paraId="7F67E8CC">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一季度10家银行全部正增长，但其中至少有2到3家的增长经不起时间的推敲。市场需要警惕的，不是业绩下滑的银行</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它们的问题一目了然</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而是那些用政策红利、低基数、一次性收益撑起高增速光环的银行。当“十五五”项目的审批潮消退、当债市不再提供超额回报、当零售不良率继续攀升</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那些今天看起来“暴增41%”的银行，明天的增速数字可能断崖式回落。</w:t>
      </w:r>
    </w:p>
    <w:p w14:paraId="102775A3">
      <w:pPr>
        <w:pStyle w:val="21"/>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对银行一季报，看点不在于增长还是下滑</w:t>
      </w:r>
      <w:r>
        <w:rPr>
          <w:rStyle w:val="26"/>
          <w:rFonts w:hint="eastAsia" w:ascii="Segoe UI" w:hAnsi="Segoe UI" w:eastAsia="宋体" w:cs="Segoe UI"/>
          <w:b/>
          <w:bCs/>
          <w:i w:val="0"/>
          <w:iCs w:val="0"/>
          <w:caps w:val="0"/>
          <w:color w:val="0F1115"/>
          <w:spacing w:val="0"/>
          <w:sz w:val="19"/>
          <w:szCs w:val="19"/>
          <w:shd w:val="clear" w:fill="FFFFFF"/>
          <w:lang w:eastAsia="zh-CN"/>
        </w:rPr>
        <w:t>，</w:t>
      </w:r>
      <w:r>
        <w:rPr>
          <w:rStyle w:val="26"/>
          <w:rFonts w:hint="default" w:ascii="Segoe UI" w:hAnsi="Segoe UI" w:eastAsia="Segoe UI" w:cs="Segoe UI"/>
          <w:b/>
          <w:bCs/>
          <w:i w:val="0"/>
          <w:iCs w:val="0"/>
          <w:caps w:val="0"/>
          <w:color w:val="0F1115"/>
          <w:spacing w:val="0"/>
          <w:sz w:val="19"/>
          <w:szCs w:val="19"/>
          <w:shd w:val="clear" w:fill="FFFFFF"/>
        </w:rPr>
        <w:t>因为这一季度几乎都在增长。看点在于增长背后的驱动力，是一次性的，还是结构性的。</w:t>
      </w:r>
    </w:p>
    <w:p w14:paraId="772AB7E8">
      <w:pPr>
        <w:pStyle w:val="21"/>
        <w:keepNext w:val="0"/>
        <w:keepLines w:val="0"/>
        <w:widowControl/>
        <w:suppressLineNumbers w:val="0"/>
        <w:shd w:val="clear" w:fill="FFFFFF"/>
        <w:spacing w:before="192" w:beforeAutospacing="0" w:after="192" w:afterAutospacing="0"/>
        <w:ind w:left="0" w:leftChars="0" w:right="0" w:firstLine="0" w:firstLineChars="0"/>
      </w:pPr>
      <w:r>
        <w:rPr>
          <w:rFonts w:hint="default" w:ascii="Segoe UI" w:hAnsi="Segoe UI" w:eastAsia="Segoe UI" w:cs="Segoe UI"/>
          <w:i w:val="0"/>
          <w:iCs w:val="0"/>
          <w:caps w:val="0"/>
          <w:color w:val="0F1115"/>
          <w:spacing w:val="0"/>
          <w:sz w:val="19"/>
          <w:szCs w:val="19"/>
          <w:shd w:val="clear" w:fill="FFFFFF"/>
        </w:rPr>
        <w:t>是一次性红利，还是结构性改善</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这才是判断银行一季报“反转”成色的唯一标准。</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151">
      <wne:acd wne:acdName="acd0"/>
    </wne:keymap>
    <wne:keymap wne:kcmPrimary="04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02"/>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B17FF"/>
    <w:multiLevelType w:val="singleLevel"/>
    <w:tmpl w:val="C78B17FF"/>
    <w:lvl w:ilvl="0" w:tentative="0">
      <w:start w:val="1"/>
      <w:numFmt w:val="decimal"/>
      <w:pStyle w:val="47"/>
      <w:suff w:val="space"/>
      <w:lvlText w:val="[%1]"/>
      <w:lvlJc w:val="left"/>
      <w:pPr>
        <w:tabs>
          <w:tab w:val="left" w:pos="0"/>
        </w:tabs>
      </w:pPr>
      <w:rPr>
        <w:rFonts w:hint="default"/>
      </w:rPr>
    </w:lvl>
  </w:abstractNum>
  <w:abstractNum w:abstractNumId="1">
    <w:nsid w:val="D4C22AF2"/>
    <w:multiLevelType w:val="multilevel"/>
    <w:tmpl w:val="D4C22AF2"/>
    <w:lvl w:ilvl="0" w:tentative="0">
      <w:start w:val="1"/>
      <w:numFmt w:val="decimal"/>
      <w:suff w:val="nothing"/>
      <w:lvlText w:val="%1 "/>
      <w:lvlJc w:val="left"/>
      <w:pPr>
        <w:tabs>
          <w:tab w:val="left" w:pos="0"/>
        </w:tabs>
        <w:ind w:left="0" w:leftChars="0" w:firstLine="0" w:firstLineChars="0"/>
      </w:pPr>
      <w:rPr>
        <w:rFonts w:hint="default"/>
      </w:rPr>
    </w:lvl>
    <w:lvl w:ilvl="1" w:tentative="0">
      <w:start w:val="1"/>
      <w:numFmt w:val="decimal"/>
      <w:suff w:val="nothing"/>
      <w:lvlText w:val="%1.%2 "/>
      <w:lvlJc w:val="left"/>
      <w:pPr>
        <w:tabs>
          <w:tab w:val="left" w:pos="0"/>
        </w:tabs>
        <w:ind w:left="575" w:hanging="575"/>
      </w:pPr>
      <w:rPr>
        <w:rFonts w:hint="default" w:ascii="宋体" w:hAnsi="宋体" w:eastAsia="宋体" w:cs="宋体"/>
      </w:rPr>
    </w:lvl>
    <w:lvl w:ilvl="2" w:tentative="0">
      <w:start w:val="1"/>
      <w:numFmt w:val="decimal"/>
      <w:suff w:val="nothing"/>
      <w:lvlText w:val="%1.%2.%3 "/>
      <w:lvlJc w:val="left"/>
      <w:pPr>
        <w:tabs>
          <w:tab w:val="left" w:pos="0"/>
        </w:tabs>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
    <w:nsid w:val="EFE2F7AC"/>
    <w:multiLevelType w:val="multilevel"/>
    <w:tmpl w:val="EFE2F7AC"/>
    <w:lvl w:ilvl="0" w:tentative="0">
      <w:start w:val="1"/>
      <w:numFmt w:val="decimal"/>
      <w:pStyle w:val="46"/>
      <w:lvlText w:val="%1"/>
      <w:lvlJc w:val="left"/>
      <w:pPr>
        <w:ind w:left="425" w:hanging="425"/>
      </w:pPr>
      <w:rPr>
        <w:rFonts w:hint="default" w:ascii="微软雅黑" w:hAnsi="微软雅黑" w:eastAsia="微软雅黑"/>
      </w:rPr>
    </w:lvl>
    <w:lvl w:ilvl="1" w:tentative="0">
      <w:start w:val="1"/>
      <w:numFmt w:val="decimal"/>
      <w:lvlText w:val="%1.%2"/>
      <w:lvlJc w:val="left"/>
      <w:pPr>
        <w:ind w:left="567" w:hanging="567"/>
      </w:pPr>
      <w:rPr>
        <w:rFonts w:hint="default" w:ascii="微软雅黑" w:hAnsi="微软雅黑" w:eastAsia="宋体"/>
      </w:rPr>
    </w:lvl>
    <w:lvl w:ilvl="2" w:tentative="0">
      <w:start w:val="1"/>
      <w:numFmt w:val="decimal"/>
      <w:lvlText w:val="%1.%2.%3"/>
      <w:lvlJc w:val="left"/>
      <w:pPr>
        <w:ind w:left="709" w:hanging="709"/>
      </w:pPr>
      <w:rPr>
        <w:rFonts w:hint="default" w:ascii="微软雅黑" w:hAnsi="微软雅黑" w:eastAsia="微软雅黑"/>
      </w:rPr>
    </w:lvl>
    <w:lvl w:ilvl="3" w:tentative="0">
      <w:start w:val="1"/>
      <w:numFmt w:val="decimal"/>
      <w:lvlText w:val="%1.%2.%3.%4."/>
      <w:lvlJc w:val="left"/>
      <w:pPr>
        <w:ind w:left="850" w:hanging="850"/>
      </w:pPr>
      <w:rPr>
        <w:rFonts w:hint="default" w:ascii="微软雅黑" w:hAnsi="微软雅黑" w:eastAsia="微软雅黑"/>
      </w:rPr>
    </w:lvl>
    <w:lvl w:ilvl="4" w:tentative="0">
      <w:start w:val="1"/>
      <w:numFmt w:val="decimal"/>
      <w:lvlText w:val="%1.%2.%3.%4.%5."/>
      <w:lvlJc w:val="left"/>
      <w:pPr>
        <w:ind w:left="991" w:hanging="991"/>
      </w:pPr>
      <w:rPr>
        <w:rFonts w:hint="default" w:ascii="微软雅黑" w:hAnsi="微软雅黑" w:eastAsia="微软雅黑"/>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FACE2DB4"/>
    <w:multiLevelType w:val="singleLevel"/>
    <w:tmpl w:val="FACE2DB4"/>
    <w:lvl w:ilvl="0" w:tentative="0">
      <w:start w:val="1"/>
      <w:numFmt w:val="decimal"/>
      <w:pStyle w:val="55"/>
      <w:lvlText w:val="图4-%1"/>
      <w:lvlJc w:val="left"/>
      <w:pPr>
        <w:tabs>
          <w:tab w:val="left" w:pos="567"/>
        </w:tabs>
        <w:ind w:left="0" w:leftChars="0" w:firstLine="0" w:firstLineChars="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029C"/>
    <w:rsid w:val="001F3403"/>
    <w:rsid w:val="002506FA"/>
    <w:rsid w:val="002B59D3"/>
    <w:rsid w:val="00CB3C44"/>
    <w:rsid w:val="00CD3778"/>
    <w:rsid w:val="00F275F0"/>
    <w:rsid w:val="015A69DF"/>
    <w:rsid w:val="01A43D9C"/>
    <w:rsid w:val="01A77B35"/>
    <w:rsid w:val="01D23333"/>
    <w:rsid w:val="01E67C51"/>
    <w:rsid w:val="020E1A24"/>
    <w:rsid w:val="02937356"/>
    <w:rsid w:val="02B60C69"/>
    <w:rsid w:val="02DB3572"/>
    <w:rsid w:val="03250E34"/>
    <w:rsid w:val="032B0EBC"/>
    <w:rsid w:val="039713C7"/>
    <w:rsid w:val="03A4723E"/>
    <w:rsid w:val="03CC7FEE"/>
    <w:rsid w:val="04106BDD"/>
    <w:rsid w:val="047E1B60"/>
    <w:rsid w:val="048D4B54"/>
    <w:rsid w:val="04C500CA"/>
    <w:rsid w:val="04E41CE1"/>
    <w:rsid w:val="05244516"/>
    <w:rsid w:val="057B460B"/>
    <w:rsid w:val="058B2A44"/>
    <w:rsid w:val="05A33BF0"/>
    <w:rsid w:val="05DA2561"/>
    <w:rsid w:val="062C5D5F"/>
    <w:rsid w:val="06752E14"/>
    <w:rsid w:val="068D7423"/>
    <w:rsid w:val="074946C8"/>
    <w:rsid w:val="07C713FA"/>
    <w:rsid w:val="08B017DE"/>
    <w:rsid w:val="09483977"/>
    <w:rsid w:val="099072AF"/>
    <w:rsid w:val="09A07101"/>
    <w:rsid w:val="09AF2E8B"/>
    <w:rsid w:val="0A4047F0"/>
    <w:rsid w:val="0A48594F"/>
    <w:rsid w:val="0AB47859"/>
    <w:rsid w:val="0B177CD5"/>
    <w:rsid w:val="0B2F2881"/>
    <w:rsid w:val="0BC72059"/>
    <w:rsid w:val="0BCB5B13"/>
    <w:rsid w:val="0BCF5FF3"/>
    <w:rsid w:val="0BD9123D"/>
    <w:rsid w:val="0BE37DF5"/>
    <w:rsid w:val="0C311396"/>
    <w:rsid w:val="0C5C5076"/>
    <w:rsid w:val="0C692CAD"/>
    <w:rsid w:val="0D681B8E"/>
    <w:rsid w:val="0D9F3011"/>
    <w:rsid w:val="0DE43478"/>
    <w:rsid w:val="0DEE56BA"/>
    <w:rsid w:val="0E306947"/>
    <w:rsid w:val="0E9F4874"/>
    <w:rsid w:val="0EAC08FD"/>
    <w:rsid w:val="0EE07D03"/>
    <w:rsid w:val="0F1F3A83"/>
    <w:rsid w:val="0F2C385D"/>
    <w:rsid w:val="0F3B7E78"/>
    <w:rsid w:val="0F587B28"/>
    <w:rsid w:val="0FDB387C"/>
    <w:rsid w:val="10160593"/>
    <w:rsid w:val="10284EE7"/>
    <w:rsid w:val="103234C6"/>
    <w:rsid w:val="10790217"/>
    <w:rsid w:val="11366F3E"/>
    <w:rsid w:val="11420290"/>
    <w:rsid w:val="118424E6"/>
    <w:rsid w:val="11F80CB0"/>
    <w:rsid w:val="126C0647"/>
    <w:rsid w:val="127B49BD"/>
    <w:rsid w:val="128A65A2"/>
    <w:rsid w:val="12961468"/>
    <w:rsid w:val="130C45D2"/>
    <w:rsid w:val="134B7000"/>
    <w:rsid w:val="13511BBE"/>
    <w:rsid w:val="13EE7251"/>
    <w:rsid w:val="14185CAF"/>
    <w:rsid w:val="14454DAD"/>
    <w:rsid w:val="145B29CE"/>
    <w:rsid w:val="151D4243"/>
    <w:rsid w:val="151F5A1F"/>
    <w:rsid w:val="16650F55"/>
    <w:rsid w:val="169A3FAE"/>
    <w:rsid w:val="16A71FAA"/>
    <w:rsid w:val="17B108CB"/>
    <w:rsid w:val="17F964D3"/>
    <w:rsid w:val="17FE5D44"/>
    <w:rsid w:val="180D588B"/>
    <w:rsid w:val="18545193"/>
    <w:rsid w:val="185736BF"/>
    <w:rsid w:val="188F1F1C"/>
    <w:rsid w:val="18A3688F"/>
    <w:rsid w:val="18B90D7E"/>
    <w:rsid w:val="195B507D"/>
    <w:rsid w:val="19B90824"/>
    <w:rsid w:val="19BE7C49"/>
    <w:rsid w:val="19CD1D13"/>
    <w:rsid w:val="1AB142A0"/>
    <w:rsid w:val="1AE46932"/>
    <w:rsid w:val="1B120167"/>
    <w:rsid w:val="1B841991"/>
    <w:rsid w:val="1B9510AD"/>
    <w:rsid w:val="1BE428CB"/>
    <w:rsid w:val="1BE438B9"/>
    <w:rsid w:val="1C1E21F6"/>
    <w:rsid w:val="1C250273"/>
    <w:rsid w:val="1C2F0AC3"/>
    <w:rsid w:val="1C6C2094"/>
    <w:rsid w:val="1CA0747F"/>
    <w:rsid w:val="1CCC4063"/>
    <w:rsid w:val="1CF159FF"/>
    <w:rsid w:val="1D3F0444"/>
    <w:rsid w:val="1D547AAF"/>
    <w:rsid w:val="1DC91D6E"/>
    <w:rsid w:val="1E2A28EC"/>
    <w:rsid w:val="1E3836E8"/>
    <w:rsid w:val="1E5E09D7"/>
    <w:rsid w:val="1E7249D5"/>
    <w:rsid w:val="1E8258F9"/>
    <w:rsid w:val="1E8B65A8"/>
    <w:rsid w:val="1EC271F2"/>
    <w:rsid w:val="1EED04D9"/>
    <w:rsid w:val="1FA64B1C"/>
    <w:rsid w:val="1FB92215"/>
    <w:rsid w:val="2014438F"/>
    <w:rsid w:val="20193933"/>
    <w:rsid w:val="202B7144"/>
    <w:rsid w:val="203B6335"/>
    <w:rsid w:val="20971BD3"/>
    <w:rsid w:val="217A1B37"/>
    <w:rsid w:val="21E83A2C"/>
    <w:rsid w:val="22025912"/>
    <w:rsid w:val="221423A4"/>
    <w:rsid w:val="2216237D"/>
    <w:rsid w:val="22437F2D"/>
    <w:rsid w:val="229A27C8"/>
    <w:rsid w:val="22CC1220"/>
    <w:rsid w:val="2376267A"/>
    <w:rsid w:val="24991786"/>
    <w:rsid w:val="249E68AC"/>
    <w:rsid w:val="24E011A6"/>
    <w:rsid w:val="252F1318"/>
    <w:rsid w:val="25391977"/>
    <w:rsid w:val="263A3D46"/>
    <w:rsid w:val="265A0F55"/>
    <w:rsid w:val="26995303"/>
    <w:rsid w:val="26A74667"/>
    <w:rsid w:val="26C24DA3"/>
    <w:rsid w:val="27440052"/>
    <w:rsid w:val="277F4129"/>
    <w:rsid w:val="278A1FD7"/>
    <w:rsid w:val="27A50527"/>
    <w:rsid w:val="27D42352"/>
    <w:rsid w:val="280200EF"/>
    <w:rsid w:val="28657B53"/>
    <w:rsid w:val="28894493"/>
    <w:rsid w:val="288D2228"/>
    <w:rsid w:val="28DD7CC7"/>
    <w:rsid w:val="2912123B"/>
    <w:rsid w:val="2985180D"/>
    <w:rsid w:val="29C84DF6"/>
    <w:rsid w:val="2A8146B4"/>
    <w:rsid w:val="2ABC352B"/>
    <w:rsid w:val="2B5602AA"/>
    <w:rsid w:val="2B681F2A"/>
    <w:rsid w:val="2B7037B2"/>
    <w:rsid w:val="2B785E5C"/>
    <w:rsid w:val="2BE41871"/>
    <w:rsid w:val="2BFD7535"/>
    <w:rsid w:val="2C78619D"/>
    <w:rsid w:val="2C836296"/>
    <w:rsid w:val="2CA42CDA"/>
    <w:rsid w:val="2CC97F56"/>
    <w:rsid w:val="2CD00241"/>
    <w:rsid w:val="2CD92B68"/>
    <w:rsid w:val="2D4C0A89"/>
    <w:rsid w:val="2D74468D"/>
    <w:rsid w:val="2D87193E"/>
    <w:rsid w:val="2EB74DCD"/>
    <w:rsid w:val="2ECB0E5F"/>
    <w:rsid w:val="2EE937AE"/>
    <w:rsid w:val="2EF602CE"/>
    <w:rsid w:val="2EF84F00"/>
    <w:rsid w:val="2F086617"/>
    <w:rsid w:val="2F7610DD"/>
    <w:rsid w:val="30130B79"/>
    <w:rsid w:val="304F65E2"/>
    <w:rsid w:val="30922B28"/>
    <w:rsid w:val="30D61664"/>
    <w:rsid w:val="3103797D"/>
    <w:rsid w:val="314459E3"/>
    <w:rsid w:val="320735BB"/>
    <w:rsid w:val="324F1E45"/>
    <w:rsid w:val="32916AD0"/>
    <w:rsid w:val="32942776"/>
    <w:rsid w:val="32D035E7"/>
    <w:rsid w:val="32E8568A"/>
    <w:rsid w:val="330D5210"/>
    <w:rsid w:val="33241CD7"/>
    <w:rsid w:val="33516380"/>
    <w:rsid w:val="337B3084"/>
    <w:rsid w:val="339E023F"/>
    <w:rsid w:val="33C5422D"/>
    <w:rsid w:val="3433272D"/>
    <w:rsid w:val="34427A31"/>
    <w:rsid w:val="34475B03"/>
    <w:rsid w:val="34545F5E"/>
    <w:rsid w:val="34635580"/>
    <w:rsid w:val="35354782"/>
    <w:rsid w:val="35490860"/>
    <w:rsid w:val="35E12C8E"/>
    <w:rsid w:val="360C4BAB"/>
    <w:rsid w:val="365F3090"/>
    <w:rsid w:val="36926BFA"/>
    <w:rsid w:val="369923B0"/>
    <w:rsid w:val="36BD386F"/>
    <w:rsid w:val="36F94157"/>
    <w:rsid w:val="373E7885"/>
    <w:rsid w:val="379E127C"/>
    <w:rsid w:val="37BB0EFF"/>
    <w:rsid w:val="38001ED1"/>
    <w:rsid w:val="385F1BB6"/>
    <w:rsid w:val="38BD549E"/>
    <w:rsid w:val="3A6213AD"/>
    <w:rsid w:val="3A872066"/>
    <w:rsid w:val="3B2E12D2"/>
    <w:rsid w:val="3B4267EB"/>
    <w:rsid w:val="3B7732A3"/>
    <w:rsid w:val="3BF67DB3"/>
    <w:rsid w:val="3C413199"/>
    <w:rsid w:val="3D043BDA"/>
    <w:rsid w:val="3D4845E5"/>
    <w:rsid w:val="3D954890"/>
    <w:rsid w:val="3DA41C67"/>
    <w:rsid w:val="3DBA2D6A"/>
    <w:rsid w:val="3DDD1B25"/>
    <w:rsid w:val="3E5A1BA6"/>
    <w:rsid w:val="3E6671CB"/>
    <w:rsid w:val="3E7C44C3"/>
    <w:rsid w:val="3EAF2378"/>
    <w:rsid w:val="3EC42F0D"/>
    <w:rsid w:val="3EF92CCF"/>
    <w:rsid w:val="3F162913"/>
    <w:rsid w:val="408A5219"/>
    <w:rsid w:val="40E4749D"/>
    <w:rsid w:val="41791BBD"/>
    <w:rsid w:val="41867134"/>
    <w:rsid w:val="41AB4010"/>
    <w:rsid w:val="41BF6404"/>
    <w:rsid w:val="41CC0BF5"/>
    <w:rsid w:val="422A026F"/>
    <w:rsid w:val="42884F34"/>
    <w:rsid w:val="4291098B"/>
    <w:rsid w:val="42B6747F"/>
    <w:rsid w:val="434902A0"/>
    <w:rsid w:val="43B600AD"/>
    <w:rsid w:val="44116024"/>
    <w:rsid w:val="4446233C"/>
    <w:rsid w:val="444A4106"/>
    <w:rsid w:val="45A91659"/>
    <w:rsid w:val="460F757E"/>
    <w:rsid w:val="462D6C1B"/>
    <w:rsid w:val="464553D9"/>
    <w:rsid w:val="464E783B"/>
    <w:rsid w:val="46B05D19"/>
    <w:rsid w:val="46F12854"/>
    <w:rsid w:val="46F336A8"/>
    <w:rsid w:val="473E7AE9"/>
    <w:rsid w:val="478916C5"/>
    <w:rsid w:val="47AC5A0E"/>
    <w:rsid w:val="47DE7B5D"/>
    <w:rsid w:val="48027576"/>
    <w:rsid w:val="480E4336"/>
    <w:rsid w:val="48197D55"/>
    <w:rsid w:val="482963CC"/>
    <w:rsid w:val="48567BBA"/>
    <w:rsid w:val="48C651E6"/>
    <w:rsid w:val="48D868DF"/>
    <w:rsid w:val="4911763B"/>
    <w:rsid w:val="493C4382"/>
    <w:rsid w:val="496156B3"/>
    <w:rsid w:val="4982662C"/>
    <w:rsid w:val="499C726F"/>
    <w:rsid w:val="49A800A8"/>
    <w:rsid w:val="49CC4E4A"/>
    <w:rsid w:val="49D36A6F"/>
    <w:rsid w:val="49DD6E6B"/>
    <w:rsid w:val="49F81268"/>
    <w:rsid w:val="4A5C02CB"/>
    <w:rsid w:val="4AB91025"/>
    <w:rsid w:val="4B3A65C3"/>
    <w:rsid w:val="4B4E12A3"/>
    <w:rsid w:val="4C1415C9"/>
    <w:rsid w:val="4C3C52A0"/>
    <w:rsid w:val="4CC2216C"/>
    <w:rsid w:val="4D29482B"/>
    <w:rsid w:val="4D5E0195"/>
    <w:rsid w:val="4DA8622E"/>
    <w:rsid w:val="4DDB2F6B"/>
    <w:rsid w:val="4E716E93"/>
    <w:rsid w:val="4EAA1EE0"/>
    <w:rsid w:val="4F556B17"/>
    <w:rsid w:val="50290A0F"/>
    <w:rsid w:val="503E0E60"/>
    <w:rsid w:val="50716043"/>
    <w:rsid w:val="50C647C0"/>
    <w:rsid w:val="50F42B5F"/>
    <w:rsid w:val="513244C6"/>
    <w:rsid w:val="5157600F"/>
    <w:rsid w:val="515F165B"/>
    <w:rsid w:val="52176C0D"/>
    <w:rsid w:val="521B2258"/>
    <w:rsid w:val="52D229F0"/>
    <w:rsid w:val="52E07598"/>
    <w:rsid w:val="531342F1"/>
    <w:rsid w:val="53165761"/>
    <w:rsid w:val="531A63DD"/>
    <w:rsid w:val="534C7C93"/>
    <w:rsid w:val="53A91B0A"/>
    <w:rsid w:val="53B447E3"/>
    <w:rsid w:val="53C07AF2"/>
    <w:rsid w:val="53F57A7C"/>
    <w:rsid w:val="5414351A"/>
    <w:rsid w:val="54197E99"/>
    <w:rsid w:val="544016A4"/>
    <w:rsid w:val="54604C7D"/>
    <w:rsid w:val="5483286F"/>
    <w:rsid w:val="549C2042"/>
    <w:rsid w:val="549F5861"/>
    <w:rsid w:val="54EA154E"/>
    <w:rsid w:val="552F5A0A"/>
    <w:rsid w:val="555925CB"/>
    <w:rsid w:val="555E131C"/>
    <w:rsid w:val="555E7EC9"/>
    <w:rsid w:val="557A4846"/>
    <w:rsid w:val="55835CD9"/>
    <w:rsid w:val="55A92401"/>
    <w:rsid w:val="55CD5C05"/>
    <w:rsid w:val="55CF10F9"/>
    <w:rsid w:val="55E465DD"/>
    <w:rsid w:val="5622235F"/>
    <w:rsid w:val="56F94885"/>
    <w:rsid w:val="57225D22"/>
    <w:rsid w:val="57434EB8"/>
    <w:rsid w:val="5870380D"/>
    <w:rsid w:val="58BA2F3F"/>
    <w:rsid w:val="59335B42"/>
    <w:rsid w:val="594C23E9"/>
    <w:rsid w:val="5967213C"/>
    <w:rsid w:val="59A820C6"/>
    <w:rsid w:val="59C1539E"/>
    <w:rsid w:val="59DB3E06"/>
    <w:rsid w:val="59F2261A"/>
    <w:rsid w:val="5AE4556F"/>
    <w:rsid w:val="5AEA1C2E"/>
    <w:rsid w:val="5AFB2832"/>
    <w:rsid w:val="5B060359"/>
    <w:rsid w:val="5B2C66AB"/>
    <w:rsid w:val="5B9B4FF1"/>
    <w:rsid w:val="5BAA6E73"/>
    <w:rsid w:val="5BB75528"/>
    <w:rsid w:val="5BFE5405"/>
    <w:rsid w:val="5C7F2933"/>
    <w:rsid w:val="5C8C1C39"/>
    <w:rsid w:val="5CA37385"/>
    <w:rsid w:val="5D5C131E"/>
    <w:rsid w:val="5D834128"/>
    <w:rsid w:val="5DC66198"/>
    <w:rsid w:val="5E0A57D7"/>
    <w:rsid w:val="5E3B0611"/>
    <w:rsid w:val="5E4567B6"/>
    <w:rsid w:val="5E5341F0"/>
    <w:rsid w:val="5E845908"/>
    <w:rsid w:val="5E8A56FD"/>
    <w:rsid w:val="5EB500DD"/>
    <w:rsid w:val="5EB65AE3"/>
    <w:rsid w:val="5F026119"/>
    <w:rsid w:val="5F060EBB"/>
    <w:rsid w:val="5F4D7619"/>
    <w:rsid w:val="5F574DB8"/>
    <w:rsid w:val="5F5937B5"/>
    <w:rsid w:val="609A667C"/>
    <w:rsid w:val="60A206C0"/>
    <w:rsid w:val="60B0308E"/>
    <w:rsid w:val="60EC4890"/>
    <w:rsid w:val="614D2BB5"/>
    <w:rsid w:val="618D5C6B"/>
    <w:rsid w:val="61D61F3C"/>
    <w:rsid w:val="61F80635"/>
    <w:rsid w:val="623612A1"/>
    <w:rsid w:val="62364CF5"/>
    <w:rsid w:val="629249E2"/>
    <w:rsid w:val="637A5353"/>
    <w:rsid w:val="647C54E3"/>
    <w:rsid w:val="64A37553"/>
    <w:rsid w:val="64D23CFE"/>
    <w:rsid w:val="651D3ACA"/>
    <w:rsid w:val="65B913E7"/>
    <w:rsid w:val="65CD384B"/>
    <w:rsid w:val="65E25712"/>
    <w:rsid w:val="65F9319B"/>
    <w:rsid w:val="660065E3"/>
    <w:rsid w:val="66031C41"/>
    <w:rsid w:val="662369C9"/>
    <w:rsid w:val="663C0421"/>
    <w:rsid w:val="663F15CE"/>
    <w:rsid w:val="66457FCD"/>
    <w:rsid w:val="67243570"/>
    <w:rsid w:val="6728083A"/>
    <w:rsid w:val="672C6851"/>
    <w:rsid w:val="6795761D"/>
    <w:rsid w:val="681A6810"/>
    <w:rsid w:val="682E257A"/>
    <w:rsid w:val="68573C08"/>
    <w:rsid w:val="68A240DF"/>
    <w:rsid w:val="68F47BF7"/>
    <w:rsid w:val="68FE7928"/>
    <w:rsid w:val="699A59FC"/>
    <w:rsid w:val="6A072332"/>
    <w:rsid w:val="6A077D43"/>
    <w:rsid w:val="6A0C1AA2"/>
    <w:rsid w:val="6A141193"/>
    <w:rsid w:val="6A266C5C"/>
    <w:rsid w:val="6A336057"/>
    <w:rsid w:val="6A401C7B"/>
    <w:rsid w:val="6A443CD9"/>
    <w:rsid w:val="6AAE7116"/>
    <w:rsid w:val="6BAE18B0"/>
    <w:rsid w:val="6BF33F5B"/>
    <w:rsid w:val="6C2C4C83"/>
    <w:rsid w:val="6C587129"/>
    <w:rsid w:val="6D404BA8"/>
    <w:rsid w:val="6D73789E"/>
    <w:rsid w:val="6DA1107A"/>
    <w:rsid w:val="6DD65992"/>
    <w:rsid w:val="6DE45640"/>
    <w:rsid w:val="6DE73CDD"/>
    <w:rsid w:val="6E1814A6"/>
    <w:rsid w:val="6E3A38F3"/>
    <w:rsid w:val="6E573394"/>
    <w:rsid w:val="6EA95512"/>
    <w:rsid w:val="6ED93AA3"/>
    <w:rsid w:val="6F011CC7"/>
    <w:rsid w:val="6F141745"/>
    <w:rsid w:val="6F2135B9"/>
    <w:rsid w:val="700F248B"/>
    <w:rsid w:val="701C1351"/>
    <w:rsid w:val="70270BF5"/>
    <w:rsid w:val="70273C3A"/>
    <w:rsid w:val="707539AD"/>
    <w:rsid w:val="70960DFB"/>
    <w:rsid w:val="70C426AE"/>
    <w:rsid w:val="70E502E8"/>
    <w:rsid w:val="710B1931"/>
    <w:rsid w:val="7156451C"/>
    <w:rsid w:val="71AC5B4C"/>
    <w:rsid w:val="71B82D06"/>
    <w:rsid w:val="721169B3"/>
    <w:rsid w:val="723E4E4F"/>
    <w:rsid w:val="72F44A27"/>
    <w:rsid w:val="73033F5A"/>
    <w:rsid w:val="738B271B"/>
    <w:rsid w:val="73D46CB4"/>
    <w:rsid w:val="73D71451"/>
    <w:rsid w:val="7410466E"/>
    <w:rsid w:val="74104F53"/>
    <w:rsid w:val="746232DB"/>
    <w:rsid w:val="74CE7B18"/>
    <w:rsid w:val="74D63BBF"/>
    <w:rsid w:val="74F457F1"/>
    <w:rsid w:val="74F8544F"/>
    <w:rsid w:val="750B05EF"/>
    <w:rsid w:val="759A6034"/>
    <w:rsid w:val="75A632A4"/>
    <w:rsid w:val="75A83AFD"/>
    <w:rsid w:val="75DF1923"/>
    <w:rsid w:val="75EA6029"/>
    <w:rsid w:val="76EE1CCF"/>
    <w:rsid w:val="77935DDC"/>
    <w:rsid w:val="77CA2A48"/>
    <w:rsid w:val="77DF4F5D"/>
    <w:rsid w:val="78024BAC"/>
    <w:rsid w:val="78192717"/>
    <w:rsid w:val="7843265A"/>
    <w:rsid w:val="786106CA"/>
    <w:rsid w:val="78C837FD"/>
    <w:rsid w:val="78D93E53"/>
    <w:rsid w:val="78DC157F"/>
    <w:rsid w:val="79652624"/>
    <w:rsid w:val="798D6205"/>
    <w:rsid w:val="79A5003A"/>
    <w:rsid w:val="7A294D85"/>
    <w:rsid w:val="7A9A1DAD"/>
    <w:rsid w:val="7AB362CC"/>
    <w:rsid w:val="7B32448A"/>
    <w:rsid w:val="7B8557C4"/>
    <w:rsid w:val="7C096DF1"/>
    <w:rsid w:val="7CA8740A"/>
    <w:rsid w:val="7CF04147"/>
    <w:rsid w:val="7D3431E5"/>
    <w:rsid w:val="7D6F2271"/>
    <w:rsid w:val="7D974D3C"/>
    <w:rsid w:val="7DBF6A8F"/>
    <w:rsid w:val="7E531884"/>
    <w:rsid w:val="7E610FE3"/>
    <w:rsid w:val="7EAA65BE"/>
    <w:rsid w:val="7F0B1F34"/>
    <w:rsid w:val="7F9E155B"/>
    <w:rsid w:val="7FE43E0D"/>
    <w:rsid w:val="7FE8461C"/>
    <w:rsid w:val="7FF1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420" w:firstLineChars="200"/>
      <w:jc w:val="both"/>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link w:val="34"/>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27"/>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28"/>
    <w:semiHidden/>
    <w:unhideWhenUsed/>
    <w:qFormat/>
    <w:uiPriority w:val="0"/>
    <w:pPr>
      <w:tabs>
        <w:tab w:val="left" w:pos="312"/>
      </w:tabs>
      <w:ind w:firstLine="0" w:firstLineChars="0"/>
      <w:jc w:val="left"/>
      <w:outlineLvl w:val="2"/>
    </w:pPr>
    <w:rPr>
      <w:rFonts w:ascii="Times New Roman" w:hAnsi="Times New Roman" w:eastAsia="黑体"/>
      <w:sz w:val="24"/>
      <w:szCs w:val="30"/>
    </w:rPr>
  </w:style>
  <w:style w:type="paragraph" w:styleId="5">
    <w:name w:val="heading 4"/>
    <w:basedOn w:val="1"/>
    <w:next w:val="6"/>
    <w:link w:val="48"/>
    <w:semiHidden/>
    <w:unhideWhenUsed/>
    <w:qFormat/>
    <w:uiPriority w:val="0"/>
    <w:pPr>
      <w:keepNext/>
      <w:keepLines/>
      <w:numPr>
        <w:ilvl w:val="3"/>
        <w:numId w:val="1"/>
      </w:numPr>
      <w:spacing w:before="10" w:beforeLines="0" w:beforeAutospacing="0" w:after="10" w:afterLines="0" w:afterAutospacing="0" w:line="360" w:lineRule="auto"/>
      <w:ind w:left="864" w:leftChars="0" w:hanging="864" w:firstLineChars="0"/>
      <w:jc w:val="left"/>
      <w:outlineLvl w:val="3"/>
    </w:pPr>
    <w:rPr>
      <w:rFonts w:ascii="Arial" w:hAnsi="Arial" w:eastAsia="黑体" w:cs="Times New Roman"/>
    </w:rPr>
  </w:style>
  <w:style w:type="paragraph" w:styleId="7">
    <w:name w:val="heading 5"/>
    <w:next w:val="6"/>
    <w:semiHidden/>
    <w:unhideWhenUsed/>
    <w:qFormat/>
    <w:uiPriority w:val="0"/>
    <w:pPr>
      <w:numPr>
        <w:ilvl w:val="4"/>
        <w:numId w:val="1"/>
      </w:numPr>
      <w:tabs>
        <w:tab w:val="left" w:pos="312"/>
      </w:tabs>
      <w:spacing w:line="360" w:lineRule="auto"/>
      <w:ind w:left="1008" w:hanging="1008"/>
      <w:outlineLvl w:val="4"/>
    </w:pPr>
    <w:rPr>
      <w:rFonts w:ascii="Arial" w:hAnsi="Arial" w:eastAsia="宋体" w:cstheme="minorBidi"/>
      <w:sz w:val="28"/>
      <w:szCs w:val="22"/>
      <w:lang w:val="en-US" w:eastAsia="zh-CN" w:bidi="ar-SA"/>
    </w:rPr>
  </w:style>
  <w:style w:type="paragraph" w:styleId="8">
    <w:name w:val="heading 6"/>
    <w:basedOn w:val="1"/>
    <w:next w:val="1"/>
    <w:semiHidden/>
    <w:unhideWhenUsed/>
    <w:qFormat/>
    <w:uiPriority w:val="0"/>
    <w:pPr>
      <w:keepNext/>
      <w:keepLines/>
      <w:numPr>
        <w:ilvl w:val="5"/>
        <w:numId w:val="1"/>
      </w:numPr>
      <w:tabs>
        <w:tab w:val="left" w:pos="0"/>
      </w:tabs>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tabs>
        <w:tab w:val="left" w:pos="0"/>
      </w:tabs>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ind w:firstLine="0" w:firstLineChars="0"/>
    </w:pPr>
    <w:rPr>
      <w:rFonts w:ascii="宋体" w:hAnsi="宋体" w:cs="宋体"/>
      <w:sz w:val="31"/>
      <w:szCs w:val="31"/>
    </w:rPr>
  </w:style>
  <w:style w:type="paragraph" w:styleId="12">
    <w:name w:val="Normal Indent"/>
    <w:basedOn w:val="1"/>
    <w:qFormat/>
    <w:uiPriority w:val="0"/>
    <w:pPr>
      <w:ind w:firstLine="420" w:firstLineChars="200"/>
    </w:pPr>
  </w:style>
  <w:style w:type="paragraph" w:styleId="13">
    <w:name w:val="caption"/>
    <w:basedOn w:val="1"/>
    <w:next w:val="1"/>
    <w:semiHidden/>
    <w:unhideWhenUsed/>
    <w:qFormat/>
    <w:uiPriority w:val="0"/>
    <w:pPr>
      <w:ind w:firstLine="0" w:firstLineChars="0"/>
      <w:jc w:val="center"/>
    </w:pPr>
    <w:rPr>
      <w:sz w:val="21"/>
      <w:szCs w:val="20"/>
    </w:rPr>
  </w:style>
  <w:style w:type="paragraph" w:styleId="14">
    <w:name w:val="toa heading"/>
    <w:basedOn w:val="1"/>
    <w:next w:val="1"/>
    <w:qFormat/>
    <w:uiPriority w:val="0"/>
    <w:pPr>
      <w:spacing w:before="120" w:beforeLines="0" w:beforeAutospacing="0"/>
    </w:pPr>
    <w:rPr>
      <w:rFonts w:ascii="Arial" w:hAnsi="Arial"/>
      <w:sz w:val="24"/>
    </w:rPr>
  </w:style>
  <w:style w:type="paragraph" w:styleId="15">
    <w:name w:val="Body Text Indent"/>
    <w:basedOn w:val="1"/>
    <w:qFormat/>
    <w:uiPriority w:val="0"/>
    <w:pPr>
      <w:spacing w:after="120" w:afterLines="0" w:afterAutospacing="0"/>
      <w:ind w:left="420" w:leftChars="200"/>
    </w:pPr>
  </w:style>
  <w:style w:type="paragraph" w:styleId="16">
    <w:name w:val="toc 3"/>
    <w:basedOn w:val="1"/>
    <w:next w:val="1"/>
    <w:qFormat/>
    <w:uiPriority w:val="0"/>
    <w:pPr>
      <w:ind w:left="840" w:leftChars="400" w:firstLine="0" w:firstLineChars="0"/>
    </w:pPr>
    <w:rPr>
      <w:rFonts w:ascii="等线" w:hAnsi="等线" w:eastAsia="宋体" w:cs="宋体"/>
      <w:sz w:val="28"/>
      <w:szCs w:val="22"/>
    </w:rPr>
  </w:style>
  <w:style w:type="paragraph" w:styleId="17">
    <w:name w:val="footer"/>
    <w:basedOn w:val="1"/>
    <w:link w:val="53"/>
    <w:qFormat/>
    <w:uiPriority w:val="0"/>
    <w:pPr>
      <w:tabs>
        <w:tab w:val="center" w:pos="4153"/>
        <w:tab w:val="right" w:pos="8306"/>
      </w:tabs>
      <w:snapToGrid w:val="0"/>
      <w:ind w:left="400" w:hanging="400" w:hangingChars="200"/>
      <w:jc w:val="left"/>
    </w:pPr>
    <w:rPr>
      <w:rFonts w:ascii="Times New Roman" w:hAnsi="Times New Roman" w:eastAsia="宋体"/>
      <w:sz w:val="18"/>
    </w:rPr>
  </w:style>
  <w:style w:type="paragraph" w:styleId="18">
    <w:name w:val="header"/>
    <w:basedOn w:val="1"/>
    <w:qFormat/>
    <w:uiPriority w:val="0"/>
    <w:pPr>
      <w:pBdr>
        <w:bottom w:val="thinThickSmallGap" w:color="auto" w:sz="18" w:space="1"/>
      </w:pBdr>
      <w:tabs>
        <w:tab w:val="center" w:pos="4153"/>
        <w:tab w:val="right" w:pos="8306"/>
      </w:tabs>
      <w:snapToGrid w:val="0"/>
      <w:ind w:firstLine="0" w:firstLineChars="0"/>
      <w:jc w:val="center"/>
    </w:pPr>
    <w:rPr>
      <w:sz w:val="18"/>
      <w:szCs w:val="18"/>
    </w:rPr>
  </w:style>
  <w:style w:type="paragraph" w:styleId="19">
    <w:name w:val="toc 1"/>
    <w:basedOn w:val="1"/>
    <w:next w:val="1"/>
    <w:qFormat/>
    <w:uiPriority w:val="0"/>
    <w:pPr>
      <w:ind w:firstLine="0" w:firstLineChars="0"/>
      <w:jc w:val="center"/>
    </w:pPr>
    <w:rPr>
      <w:rFonts w:ascii="等线" w:hAnsi="等线" w:eastAsia="宋体" w:cs="宋体"/>
      <w:sz w:val="30"/>
      <w:szCs w:val="22"/>
    </w:rPr>
  </w:style>
  <w:style w:type="paragraph" w:styleId="20">
    <w:name w:val="toc 2"/>
    <w:basedOn w:val="1"/>
    <w:next w:val="1"/>
    <w:qFormat/>
    <w:uiPriority w:val="0"/>
    <w:pPr>
      <w:ind w:left="420" w:leftChars="200" w:firstLine="0" w:firstLineChars="0"/>
    </w:pPr>
    <w:rPr>
      <w:rFonts w:ascii="等线" w:hAnsi="等线" w:eastAsia="宋体" w:cs="宋体"/>
      <w:sz w:val="28"/>
      <w:szCs w:val="22"/>
    </w:rPr>
  </w:style>
  <w:style w:type="paragraph" w:styleId="21">
    <w:name w:val="Normal (Web)"/>
    <w:basedOn w:val="1"/>
    <w:qFormat/>
    <w:uiPriority w:val="0"/>
    <w:rPr>
      <w:sz w:val="24"/>
    </w:rPr>
  </w:style>
  <w:style w:type="paragraph" w:styleId="22">
    <w:name w:val="Title"/>
    <w:basedOn w:val="1"/>
    <w:next w:val="1"/>
    <w:link w:val="54"/>
    <w:qFormat/>
    <w:uiPriority w:val="0"/>
    <w:pPr>
      <w:pageBreakBefore/>
      <w:spacing w:line="578" w:lineRule="auto"/>
      <w:ind w:firstLine="0" w:firstLineChars="0"/>
      <w:jc w:val="center"/>
      <w:outlineLvl w:val="0"/>
    </w:pPr>
    <w:rPr>
      <w:rFonts w:ascii="等线 Light" w:hAnsi="等线 Light" w:eastAsia="宋体"/>
      <w:b/>
      <w:bCs/>
      <w:sz w:val="32"/>
      <w:szCs w:val="32"/>
    </w:rPr>
  </w:style>
  <w:style w:type="paragraph" w:styleId="23">
    <w:name w:val="Body Text First Indent 2"/>
    <w:basedOn w:val="15"/>
    <w:qFormat/>
    <w:uiPriority w:val="0"/>
    <w:pPr>
      <w:ind w:firstLine="420" w:firstLineChars="200"/>
    </w:pPr>
  </w:style>
  <w:style w:type="character" w:styleId="26">
    <w:name w:val="Strong"/>
    <w:basedOn w:val="25"/>
    <w:qFormat/>
    <w:uiPriority w:val="0"/>
    <w:rPr>
      <w:b/>
    </w:rPr>
  </w:style>
  <w:style w:type="character" w:customStyle="1" w:styleId="27">
    <w:name w:val="标题 2 Char"/>
    <w:link w:val="3"/>
    <w:qFormat/>
    <w:uiPriority w:val="0"/>
    <w:rPr>
      <w:rFonts w:ascii="Times New Roman" w:hAnsi="Times New Roman" w:eastAsia="宋体" w:cs="宋体"/>
      <w:kern w:val="2"/>
      <w:sz w:val="28"/>
      <w:szCs w:val="22"/>
      <w:lang w:val="en-US" w:eastAsia="zh-CN" w:bidi="ar-SA"/>
    </w:rPr>
  </w:style>
  <w:style w:type="character" w:customStyle="1" w:styleId="28">
    <w:name w:val="标题 3 Char"/>
    <w:link w:val="4"/>
    <w:qFormat/>
    <w:uiPriority w:val="0"/>
    <w:rPr>
      <w:rFonts w:ascii="Times New Roman" w:hAnsi="Times New Roman" w:eastAsia="宋体" w:cs="宋体"/>
      <w:sz w:val="28"/>
    </w:rPr>
  </w:style>
  <w:style w:type="paragraph" w:customStyle="1" w:styleId="29">
    <w:name w:val="样式1"/>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30">
    <w:name w:val="样式2"/>
    <w:basedOn w:val="1"/>
    <w:qFormat/>
    <w:uiPriority w:val="0"/>
    <w:pPr>
      <w:widowControl/>
      <w:spacing w:line="440" w:lineRule="exact"/>
      <w:ind w:firstLine="0" w:firstLineChars="0"/>
      <w:jc w:val="left"/>
      <w:textAlignment w:val="center"/>
    </w:pPr>
    <w:rPr>
      <w:rFonts w:hint="eastAsia" w:ascii="宋体" w:hAnsi="宋体" w:eastAsia="宋体" w:cs="宋体"/>
      <w:b/>
      <w:bCs/>
      <w:color w:val="000000"/>
      <w:kern w:val="0"/>
      <w:sz w:val="18"/>
      <w:szCs w:val="18"/>
      <w:u w:val="none"/>
      <w:lang w:eastAsia="zh-CN" w:bidi="ar"/>
    </w:rPr>
  </w:style>
  <w:style w:type="paragraph" w:customStyle="1" w:styleId="31">
    <w:name w:val="样式3"/>
    <w:basedOn w:val="1"/>
    <w:qFormat/>
    <w:uiPriority w:val="0"/>
    <w:pPr>
      <w:ind w:firstLine="0" w:firstLineChars="0"/>
    </w:pPr>
    <w:rPr>
      <w:rFonts w:hint="eastAsia"/>
      <w:lang w:val="zh-CN"/>
    </w:rPr>
  </w:style>
  <w:style w:type="paragraph" w:customStyle="1" w:styleId="32">
    <w:name w:val="样式4"/>
    <w:basedOn w:val="1"/>
    <w:qFormat/>
    <w:uiPriority w:val="0"/>
    <w:pPr>
      <w:widowControl/>
      <w:spacing w:line="240" w:lineRule="auto"/>
      <w:ind w:firstLine="0" w:firstLineChars="0"/>
      <w:jc w:val="center"/>
      <w:textAlignment w:val="center"/>
    </w:pPr>
    <w:rPr>
      <w:rFonts w:hint="eastAsia" w:ascii="宋体" w:hAnsi="宋体" w:eastAsia="宋体" w:cs="宋体"/>
      <w:color w:val="000000"/>
      <w:kern w:val="0"/>
      <w:sz w:val="18"/>
      <w:szCs w:val="18"/>
      <w:u w:val="none"/>
      <w:lang w:bidi="ar"/>
    </w:rPr>
  </w:style>
  <w:style w:type="paragraph" w:customStyle="1" w:styleId="33">
    <w:name w:val="图序"/>
    <w:basedOn w:val="1"/>
    <w:qFormat/>
    <w:uiPriority w:val="0"/>
    <w:pPr>
      <w:spacing w:line="240" w:lineRule="auto"/>
      <w:jc w:val="center"/>
    </w:pPr>
    <w:rPr>
      <w:rFonts w:hint="default" w:ascii="Times New Roman" w:hAnsi="Times New Roman" w:eastAsia="黑体" w:cs="Times New Roman"/>
      <w:sz w:val="21"/>
    </w:rPr>
  </w:style>
  <w:style w:type="character" w:customStyle="1" w:styleId="34">
    <w:name w:val="标题 1 Char"/>
    <w:link w:val="2"/>
    <w:qFormat/>
    <w:uiPriority w:val="0"/>
    <w:rPr>
      <w:rFonts w:ascii="Times New Roman" w:hAnsi="Times New Roman" w:eastAsia="宋体" w:cs="宋体"/>
      <w:b/>
      <w:snapToGrid w:val="0"/>
      <w:color w:val="000000"/>
      <w:kern w:val="44"/>
      <w:sz w:val="36"/>
      <w:szCs w:val="21"/>
      <w:lang w:eastAsia="en-US"/>
    </w:rPr>
  </w:style>
  <w:style w:type="paragraph" w:customStyle="1" w:styleId="35">
    <w:name w:val="目录"/>
    <w:basedOn w:val="1"/>
    <w:next w:val="1"/>
    <w:link w:val="36"/>
    <w:qFormat/>
    <w:uiPriority w:val="0"/>
    <w:pPr>
      <w:keepNext/>
      <w:keepLines/>
      <w:spacing w:line="360" w:lineRule="auto"/>
      <w:ind w:firstLine="0" w:firstLineChars="0"/>
      <w:jc w:val="center"/>
      <w:outlineLvl w:val="0"/>
    </w:pPr>
    <w:rPr>
      <w:rFonts w:ascii="Times New Roman" w:hAnsi="Times New Roman" w:eastAsia="宋体"/>
      <w:b/>
      <w:bCs/>
      <w:sz w:val="36"/>
      <w:szCs w:val="44"/>
    </w:rPr>
  </w:style>
  <w:style w:type="character" w:customStyle="1" w:styleId="36">
    <w:name w:val="目录 Char"/>
    <w:link w:val="35"/>
    <w:qFormat/>
    <w:uiPriority w:val="0"/>
    <w:rPr>
      <w:rFonts w:ascii="Times New Roman" w:hAnsi="Times New Roman" w:eastAsia="宋体"/>
      <w:b/>
      <w:bCs/>
      <w:sz w:val="36"/>
      <w:szCs w:val="44"/>
    </w:rPr>
  </w:style>
  <w:style w:type="paragraph" w:customStyle="1" w:styleId="37">
    <w:name w:val="目录1"/>
    <w:basedOn w:val="14"/>
    <w:next w:val="35"/>
    <w:qFormat/>
    <w:uiPriority w:val="0"/>
    <w:pPr>
      <w:tabs>
        <w:tab w:val="right" w:leader="dot" w:pos="8336"/>
      </w:tabs>
      <w:autoSpaceDE/>
      <w:autoSpaceDN/>
      <w:spacing w:line="360" w:lineRule="auto"/>
    </w:pPr>
    <w:rPr>
      <w:rFonts w:ascii="Times New Roman" w:hAnsi="Times New Roman" w:eastAsia="宋体" w:cs="Times New Roman"/>
      <w:bCs/>
      <w:spacing w:val="4"/>
      <w:sz w:val="28"/>
      <w:szCs w:val="43"/>
    </w:rPr>
  </w:style>
  <w:style w:type="paragraph" w:customStyle="1" w:styleId="38">
    <w:name w:val="图序与图名"/>
    <w:basedOn w:val="1"/>
    <w:link w:val="59"/>
    <w:qFormat/>
    <w:uiPriority w:val="0"/>
    <w:pPr>
      <w:spacing w:before="100" w:beforeLines="100" w:line="240" w:lineRule="auto"/>
      <w:ind w:left="0" w:firstLine="0" w:firstLineChars="0"/>
      <w:jc w:val="center"/>
    </w:pPr>
    <w:rPr>
      <w:rFonts w:ascii="宋体" w:hAnsi="宋体" w:eastAsia="宋体" w:cs="宋体"/>
      <w:spacing w:val="-2"/>
      <w:sz w:val="21"/>
      <w:szCs w:val="20"/>
    </w:rPr>
  </w:style>
  <w:style w:type="paragraph" w:customStyle="1" w:styleId="39">
    <w:name w:val="样式7"/>
    <w:basedOn w:val="1"/>
    <w:qFormat/>
    <w:uiPriority w:val="0"/>
    <w:pPr>
      <w:ind w:firstLine="0" w:firstLineChars="0"/>
      <w:jc w:val="center"/>
    </w:pPr>
    <w:rPr>
      <w:rFonts w:hint="eastAsia" w:ascii="宋体" w:hAnsi="宋体" w:eastAsia="宋体"/>
      <w:szCs w:val="22"/>
    </w:rPr>
  </w:style>
  <w:style w:type="paragraph" w:customStyle="1" w:styleId="40">
    <w:name w:val="摘要目录"/>
    <w:basedOn w:val="1"/>
    <w:next w:val="1"/>
    <w:qFormat/>
    <w:uiPriority w:val="0"/>
    <w:pPr>
      <w:keepNext/>
      <w:keepLines/>
      <w:pageBreakBefore/>
      <w:spacing w:line="360" w:lineRule="auto"/>
      <w:ind w:left="0" w:leftChars="0" w:firstLine="482" w:firstLineChars="200"/>
      <w:jc w:val="both"/>
      <w:outlineLvl w:val="0"/>
    </w:pPr>
    <w:rPr>
      <w:rFonts w:ascii="Times New Roman" w:hAnsi="Times New Roman" w:eastAsia="宋体"/>
      <w:b/>
      <w:bCs/>
      <w:kern w:val="44"/>
      <w:szCs w:val="44"/>
    </w:rPr>
  </w:style>
  <w:style w:type="paragraph" w:customStyle="1" w:styleId="41">
    <w:name w:val="样式8"/>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42">
    <w:name w:val="目录摘要"/>
    <w:basedOn w:val="1"/>
    <w:qFormat/>
    <w:uiPriority w:val="0"/>
    <w:pPr>
      <w:spacing w:line="360" w:lineRule="auto"/>
      <w:ind w:left="0" w:right="0" w:firstLine="420" w:firstLineChars="200"/>
      <w:jc w:val="both"/>
      <w:outlineLvl w:val="0"/>
    </w:pPr>
    <w:rPr>
      <w:rFonts w:hint="eastAsia" w:ascii="微软雅黑" w:hAnsi="微软雅黑" w:eastAsia="宋体" w:cs="微软雅黑"/>
      <w:b/>
      <w:bCs/>
      <w:snapToGrid w:val="0"/>
      <w:color w:val="000000"/>
      <w:spacing w:val="9"/>
      <w:kern w:val="0"/>
      <w:sz w:val="24"/>
      <w:szCs w:val="29"/>
    </w:rPr>
  </w:style>
  <w:style w:type="paragraph" w:customStyle="1" w:styleId="43">
    <w:name w:val="样式9"/>
    <w:basedOn w:val="1"/>
    <w:qFormat/>
    <w:uiPriority w:val="0"/>
    <w:pPr>
      <w:widowControl/>
      <w:ind w:firstLine="0" w:firstLineChars="0"/>
      <w:jc w:val="center"/>
      <w:textAlignment w:val="center"/>
    </w:pPr>
    <w:rPr>
      <w:rFonts w:hint="eastAsia" w:ascii="宋体" w:hAnsi="宋体" w:eastAsia="宋体" w:cs="宋体"/>
      <w:color w:val="000000"/>
      <w:kern w:val="0"/>
      <w:sz w:val="16"/>
      <w:szCs w:val="20"/>
      <w:u w:val="none"/>
      <w:lang w:eastAsia="zh-CN" w:bidi="ar"/>
    </w:rPr>
  </w:style>
  <w:style w:type="paragraph" w:customStyle="1" w:styleId="44">
    <w:name w:val="样式10"/>
    <w:basedOn w:val="1"/>
    <w:qFormat/>
    <w:uiPriority w:val="0"/>
    <w:pPr>
      <w:widowControl/>
      <w:spacing w:line="240" w:lineRule="auto"/>
      <w:ind w:firstLine="0" w:firstLineChars="0"/>
      <w:jc w:val="center"/>
      <w:textAlignment w:val="center"/>
    </w:pPr>
    <w:rPr>
      <w:rFonts w:hint="eastAsia" w:ascii="宋体" w:hAnsi="宋体" w:eastAsia="宋体" w:cs="宋体"/>
      <w:b/>
      <w:bCs/>
      <w:color w:val="000000"/>
      <w:kern w:val="0"/>
      <w:sz w:val="15"/>
      <w:szCs w:val="18"/>
      <w:u w:val="none"/>
      <w:lang w:eastAsia="zh-CN" w:bidi="ar"/>
    </w:rPr>
  </w:style>
  <w:style w:type="paragraph" w:customStyle="1" w:styleId="45">
    <w:name w:val="图题"/>
    <w:basedOn w:val="1"/>
    <w:qFormat/>
    <w:uiPriority w:val="0"/>
    <w:rPr>
      <w:rFonts w:hint="default" w:ascii="Times New Roman" w:hAnsi="Times New Roman" w:eastAsia="宋体"/>
      <w:sz w:val="21"/>
    </w:rPr>
  </w:style>
  <w:style w:type="paragraph" w:customStyle="1" w:styleId="46">
    <w:name w:val="参考文献"/>
    <w:basedOn w:val="1"/>
    <w:next w:val="1"/>
    <w:qFormat/>
    <w:uiPriority w:val="0"/>
    <w:pPr>
      <w:numPr>
        <w:ilvl w:val="0"/>
        <w:numId w:val="2"/>
      </w:numPr>
      <w:tabs>
        <w:tab w:val="left" w:pos="0"/>
      </w:tabs>
      <w:spacing w:before="50" w:beforeLines="50" w:after="50" w:afterLines="50" w:line="240" w:lineRule="auto"/>
      <w:ind w:left="425" w:hanging="425"/>
      <w:jc w:val="center"/>
      <w:outlineLvl w:val="0"/>
    </w:pPr>
    <w:rPr>
      <w:rFonts w:hint="eastAsia" w:ascii="宋体" w:hAnsi="宋体" w:cs="宋体"/>
      <w:b/>
      <w:snapToGrid w:val="0"/>
      <w:color w:val="000000"/>
      <w:kern w:val="44"/>
      <w:sz w:val="28"/>
      <w:szCs w:val="32"/>
      <w:lang w:eastAsia="en-US"/>
    </w:rPr>
  </w:style>
  <w:style w:type="paragraph" w:customStyle="1" w:styleId="47">
    <w:name w:val="参考文献正文"/>
    <w:basedOn w:val="1"/>
    <w:qFormat/>
    <w:uiPriority w:val="0"/>
    <w:pPr>
      <w:numPr>
        <w:ilvl w:val="0"/>
        <w:numId w:val="3"/>
      </w:numPr>
      <w:spacing w:before="50" w:beforeLines="50" w:after="50" w:afterLines="50"/>
    </w:pPr>
    <w:rPr>
      <w:rFonts w:hint="eastAsia"/>
    </w:rPr>
  </w:style>
  <w:style w:type="character" w:customStyle="1" w:styleId="48">
    <w:name w:val="标题 4 Char"/>
    <w:link w:val="5"/>
    <w:qFormat/>
    <w:uiPriority w:val="0"/>
    <w:rPr>
      <w:rFonts w:ascii="Arial" w:hAnsi="Arial" w:eastAsia="宋体" w:cs="Times New Roman"/>
      <w:snapToGrid/>
      <w:sz w:val="24"/>
      <w:szCs w:val="24"/>
      <w:lang w:val="en-US" w:eastAsia="zh-CN" w:bidi="ar-SA"/>
    </w:rPr>
  </w:style>
  <w:style w:type="paragraph" w:customStyle="1" w:styleId="49">
    <w:name w:val="Table Text"/>
    <w:basedOn w:val="1"/>
    <w:semiHidden/>
    <w:qFormat/>
    <w:uiPriority w:val="0"/>
    <w:pPr>
      <w:snapToGrid w:val="0"/>
      <w:spacing w:line="360" w:lineRule="auto"/>
    </w:pPr>
    <w:rPr>
      <w:rFonts w:ascii="等线" w:hAnsi="等线" w:eastAsia="宋体" w:cs="等线"/>
      <w:sz w:val="20"/>
      <w:szCs w:val="20"/>
      <w:lang w:eastAsia="en-US"/>
    </w:rPr>
  </w:style>
  <w:style w:type="paragraph" w:customStyle="1" w:styleId="50">
    <w:name w:val="目录111"/>
    <w:basedOn w:val="1"/>
    <w:qFormat/>
    <w:uiPriority w:val="0"/>
    <w:pPr>
      <w:spacing w:before="80" w:beforeLines="80" w:after="50" w:afterLines="50" w:line="240" w:lineRule="auto"/>
      <w:ind w:firstLine="0" w:firstLineChars="0"/>
      <w:jc w:val="center"/>
    </w:pPr>
    <w:rPr>
      <w:rFonts w:ascii="宋体" w:hAnsi="宋体"/>
      <w:sz w:val="36"/>
    </w:rPr>
  </w:style>
  <w:style w:type="paragraph" w:customStyle="1" w:styleId="51">
    <w:name w:val="一级标题"/>
    <w:basedOn w:val="1"/>
    <w:link w:val="52"/>
    <w:autoRedefine/>
    <w:qFormat/>
    <w:uiPriority w:val="0"/>
    <w:pPr>
      <w:keepNext/>
      <w:keepLines/>
      <w:pageBreakBefore/>
      <w:spacing w:line="360" w:lineRule="auto"/>
      <w:jc w:val="center"/>
      <w:outlineLvl w:val="0"/>
    </w:pPr>
    <w:rPr>
      <w:rFonts w:ascii="黑体" w:hAnsi="黑体" w:eastAsia="黑体" w:cs="Times New Roman"/>
      <w:b/>
      <w:bCs/>
      <w:kern w:val="32"/>
      <w:sz w:val="36"/>
      <w:szCs w:val="36"/>
    </w:rPr>
  </w:style>
  <w:style w:type="character" w:customStyle="1" w:styleId="52">
    <w:name w:val="一级标题 Char"/>
    <w:link w:val="51"/>
    <w:autoRedefine/>
    <w:qFormat/>
    <w:uiPriority w:val="0"/>
    <w:rPr>
      <w:rFonts w:ascii="黑体" w:hAnsi="黑体" w:eastAsia="黑体" w:cs="Times New Roman"/>
      <w:b/>
      <w:bCs/>
      <w:kern w:val="32"/>
      <w:sz w:val="36"/>
      <w:szCs w:val="36"/>
    </w:rPr>
  </w:style>
  <w:style w:type="character" w:customStyle="1" w:styleId="53">
    <w:name w:val="页脚 字符"/>
    <w:link w:val="17"/>
    <w:qFormat/>
    <w:uiPriority w:val="99"/>
    <w:rPr>
      <w:rFonts w:ascii="Times New Roman" w:hAnsi="Times New Roman" w:eastAsia="宋体"/>
      <w:sz w:val="18"/>
    </w:rPr>
  </w:style>
  <w:style w:type="character" w:customStyle="1" w:styleId="54">
    <w:name w:val="标题 Char"/>
    <w:link w:val="22"/>
    <w:qFormat/>
    <w:uiPriority w:val="0"/>
    <w:rPr>
      <w:rFonts w:ascii="等线 Light" w:hAnsi="等线 Light" w:eastAsia="宋体"/>
      <w:b/>
      <w:bCs/>
      <w:kern w:val="2"/>
      <w:sz w:val="32"/>
      <w:szCs w:val="32"/>
    </w:rPr>
  </w:style>
  <w:style w:type="paragraph" w:customStyle="1" w:styleId="55">
    <w:name w:val="题标"/>
    <w:basedOn w:val="1"/>
    <w:next w:val="1"/>
    <w:qFormat/>
    <w:uiPriority w:val="0"/>
    <w:pPr>
      <w:keepNext/>
      <w:keepLines/>
      <w:numPr>
        <w:ilvl w:val="0"/>
        <w:numId w:val="4"/>
      </w:numPr>
      <w:spacing w:line="360" w:lineRule="auto"/>
      <w:ind w:firstLine="0" w:firstLineChars="0"/>
      <w:jc w:val="center"/>
      <w:outlineLvl w:val="9"/>
    </w:pPr>
    <w:rPr>
      <w:rFonts w:ascii="Times New Roman" w:hAnsi="Times New Roman" w:eastAsia="宋体" w:cs="Times New Roman"/>
      <w:bCs/>
      <w:sz w:val="21"/>
      <w:szCs w:val="32"/>
    </w:rPr>
  </w:style>
  <w:style w:type="paragraph" w:customStyle="1" w:styleId="56">
    <w:name w:val="表格"/>
    <w:basedOn w:val="1"/>
    <w:qFormat/>
    <w:uiPriority w:val="0"/>
    <w:pPr>
      <w:spacing w:line="240" w:lineRule="auto"/>
      <w:ind w:firstLine="0" w:firstLineChars="0"/>
      <w:jc w:val="center"/>
    </w:pPr>
    <w:rPr>
      <w:rFonts w:ascii="Times New Roman" w:hAnsi="Times New Roman" w:cs="宋体"/>
      <w:sz w:val="21"/>
      <w:szCs w:val="21"/>
    </w:rPr>
  </w:style>
  <w:style w:type="paragraph" w:customStyle="1" w:styleId="57">
    <w:name w:val="目录 题目"/>
    <w:basedOn w:val="1"/>
    <w:qFormat/>
    <w:uiPriority w:val="99"/>
    <w:pPr>
      <w:spacing w:line="300" w:lineRule="auto"/>
      <w:ind w:firstLine="0" w:firstLineChars="0"/>
      <w:jc w:val="center"/>
    </w:pPr>
    <w:rPr>
      <w:rFonts w:ascii="等线" w:hAnsi="等线" w:eastAsia="黑体" w:cs="宋体"/>
      <w:b/>
      <w:sz w:val="32"/>
      <w:szCs w:val="22"/>
    </w:rPr>
  </w:style>
  <w:style w:type="paragraph" w:customStyle="1" w:styleId="58">
    <w:name w:val="样式11"/>
    <w:basedOn w:val="1"/>
    <w:qFormat/>
    <w:uiPriority w:val="0"/>
    <w:pPr>
      <w:widowControl/>
      <w:ind w:firstLine="0" w:firstLineChars="0"/>
      <w:jc w:val="center"/>
      <w:textAlignment w:val="center"/>
    </w:pPr>
    <w:rPr>
      <w:rFonts w:hint="eastAsia" w:ascii="宋体" w:hAnsi="宋体" w:eastAsia="宋体" w:cs="宋体"/>
      <w:b/>
      <w:bCs/>
      <w:color w:val="000000"/>
      <w:kern w:val="0"/>
      <w:sz w:val="18"/>
      <w:szCs w:val="18"/>
      <w:u w:val="none"/>
      <w:lang w:bidi="ar"/>
    </w:rPr>
  </w:style>
  <w:style w:type="character" w:customStyle="1" w:styleId="59">
    <w:name w:val="图序与图名 Char"/>
    <w:link w:val="38"/>
    <w:qFormat/>
    <w:uiPriority w:val="0"/>
    <w:rPr>
      <w:rFonts w:ascii="宋体" w:hAnsi="宋体" w:eastAsia="宋体" w:cs="宋体"/>
      <w:spacing w:val="-2"/>
      <w:sz w:val="21"/>
      <w:szCs w:val="20"/>
    </w:rPr>
  </w:style>
  <w:style w:type="paragraph" w:customStyle="1" w:styleId="60">
    <w:name w:val="样式12"/>
    <w:basedOn w:val="1"/>
    <w:qFormat/>
    <w:uiPriority w:val="0"/>
    <w:pPr>
      <w:widowControl/>
      <w:ind w:firstLine="0" w:firstLineChars="0"/>
      <w:textAlignment w:val="center"/>
    </w:pPr>
    <w:rPr>
      <w:rFonts w:hint="eastAsia" w:ascii="宋体" w:hAnsi="宋体" w:eastAsia="宋体" w:cs="宋体"/>
      <w:b/>
      <w:bCs/>
      <w:color w:val="000000"/>
      <w:kern w:val="0"/>
      <w:sz w:val="18"/>
      <w:szCs w:val="18"/>
      <w:u w:val="none"/>
      <w:lang w:bidi="ar"/>
    </w:rPr>
  </w:style>
  <w:style w:type="paragraph" w:customStyle="1" w:styleId="61">
    <w:name w:val="样式13"/>
    <w:basedOn w:val="1"/>
    <w:qFormat/>
    <w:uiPriority w:val="0"/>
    <w:pPr>
      <w:spacing w:line="240" w:lineRule="auto"/>
      <w:ind w:firstLine="0" w:firstLineChars="0"/>
      <w:outlineLvl w:val="0"/>
    </w:pPr>
    <w:rPr>
      <w:rFonts w:hint="eastAsia" w:ascii="宋体" w:hAnsi="宋体" w:eastAsia="宋体" w:cs="宋体"/>
      <w:snapToGrid w:val="0"/>
      <w:color w:val="000000"/>
      <w:spacing w:val="-3"/>
      <w:kern w:val="0"/>
      <w:sz w:val="20"/>
      <w:szCs w:val="24"/>
      <w:lang w:eastAsia="en-US"/>
    </w:rPr>
  </w:style>
  <w:style w:type="paragraph" w:customStyle="1" w:styleId="62">
    <w:name w:val="序号"/>
    <w:basedOn w:val="1"/>
    <w:qFormat/>
    <w:uiPriority w:val="0"/>
    <w:pPr>
      <w:spacing w:line="360" w:lineRule="auto"/>
      <w:ind w:left="0" w:firstLine="0" w:firstLineChars="0"/>
      <w:jc w:val="center"/>
      <w:outlineLvl w:val="9"/>
    </w:pPr>
    <w:rPr>
      <w:rFonts w:ascii="Times New Roman" w:hAnsi="Times New Roman" w:cs="宋体"/>
      <w:spacing w:val="1"/>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1488</Words>
  <Characters>1897</Characters>
  <Lines>0</Lines>
  <Paragraphs>0</Paragraphs>
  <TotalTime>0</TotalTime>
  <ScaleCrop>false</ScaleCrop>
  <LinksUpToDate>false</LinksUpToDate>
  <CharactersWithSpaces>1901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2025-02-07T08:36:00Z</dcterms:created>
  <dc:creator>Administrator</dc:creator>
  <cp:lastModifiedBy>懂懂</cp:lastModifiedBy>
  <dcterms:modified xsi:type="dcterms:W3CDTF">2026-04-29T09:31:55Z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54021CF050F343A68851D19342A8DE3D_13</vt:lpwstr>
  </property>
  <property fmtid="{D5CDD505-2E9C-101B-9397-08002B2CF9AE}" pid="4" name="KSOTemplateDocerSaveRecord">
    <vt:lpwstr>eyJoZGlkIjoiYTk5M2VlNGFjMjM5YWExMzRjYmJmMzI4YTY3NDdhN2MiLCJ1c2VySWQiOiIxMDM2NjI3NDI0In0=</vt:lpwstr>
  </property>
</Properties>
</file>