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2C694D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2025年，中国城商行阵营上演了一场最具战略含量的对决。对决的双方，不是长三角的宁波银行和江苏银行，不是珠三角的广州银行和东莞银行，而是来自西南腹地的两座双子星城市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成都和重庆。</w:t>
      </w:r>
    </w:p>
    <w:p w14:paraId="7F30E871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成都银行，成渝双城经济圈的首位城市，4月22日交出2025年年报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营收236.03亿元，归母净利润132.83亿元，加权平均净资产收益率15.39%，不良贷款率0.68%，拨备覆盖率426.17%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一组几乎挑不出短板的效率数据。</w:t>
      </w:r>
    </w:p>
    <w:p w14:paraId="0B4D2AA8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重庆银行，成渝双城的另一极，3月24日发布年报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营收151.13亿元，归母净利润56.54亿元，双双同比增长超10%，资产规模突破万亿大关达10337.26亿元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一组令同行眼红的增速数字。</w:t>
      </w:r>
    </w:p>
    <w:p w14:paraId="5990D454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两家银行，同处中国经济增长的第四极，同样扎根成渝双城经济圈，却在同一个年报季，交出了两份几乎没有任何交集点的成绩单。</w:t>
      </w:r>
    </w:p>
    <w:p w14:paraId="06588403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这不是一场谁更好的比拼，而是城商行阵营分化的最鲜活注脚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Style w:val="2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当银行业的竞争进入下半场，没有两座城市的城商行能走完全相同的路。</w:t>
      </w:r>
    </w:p>
    <w:p w14:paraId="4FE2472F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84" w:beforeAutospacing="0" w:after="192" w:afterAutospacing="0" w:line="360" w:lineRule="atLeast"/>
        <w:ind w:left="0" w:right="0" w:firstLine="0" w:firstLineChars="0"/>
        <w:textAlignment w:val="baseline"/>
        <w:rPr>
          <w:rFonts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效率对决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15.39%的ROE让招行都沉默</w:t>
      </w:r>
    </w:p>
    <w:p w14:paraId="1ACB947C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先把两组核心数据的对比摊开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</w:p>
    <w:tbl>
      <w:tblPr>
        <w:tblStyle w:val="24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09"/>
        <w:gridCol w:w="1822"/>
        <w:gridCol w:w="1822"/>
        <w:gridCol w:w="2247"/>
      </w:tblGrid>
      <w:tr w14:paraId="43FB95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34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  <w:tl2br w:val="nil"/>
            </w:tcBorders>
            <w:shd w:val="clear" w:color="auto" w:fill="91ACE0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46F1A6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指标</w:t>
            </w:r>
          </w:p>
        </w:tc>
        <w:tc>
          <w:tcPr>
            <w:tcW w:w="1071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91ACE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968E6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成都银行</w:t>
            </w:r>
          </w:p>
        </w:tc>
        <w:tc>
          <w:tcPr>
            <w:tcW w:w="1071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91ACE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996CD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重庆银行</w:t>
            </w:r>
          </w:p>
        </w:tc>
        <w:tc>
          <w:tcPr>
            <w:tcW w:w="1321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91ACE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B384B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差距</w:t>
            </w:r>
          </w:p>
        </w:tc>
      </w:tr>
      <w:tr w14:paraId="243070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34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A77505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资产规模</w:t>
            </w:r>
          </w:p>
        </w:tc>
        <w:tc>
          <w:tcPr>
            <w:tcW w:w="1071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063EA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1.40万亿元</w:t>
            </w:r>
          </w:p>
        </w:tc>
        <w:tc>
          <w:tcPr>
            <w:tcW w:w="1071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826E3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1.03万亿元</w:t>
            </w:r>
          </w:p>
        </w:tc>
        <w:tc>
          <w:tcPr>
            <w:tcW w:w="1321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FA35C0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+0.37万亿</w:t>
            </w:r>
          </w:p>
        </w:tc>
      </w:tr>
      <w:tr w14:paraId="3A9729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34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BA04C5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营收</w:t>
            </w:r>
          </w:p>
        </w:tc>
        <w:tc>
          <w:tcPr>
            <w:tcW w:w="1071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7F7FC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236.03亿元</w:t>
            </w:r>
          </w:p>
        </w:tc>
        <w:tc>
          <w:tcPr>
            <w:tcW w:w="1071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65FAB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151.13亿元</w:t>
            </w:r>
          </w:p>
        </w:tc>
        <w:tc>
          <w:tcPr>
            <w:tcW w:w="1321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D37CDE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+84.9亿</w:t>
            </w:r>
          </w:p>
        </w:tc>
      </w:tr>
      <w:tr w14:paraId="7DB7CF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34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2F4E9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营收增速</w:t>
            </w:r>
          </w:p>
        </w:tc>
        <w:tc>
          <w:tcPr>
            <w:tcW w:w="1071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47304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2.70%</w:t>
            </w:r>
          </w:p>
        </w:tc>
        <w:tc>
          <w:tcPr>
            <w:tcW w:w="1071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374A6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Style w:val="26"/>
                <w:rFonts w:hint="default" w:ascii="Segoe UI" w:hAnsi="Segoe UI" w:eastAsia="Segoe UI" w:cs="Segoe UI"/>
                <w:b w:val="0"/>
                <w:bCs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10.48%</w:t>
            </w:r>
          </w:p>
        </w:tc>
        <w:tc>
          <w:tcPr>
            <w:tcW w:w="1321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A05D17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-7.78个百分点</w:t>
            </w:r>
          </w:p>
        </w:tc>
      </w:tr>
      <w:tr w14:paraId="7865CD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34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3F827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归母净利润</w:t>
            </w:r>
          </w:p>
        </w:tc>
        <w:tc>
          <w:tcPr>
            <w:tcW w:w="1071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6CF14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132.83亿元</w:t>
            </w:r>
          </w:p>
        </w:tc>
        <w:tc>
          <w:tcPr>
            <w:tcW w:w="1071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B8181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56.54亿元</w:t>
            </w:r>
          </w:p>
        </w:tc>
        <w:tc>
          <w:tcPr>
            <w:tcW w:w="1321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9A66FC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+76.29亿元</w:t>
            </w:r>
          </w:p>
        </w:tc>
      </w:tr>
      <w:tr w14:paraId="769336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34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A69CC3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净利润增速</w:t>
            </w:r>
          </w:p>
        </w:tc>
        <w:tc>
          <w:tcPr>
            <w:tcW w:w="1071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FE988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3.31%</w:t>
            </w:r>
          </w:p>
        </w:tc>
        <w:tc>
          <w:tcPr>
            <w:tcW w:w="1071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CB8E0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10.49%</w:t>
            </w:r>
          </w:p>
        </w:tc>
        <w:tc>
          <w:tcPr>
            <w:tcW w:w="1321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1FD0E2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-7.18个百分点</w:t>
            </w:r>
          </w:p>
        </w:tc>
      </w:tr>
      <w:tr w14:paraId="40704C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34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CA79B1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ROE</w:t>
            </w:r>
          </w:p>
        </w:tc>
        <w:tc>
          <w:tcPr>
            <w:tcW w:w="1071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0E224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Style w:val="26"/>
                <w:rFonts w:hint="default" w:ascii="Segoe UI" w:hAnsi="Segoe UI" w:eastAsia="Segoe UI" w:cs="Segoe UI"/>
                <w:b w:val="0"/>
                <w:bCs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15.39%</w:t>
            </w:r>
          </w:p>
        </w:tc>
        <w:tc>
          <w:tcPr>
            <w:tcW w:w="1071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76FE3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宋体" w:cs="Segoe UI"/>
                <w:b w:val="0"/>
                <w:sz w:val="18"/>
                <w:szCs w:val="18"/>
                <w:highlight w:val="yellow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b w:val="0"/>
                <w:sz w:val="18"/>
                <w:szCs w:val="18"/>
                <w:highlight w:val="yellow"/>
                <w:lang w:val="en-US" w:eastAsia="zh-CN"/>
              </w:rPr>
              <w:t>9.50%</w:t>
            </w:r>
          </w:p>
        </w:tc>
        <w:tc>
          <w:tcPr>
            <w:tcW w:w="1321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85F9E5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宋体" w:cs="Segoe UI"/>
                <w:b w:val="0"/>
                <w:sz w:val="18"/>
                <w:szCs w:val="18"/>
                <w:highlight w:val="yellow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b w:val="0"/>
                <w:sz w:val="18"/>
                <w:szCs w:val="18"/>
                <w:highlight w:val="yellow"/>
                <w:lang w:val="en-US" w:eastAsia="zh-CN"/>
              </w:rPr>
              <w:t>+5.89个百分点</w:t>
            </w:r>
          </w:p>
        </w:tc>
      </w:tr>
      <w:tr w14:paraId="4039D6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34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377E9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净息差</w:t>
            </w:r>
          </w:p>
        </w:tc>
        <w:tc>
          <w:tcPr>
            <w:tcW w:w="1071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EDD78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1.59%</w:t>
            </w:r>
          </w:p>
        </w:tc>
        <w:tc>
          <w:tcPr>
            <w:tcW w:w="1071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AFB3E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宋体" w:cs="Segoe UI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b w:val="0"/>
                <w:sz w:val="18"/>
                <w:szCs w:val="18"/>
                <w:highlight w:val="yellow"/>
                <w:lang w:val="en-US" w:eastAsia="zh-CN"/>
              </w:rPr>
              <w:t>1.39%</w:t>
            </w:r>
          </w:p>
        </w:tc>
        <w:tc>
          <w:tcPr>
            <w:tcW w:w="1321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43F809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宋体" w:cs="Segoe UI"/>
                <w:b w:val="0"/>
                <w:sz w:val="18"/>
                <w:szCs w:val="18"/>
                <w:highlight w:val="yellow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b w:val="0"/>
                <w:sz w:val="18"/>
                <w:szCs w:val="18"/>
                <w:highlight w:val="yellow"/>
                <w:lang w:val="en-US" w:eastAsia="zh-CN"/>
              </w:rPr>
              <w:t>+2个百分点</w:t>
            </w:r>
          </w:p>
        </w:tc>
      </w:tr>
      <w:tr w14:paraId="6D960A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34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773753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不良贷款率</w:t>
            </w:r>
          </w:p>
        </w:tc>
        <w:tc>
          <w:tcPr>
            <w:tcW w:w="1071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A3BEB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Style w:val="26"/>
                <w:rFonts w:hint="default" w:ascii="Segoe UI" w:hAnsi="Segoe UI" w:eastAsia="Segoe UI" w:cs="Segoe UI"/>
                <w:b w:val="0"/>
                <w:bCs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0.68%</w:t>
            </w:r>
          </w:p>
        </w:tc>
        <w:tc>
          <w:tcPr>
            <w:tcW w:w="1071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6340F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1.14%</w:t>
            </w:r>
          </w:p>
        </w:tc>
        <w:tc>
          <w:tcPr>
            <w:tcW w:w="1321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70380B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+0.46个百分点</w:t>
            </w:r>
          </w:p>
        </w:tc>
      </w:tr>
      <w:tr w14:paraId="1EB147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34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D47E86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拨备覆盖率</w:t>
            </w:r>
          </w:p>
        </w:tc>
        <w:tc>
          <w:tcPr>
            <w:tcW w:w="1071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9F94E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Style w:val="26"/>
                <w:rFonts w:hint="default" w:ascii="Segoe UI" w:hAnsi="Segoe UI" w:eastAsia="Segoe UI" w:cs="Segoe UI"/>
                <w:b w:val="0"/>
                <w:bCs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426.17%</w:t>
            </w:r>
          </w:p>
        </w:tc>
        <w:tc>
          <w:tcPr>
            <w:tcW w:w="1071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6A4CF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245.58%</w:t>
            </w:r>
          </w:p>
        </w:tc>
        <w:tc>
          <w:tcPr>
            <w:tcW w:w="1321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EDF1F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5AB933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+180.59个百分点</w:t>
            </w:r>
          </w:p>
        </w:tc>
      </w:tr>
      <w:tr w14:paraId="2BE375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34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105740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lang w:val="en-US" w:eastAsia="zh-CN" w:bidi="ar"/>
              </w:rPr>
              <w:t>核心一级资本充足率</w:t>
            </w:r>
          </w:p>
        </w:tc>
        <w:tc>
          <w:tcPr>
            <w:tcW w:w="1071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2669B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  <w:highlight w:val="yellow"/>
              </w:rPr>
            </w:pPr>
            <w:r>
              <w:rPr>
                <w:rFonts w:hint="eastAsia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>8.91</w:t>
            </w: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>%</w:t>
            </w:r>
          </w:p>
        </w:tc>
        <w:tc>
          <w:tcPr>
            <w:tcW w:w="1071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6FA4F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  <w:highlight w:val="yellow"/>
              </w:rPr>
            </w:pP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>8.</w:t>
            </w:r>
            <w:r>
              <w:rPr>
                <w:rFonts w:hint="eastAsia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>53</w:t>
            </w: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>%</w:t>
            </w:r>
          </w:p>
        </w:tc>
        <w:tc>
          <w:tcPr>
            <w:tcW w:w="1321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799C3A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 w:val="0"/>
                <w:sz w:val="18"/>
                <w:szCs w:val="18"/>
                <w:highlight w:val="yellow"/>
              </w:rPr>
            </w:pPr>
            <w:r>
              <w:rPr>
                <w:rFonts w:hint="eastAsia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>+0.38</w:t>
            </w:r>
            <w:r>
              <w:rPr>
                <w:rFonts w:hint="default" w:ascii="Segoe UI" w:hAnsi="Segoe UI" w:eastAsia="Segoe UI" w:cs="Segoe UI"/>
                <w:b w:val="0"/>
                <w:snapToGrid w:val="0"/>
                <w:color w:val="000000"/>
                <w:kern w:val="0"/>
                <w:sz w:val="18"/>
                <w:szCs w:val="18"/>
                <w:highlight w:val="yellow"/>
                <w:lang w:val="en-US" w:eastAsia="zh-CN" w:bidi="ar"/>
              </w:rPr>
              <w:t>个百分点</w:t>
            </w:r>
          </w:p>
        </w:tc>
      </w:tr>
    </w:tbl>
    <w:p w14:paraId="3596A724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数据来源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成都银行、重庆银行2025年年报，证券时报、经</w:t>
      </w:r>
      <w:bookmarkStart w:id="0" w:name="_GoBack"/>
      <w:bookmarkEnd w:id="0"/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济参考报等多家媒体报道。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"https://news.qq.com/rain/a/20260427A07LE700"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"http://jjckb.xinhuanet.com/20260326/43e86b41b1fb422f82db1d47df7e061b/c.html"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</w:p>
    <w:p w14:paraId="5479868C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第一组让所有银行家都要反复掂量的数据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成都银行用1.40万亿资产创造了132.83亿元净利润，重庆银行用1.03万亿资产创造了56.54亿元净利润。</w:t>
      </w:r>
    </w:p>
    <w:p w14:paraId="21580EBB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做一道简单的除法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Style w:val="2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成都银行每1万亿资产创造约95亿元净利润；重庆银行每1万亿资产创造约55亿元净利润。成都银行的资产赚钱效率，是重庆银行的1.7倍以上。</w:t>
      </w:r>
    </w:p>
    <w:p w14:paraId="33CCDA54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第二组更让人后背发凉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成都银行的归母净利润是重庆银行的2.35倍，但营收增速只有2.70%，重庆银行营收增速高达10.48%。一个赚得多但跑得慢，一个赚得少但跑得快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Style w:val="2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效率与规模之间，西南双子星走向了截然不同的战略路径。</w:t>
      </w:r>
    </w:p>
    <w:p w14:paraId="4AAA642B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更大的差距藏在ROE里。成都银行15.39%的加权平均净资产收益率，自上市以来稳居行业前列，有望连续六年蝉联A股上市银行ROE冠军。这一数字放在整个A股银行业中意味着什么？2025年，招商银行ROE约13.4%，六大行普遍在9%-11%，城商行均值不足10%。15.39%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这不仅是城商行的天花板，放在整个银行板块也是顶级玩家的水准。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"https://news.qq.com/rain/a/20260427A07LE700"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</w:p>
    <w:p w14:paraId="647B4922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但光环之下是隐忧。成都银行的ROE已经从2023年的18.78%降至2025年的15.39%，连续两年下滑。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"https://news.qq.com/rain/a/20260427A07LE700"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从2021年到2025年，营收增速从22.54%一路收窄至2.70%，五年间蒸发了近20个百分点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这被南都·湾财社形象地描述为脚踝斩。净利润增速从29.98%降至3.31%，即使2026年一季度营收增速回升至6.54%，也难以扭转增长乏力的整体态势。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"https://news.qq.com/rain/a/20260427A07LE700"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</w:p>
    <w:p w14:paraId="1C0179AB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2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15.39%的ROE，是这座城市商业银行的勋章，也是它逼近天花板时的警钟。</w:t>
      </w:r>
    </w:p>
    <w:p w14:paraId="35543C70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84" w:beforeAutospacing="0" w:after="192" w:afterAutospacing="0" w:line="360" w:lineRule="atLeast"/>
        <w:ind w:left="0" w:right="0" w:firstLine="0" w:firstLineChars="0"/>
        <w:textAlignment w:val="baseline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0.68%的不良率是怎么炼成的？</w:t>
      </w:r>
    </w:p>
    <w:p w14:paraId="6462C622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在银行的估值体系里，不良贷款率是所有财务指标中最致命的那个。成都银行0.68%的不良率，放在全部42家A股上市银行中也是顶尖水准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较上年末微升0.02个百分点，拨备覆盖率426.17%，风险抵补能力位列第一梯队。</w:t>
      </w:r>
    </w:p>
    <w:p w14:paraId="1B7C576F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重庆银行则走出了一条改善型的资产质量路线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不良贷款率1.14%，较上年末下降0.11个百分点；关注类贷款占比1.94%，较上年末下降0.70个百分点；逾期贷款占比1.36%，较上年末下降0.37个百分点。拨备覆盖率245.58%，较上年末提升0.50个百分点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"http://jjckb.xinhuanet.com/20260326/43e86b41b1fb422f82db1d47df7e061b/c.html"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。几乎所有风险指标都在向好的方向移动。</w:t>
      </w:r>
    </w:p>
    <w:p w14:paraId="02EDE25B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但细看重庆银行的坏账结构，隐忧不容忽视。2025年年报数据显示，其零售及房地产业务不良贷款率出现攀升趋势，在整体向好的资产质量表背后，这两大业务板块的还款压力正在显现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"http://jjckb.xinhuanet.com/20260326/43e86b41b1fb422f82db1d47df7e061b/c.html"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45802E92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2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成都银行的关键支撑，在于深度绑定成渝双城经济圈核心产业。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成都银行董事长王晖在2025年三季度业绩说明会上曾提出做最干净的银行的理念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0.68%的不良率和426.17%的拨备覆盖率，是这一理念最极致的量化表达。成都银行在年报中强调，高度聚焦成渝地区双城经济圈的国家战略机遇，持续加大对区域内先进制造业、现代服务业和城市基础设施建设的信贷投放，这些领域的资产质量高于银行整体水平，共同构筑了0.68%这一同行难以企及的坏账防线。</w:t>
      </w:r>
    </w:p>
    <w:p w14:paraId="317620BE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但有一组数据需要警惕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成都银行2025年个人贷款不良率上升至1.11%，零售信贷的资产质量压力正在悄然积累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"https://news.qq.com/rain/a/20260427A07LE700"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。其个人购房贷款余额高达1049.94亿元，占个人贷款比重达68.80%，而个人消费贷款及其他仅287.03亿元，占比仅19%。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"https://news.qq.com/rain/a/20260427A07LE700"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Style w:val="2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零售结构严重偏向房贷，在当前房地产市场持续调整的宏观背景下，这一集中度本身就是一柄双刃剑。</w:t>
      </w:r>
    </w:p>
    <w:p w14:paraId="72D05D46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84" w:beforeAutospacing="0" w:after="192" w:afterAutospacing="0" w:line="360" w:lineRule="atLeast"/>
        <w:ind w:left="0" w:right="0" w:firstLine="0" w:firstLineChars="0"/>
        <w:textAlignment w:val="baseline"/>
        <w:rPr>
          <w:rFonts w:hint="eastAsia" w:ascii="Segoe UI" w:hAnsi="Segoe UI" w:eastAsia="宋体" w:cs="Segoe UI"/>
          <w:b/>
          <w:bCs/>
          <w:caps w:val="0"/>
          <w:color w:val="0F1115"/>
          <w:spacing w:val="0"/>
          <w:sz w:val="24"/>
          <w:szCs w:val="24"/>
          <w:lang w:val="en-US" w:eastAsia="zh-CN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谁能在LPR下行通道中活得更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好</w:t>
      </w:r>
    </w:p>
    <w:p w14:paraId="3F4F18B1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净息差是银行赖以生存的氧气。2025年，成都银行净息差1.59%，同比下降7个基点。城商行净息差行业均值约1.37%。成都银行的息差虽然仍在收缩，但收缩的速度正在放缓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2026年一季度测算口径下，净息差为1.62%，较2025年四季度环比回升2个基点。在4月24日的业绩说明会上，成都银行行长徐登义明确宣告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从一季度走势来看，我行净息差已迎来明确的拐点。</w:t>
      </w:r>
    </w:p>
    <w:p w14:paraId="19D95D66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这背后，贷款收益率的相对稳定和存款成本率的下行功不可没。财报披露口径下，2025年贷款收益率3.96%，存款付息率1.90%，降幅均在合理区间。</w:t>
      </w:r>
    </w:p>
    <w:p w14:paraId="17FE76FF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highlight w:val="yellow"/>
          <w:shd w:val="clear" w:fill="FFFFFF"/>
        </w:rPr>
        <w:t>重庆银行净息差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highlight w:val="yellow"/>
          <w:shd w:val="clear" w:fill="FFFFFF"/>
          <w:lang w:val="en-US" w:eastAsia="zh-CN"/>
        </w:rPr>
        <w:t>1.39%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。但作为同处西南地区的城商行，其面临的利率下行压力与成都银行高度一致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在息差整体收窄的行业背景下，重庆银行也承受着持续的净息差下行压力。</w:t>
      </w:r>
    </w:p>
    <w:p w14:paraId="137914FC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而两家银行真正的差距，藏在业务的战略纵深里。</w:t>
      </w:r>
    </w:p>
    <w:p w14:paraId="11B03EF3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成都银行的利息净收入占比高达84.76%，这意味着其利润结构高度依赖传统存贷业务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当息差持续收窄时，营收和利润的增长空间被同步压缩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"https://news.qq.com/rain/a/20260427A07LE700"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。重庆银行的利息净收入占比更高达82.44%，在这一点上，两家银行几乎同步。</w:t>
      </w:r>
    </w:p>
    <w:p w14:paraId="16CEB5FF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非利息收入端，成都银行2025年手续费及佣金净收入同比下跌近三成，中间业务能力的薄弱暴露无遗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"https://news.qq.com/rain/a/20260427A07LE700"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。当其核心的利息收入增速放缓时，没有第二条增长曲线来对冲，盈利能力的天花板会越来越低。</w:t>
      </w:r>
    </w:p>
    <w:p w14:paraId="4564CEF8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2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两家都在吃息差，但一家吃得精细，一家吃得粗放。吃的精细的一方，已经看到了天花板；吃得粗放的一方，还在享受规模扩张的红利。</w:t>
      </w:r>
    </w:p>
    <w:p w14:paraId="6116FA1F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84" w:beforeAutospacing="0" w:after="192" w:afterAutospacing="0" w:line="360" w:lineRule="atLeast"/>
        <w:ind w:left="0" w:right="0" w:firstLine="0" w:firstLineChars="0"/>
        <w:textAlignment w:val="baseline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万亿分水岭</w:t>
      </w:r>
    </w:p>
    <w:p w14:paraId="5CBCC1B6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2025年，重庆银行以20.67%的资产规模增速，将总资产推上10337.26亿元的万亿台阶，成为西部第二家万亿级城商行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"http://jjckb.xinhuanet.com/20260326/43e86b41b1fb422f82db1d47df7e061b/c.html"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。这一增速在A股上市银行中位居前列。</w:t>
      </w:r>
    </w:p>
    <w:p w14:paraId="25956CD0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成都银行的资产规模1.40万亿元，稳居西部城商行首位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但增长逻辑已经切换。其2025年贷款总额已连续五年实现千亿级增长，增幅15.78%。更值得关注的是，成都银行正在主动调整资产投放的行业结构，将增量信贷更多地向科技型企业倾斜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科技贷款同比增长24%，专精特新企业服务覆盖率超80%。</w:t>
      </w:r>
    </w:p>
    <w:p w14:paraId="5DD489E0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但高速增长的资产有代价。重庆银行的资产规模增加1770.84亿元，存款规模增长19.32%，贷款总额增长20.58%，其中公司贷款增长30.95%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"http://jjckb.xinhuanet.com/20260326/43e86b41b1fb422f82db1d47df7e061b/c.html"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。这种高速扩张在消耗资本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核心一级资本充足率下降明显，资本补充压力开始浮现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"http://jjckb.xinhuanet.com/20260326/43e86b41b1fb422f82db1d47df7e061b/c.html"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0AC63244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对比核心一级资本充足率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highlight w:val="yellow"/>
          <w:shd w:val="clear" w:fill="FFFFFF"/>
        </w:rPr>
        <w:t>，成都银行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highlight w:val="yellow"/>
          <w:shd w:val="clear" w:fill="FFFFFF"/>
          <w:lang w:val="en-US" w:eastAsia="zh-CN"/>
        </w:rPr>
        <w:t>8.91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highlight w:val="yellow"/>
          <w:shd w:val="clear" w:fill="FFFFFF"/>
        </w:rPr>
        <w:t>%，重庆银行8.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highlight w:val="yellow"/>
          <w:shd w:val="clear" w:fill="FFFFFF"/>
          <w:lang w:val="en-US" w:eastAsia="zh-CN"/>
        </w:rPr>
        <w:t>5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highlight w:val="yellow"/>
          <w:shd w:val="clear" w:fill="FFFFFF"/>
        </w:rPr>
        <w:t>%。重庆银行的资本充足率略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highlight w:val="yellow"/>
          <w:shd w:val="clear" w:fill="FFFFFF"/>
          <w:lang w:val="en-US" w:eastAsia="zh-CN"/>
        </w:rPr>
        <w:t>低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highlight w:val="yellow"/>
          <w:shd w:val="clear" w:fill="FFFFFF"/>
        </w:rPr>
        <w:t>于对手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，但考虑到其资产规模增速达到20.67%，这种资本优势能否持续存疑。</w:t>
      </w:r>
    </w:p>
    <w:p w14:paraId="0CE6A0A1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2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重规模还是重效率？在净息差持续挤压的大背景下，这个问题的答案决定了谁能在下一场风暴中活下来。</w:t>
      </w:r>
    </w:p>
    <w:p w14:paraId="37E556EA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84" w:beforeAutospacing="0" w:after="192" w:afterAutospacing="0" w:line="360" w:lineRule="atLeast"/>
        <w:ind w:left="0" w:right="0" w:firstLine="0" w:firstLineChars="0"/>
        <w:textAlignment w:val="baseline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一座经济圈，两种银行活法</w:t>
      </w:r>
    </w:p>
    <w:p w14:paraId="2C5502AC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成都和重庆，相隔不到300公里，同为成渝双城经济圈的核心城市。2025年，成渝双城经济圈经济总量突破10万亿元，占全国比重提高至约7.2%。四川全省实现地区生产总值6.77万亿元，增长5.5%，总量与增速均居全国第5位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"https://news.qq.com/rain/a/20260427A07LE700"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5E91D896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但就是在这片同样的土地上，两家城商行走出了截然不同的生存路径。</w:t>
      </w:r>
    </w:p>
    <w:p w14:paraId="6061A1D7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成都银行的路径是效率主义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聚焦本地、控制风险、做到极致ROE。这条路的好处是稳健、可持续，坏处是增速天花板低、净息差高度依赖。当重庆银行以20.67%的资产增速横冲直撞时，成都银行的资产增速不到10%。但前者每扩大一单位资产，赚回的钱可能无法等比例增长。</w:t>
      </w:r>
    </w:p>
    <w:p w14:paraId="5921ACC2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重庆银行的路径是规模主义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在国家战略驱动下，用区域增长红利换取资产规模的高速扩张。这条路的好处是态势积极、市场关注度高、符合区域战略定位；坏处是资本消耗大、资产质量在部分领域承压，如果不能解决赚钱效率的问题，规模越大、风险积累越快。</w:t>
      </w:r>
    </w:p>
    <w:p w14:paraId="0DA2C185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2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银行业的竞争，从来不是看谁跑得快，而是看谁能在长跑中保持每一公里的配速。成都银行的15.39%ROE和0.68%不良率是它最坚固的防弹衣，但2.70%的营收增速随时可能在增量竞争中失速。重庆银行的万亿资产和双位数增速是它的冲锋号，但245.58%的拨备覆盖率和较高的不良率表明它还没有穿上足够厚的盔甲。</w:t>
      </w:r>
    </w:p>
    <w:p w14:paraId="6C5BA72C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西南双子星，两条不同的路。没有标准答案，但市场的估值会给出最好的评判。</w:t>
      </w:r>
    </w:p>
    <w:p w14:paraId="772AB7E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textAlignment w:val="baseline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151">
      <wne:acd wne:acdName="acd0"/>
    </wne:keymap>
    <wne:keymap wne:kcmPrimary="0432">
      <wne:acd wne:acdName="acd1"/>
    </wne:keymap>
  </wne:keymaps>
  <wne:acds>
    <wne:acd wne:argValue="AQAAAAEA" wne:acdName="acd0" wne:fciIndexBasedOn="0065"/>
    <wne:acd wne:argValue="AQAAAAIA" wne:acdName="acd1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02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8B17FF"/>
    <w:multiLevelType w:val="singleLevel"/>
    <w:tmpl w:val="C78B17FF"/>
    <w:lvl w:ilvl="0" w:tentative="0">
      <w:start w:val="1"/>
      <w:numFmt w:val="decimal"/>
      <w:pStyle w:val="47"/>
      <w:suff w:val="space"/>
      <w:lvlText w:val="[%1]"/>
      <w:lvlJc w:val="left"/>
      <w:pPr>
        <w:tabs>
          <w:tab w:val="left" w:pos="0"/>
        </w:tabs>
      </w:pPr>
      <w:rPr>
        <w:rFonts w:hint="default"/>
      </w:rPr>
    </w:lvl>
  </w:abstractNum>
  <w:abstractNum w:abstractNumId="1">
    <w:nsid w:val="D4C22AF2"/>
    <w:multiLevelType w:val="multilevel"/>
    <w:tmpl w:val="D4C22AF2"/>
    <w:lvl w:ilvl="0" w:tentative="0">
      <w:start w:val="1"/>
      <w:numFmt w:val="decimal"/>
      <w:suff w:val="nothing"/>
      <w:lvlText w:val="%1 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nothing"/>
      <w:lvlText w:val="%1.%2 "/>
      <w:lvlJc w:val="left"/>
      <w:pPr>
        <w:tabs>
          <w:tab w:val="left" w:pos="0"/>
        </w:tabs>
        <w:ind w:left="575" w:hanging="575"/>
      </w:pPr>
      <w:rPr>
        <w:rFonts w:hint="default" w:ascii="宋体" w:hAnsi="宋体" w:eastAsia="宋体" w:cs="宋体"/>
      </w:rPr>
    </w:lvl>
    <w:lvl w:ilvl="2" w:tentative="0">
      <w:start w:val="1"/>
      <w:numFmt w:val="decimal"/>
      <w:suff w:val="nothing"/>
      <w:lvlText w:val="%1.%2.%3 "/>
      <w:lvlJc w:val="left"/>
      <w:pPr>
        <w:tabs>
          <w:tab w:val="left" w:pos="0"/>
        </w:tabs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7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8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9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EFE2F7AC"/>
    <w:multiLevelType w:val="multilevel"/>
    <w:tmpl w:val="EFE2F7AC"/>
    <w:lvl w:ilvl="0" w:tentative="0">
      <w:start w:val="1"/>
      <w:numFmt w:val="decimal"/>
      <w:pStyle w:val="46"/>
      <w:lvlText w:val="%1"/>
      <w:lvlJc w:val="left"/>
      <w:pPr>
        <w:ind w:left="425" w:hanging="425"/>
      </w:pPr>
      <w:rPr>
        <w:rFonts w:hint="default" w:ascii="微软雅黑" w:hAnsi="微软雅黑" w:eastAsia="微软雅黑"/>
      </w:rPr>
    </w:lvl>
    <w:lvl w:ilvl="1" w:tentative="0">
      <w:start w:val="1"/>
      <w:numFmt w:val="decimal"/>
      <w:lvlText w:val="%1.%2"/>
      <w:lvlJc w:val="left"/>
      <w:pPr>
        <w:ind w:left="567" w:hanging="567"/>
      </w:pPr>
      <w:rPr>
        <w:rFonts w:hint="default" w:ascii="微软雅黑" w:hAnsi="微软雅黑" w:eastAsia="宋体"/>
      </w:rPr>
    </w:lvl>
    <w:lvl w:ilvl="2" w:tentative="0">
      <w:start w:val="1"/>
      <w:numFmt w:val="decimal"/>
      <w:lvlText w:val="%1.%2.%3"/>
      <w:lvlJc w:val="left"/>
      <w:pPr>
        <w:ind w:left="709" w:hanging="709"/>
      </w:pPr>
      <w:rPr>
        <w:rFonts w:hint="default" w:ascii="微软雅黑" w:hAnsi="微软雅黑" w:eastAsia="微软雅黑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 w:ascii="微软雅黑" w:hAnsi="微软雅黑" w:eastAsia="微软雅黑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 w:ascii="微软雅黑" w:hAnsi="微软雅黑" w:eastAsia="微软雅黑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3">
    <w:nsid w:val="FACE2DB4"/>
    <w:multiLevelType w:val="singleLevel"/>
    <w:tmpl w:val="FACE2DB4"/>
    <w:lvl w:ilvl="0" w:tentative="0">
      <w:start w:val="1"/>
      <w:numFmt w:val="decimal"/>
      <w:pStyle w:val="55"/>
      <w:lvlText w:val="图4-%1"/>
      <w:lvlJc w:val="left"/>
      <w:pPr>
        <w:tabs>
          <w:tab w:val="left" w:pos="567"/>
        </w:tabs>
        <w:ind w:left="0" w:leftChars="0" w:firstLine="0" w:firstLineChars="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A029C"/>
    <w:rsid w:val="001F3403"/>
    <w:rsid w:val="002506FA"/>
    <w:rsid w:val="002B59D3"/>
    <w:rsid w:val="00CB3C44"/>
    <w:rsid w:val="00CD3778"/>
    <w:rsid w:val="00F275F0"/>
    <w:rsid w:val="015A69DF"/>
    <w:rsid w:val="01A43D9C"/>
    <w:rsid w:val="01A77B35"/>
    <w:rsid w:val="01D23333"/>
    <w:rsid w:val="01E67C51"/>
    <w:rsid w:val="020E1A24"/>
    <w:rsid w:val="02937356"/>
    <w:rsid w:val="02B60C69"/>
    <w:rsid w:val="02DB3572"/>
    <w:rsid w:val="03250E34"/>
    <w:rsid w:val="032B0EBC"/>
    <w:rsid w:val="039713C7"/>
    <w:rsid w:val="03A4723E"/>
    <w:rsid w:val="03CC7FEE"/>
    <w:rsid w:val="04106BDD"/>
    <w:rsid w:val="047E1B60"/>
    <w:rsid w:val="048D4B54"/>
    <w:rsid w:val="04C500CA"/>
    <w:rsid w:val="04E41CE1"/>
    <w:rsid w:val="05244516"/>
    <w:rsid w:val="057B460B"/>
    <w:rsid w:val="058B2A44"/>
    <w:rsid w:val="05A33BF0"/>
    <w:rsid w:val="05DA2561"/>
    <w:rsid w:val="062C5D5F"/>
    <w:rsid w:val="06752E14"/>
    <w:rsid w:val="068D7423"/>
    <w:rsid w:val="074946C8"/>
    <w:rsid w:val="07C713FA"/>
    <w:rsid w:val="08B017DE"/>
    <w:rsid w:val="09483977"/>
    <w:rsid w:val="099072AF"/>
    <w:rsid w:val="09A07101"/>
    <w:rsid w:val="09AF2E8B"/>
    <w:rsid w:val="0A4047F0"/>
    <w:rsid w:val="0A48594F"/>
    <w:rsid w:val="0AB47859"/>
    <w:rsid w:val="0B177CD5"/>
    <w:rsid w:val="0B2F2881"/>
    <w:rsid w:val="0BC72059"/>
    <w:rsid w:val="0BCB5B13"/>
    <w:rsid w:val="0BCF5FF3"/>
    <w:rsid w:val="0BD9123D"/>
    <w:rsid w:val="0BE37DF5"/>
    <w:rsid w:val="0C311396"/>
    <w:rsid w:val="0C5C5076"/>
    <w:rsid w:val="0C692CAD"/>
    <w:rsid w:val="0D177805"/>
    <w:rsid w:val="0D681B8E"/>
    <w:rsid w:val="0D9F3011"/>
    <w:rsid w:val="0DE43478"/>
    <w:rsid w:val="0DEE56BA"/>
    <w:rsid w:val="0E306947"/>
    <w:rsid w:val="0E9F4874"/>
    <w:rsid w:val="0EAC08FD"/>
    <w:rsid w:val="0EE07D03"/>
    <w:rsid w:val="0F1F3A83"/>
    <w:rsid w:val="0F2C385D"/>
    <w:rsid w:val="0F3B7E78"/>
    <w:rsid w:val="0F587B28"/>
    <w:rsid w:val="0FDB387C"/>
    <w:rsid w:val="10160593"/>
    <w:rsid w:val="10284EE7"/>
    <w:rsid w:val="103234C6"/>
    <w:rsid w:val="10790217"/>
    <w:rsid w:val="11366F3E"/>
    <w:rsid w:val="11420290"/>
    <w:rsid w:val="118424E6"/>
    <w:rsid w:val="11F80CB0"/>
    <w:rsid w:val="126C0647"/>
    <w:rsid w:val="127B49BD"/>
    <w:rsid w:val="128A65A2"/>
    <w:rsid w:val="12961468"/>
    <w:rsid w:val="130C45D2"/>
    <w:rsid w:val="134B7000"/>
    <w:rsid w:val="13511BBE"/>
    <w:rsid w:val="13EE7251"/>
    <w:rsid w:val="14185CAF"/>
    <w:rsid w:val="14454DAD"/>
    <w:rsid w:val="145B29CE"/>
    <w:rsid w:val="151D4243"/>
    <w:rsid w:val="151F5A1F"/>
    <w:rsid w:val="16650F55"/>
    <w:rsid w:val="169A3FAE"/>
    <w:rsid w:val="16A71FAA"/>
    <w:rsid w:val="17B108CB"/>
    <w:rsid w:val="17F964D3"/>
    <w:rsid w:val="17FE5D44"/>
    <w:rsid w:val="180D588B"/>
    <w:rsid w:val="18545193"/>
    <w:rsid w:val="185736BF"/>
    <w:rsid w:val="188F1F1C"/>
    <w:rsid w:val="18A3688F"/>
    <w:rsid w:val="18B90D7E"/>
    <w:rsid w:val="195B507D"/>
    <w:rsid w:val="19B90824"/>
    <w:rsid w:val="19BE7C49"/>
    <w:rsid w:val="19CD1D13"/>
    <w:rsid w:val="1AB142A0"/>
    <w:rsid w:val="1AE46932"/>
    <w:rsid w:val="1B120167"/>
    <w:rsid w:val="1B841991"/>
    <w:rsid w:val="1B9510AD"/>
    <w:rsid w:val="1BE428CB"/>
    <w:rsid w:val="1BE438B9"/>
    <w:rsid w:val="1C1E21F6"/>
    <w:rsid w:val="1C250273"/>
    <w:rsid w:val="1C2F0AC3"/>
    <w:rsid w:val="1C6C2094"/>
    <w:rsid w:val="1CA0747F"/>
    <w:rsid w:val="1CCC4063"/>
    <w:rsid w:val="1CF159FF"/>
    <w:rsid w:val="1D3F0444"/>
    <w:rsid w:val="1D547AAF"/>
    <w:rsid w:val="1DC91D6E"/>
    <w:rsid w:val="1E2A28EC"/>
    <w:rsid w:val="1E3836E8"/>
    <w:rsid w:val="1E5E09D7"/>
    <w:rsid w:val="1E7249D5"/>
    <w:rsid w:val="1E8258F9"/>
    <w:rsid w:val="1E8B65A8"/>
    <w:rsid w:val="1EC271F2"/>
    <w:rsid w:val="1EED04D9"/>
    <w:rsid w:val="1FA64B1C"/>
    <w:rsid w:val="1FB92215"/>
    <w:rsid w:val="2014438F"/>
    <w:rsid w:val="20193933"/>
    <w:rsid w:val="202B7144"/>
    <w:rsid w:val="203B6335"/>
    <w:rsid w:val="20971BD3"/>
    <w:rsid w:val="217A1B37"/>
    <w:rsid w:val="22025912"/>
    <w:rsid w:val="221423A4"/>
    <w:rsid w:val="2216237D"/>
    <w:rsid w:val="22437F2D"/>
    <w:rsid w:val="229A27C8"/>
    <w:rsid w:val="22CC1220"/>
    <w:rsid w:val="2376267A"/>
    <w:rsid w:val="24991786"/>
    <w:rsid w:val="249E68AC"/>
    <w:rsid w:val="24E011A6"/>
    <w:rsid w:val="252F1318"/>
    <w:rsid w:val="25391977"/>
    <w:rsid w:val="263A3D46"/>
    <w:rsid w:val="265A0F55"/>
    <w:rsid w:val="26995303"/>
    <w:rsid w:val="26A74667"/>
    <w:rsid w:val="26C24DA3"/>
    <w:rsid w:val="27440052"/>
    <w:rsid w:val="277F4129"/>
    <w:rsid w:val="278A1FD7"/>
    <w:rsid w:val="27A50527"/>
    <w:rsid w:val="27D42352"/>
    <w:rsid w:val="280200EF"/>
    <w:rsid w:val="28657B53"/>
    <w:rsid w:val="28894493"/>
    <w:rsid w:val="288D2228"/>
    <w:rsid w:val="28DD7CC7"/>
    <w:rsid w:val="2912123B"/>
    <w:rsid w:val="2985180D"/>
    <w:rsid w:val="29C84DF6"/>
    <w:rsid w:val="2A8146B4"/>
    <w:rsid w:val="2ABC352B"/>
    <w:rsid w:val="2B5602AA"/>
    <w:rsid w:val="2B681F2A"/>
    <w:rsid w:val="2B7037B2"/>
    <w:rsid w:val="2B785E5C"/>
    <w:rsid w:val="2BE41871"/>
    <w:rsid w:val="2BFD7535"/>
    <w:rsid w:val="2C78619D"/>
    <w:rsid w:val="2C836296"/>
    <w:rsid w:val="2CA42CDA"/>
    <w:rsid w:val="2CC97F56"/>
    <w:rsid w:val="2CD00241"/>
    <w:rsid w:val="2CD92B68"/>
    <w:rsid w:val="2D4C0A89"/>
    <w:rsid w:val="2D74468D"/>
    <w:rsid w:val="2D87193E"/>
    <w:rsid w:val="2EB74DCD"/>
    <w:rsid w:val="2ECB0E5F"/>
    <w:rsid w:val="2EE937AE"/>
    <w:rsid w:val="2EF602CE"/>
    <w:rsid w:val="2EF84F00"/>
    <w:rsid w:val="2F086617"/>
    <w:rsid w:val="2F7610DD"/>
    <w:rsid w:val="30130B79"/>
    <w:rsid w:val="304F65E2"/>
    <w:rsid w:val="30922B28"/>
    <w:rsid w:val="30D61664"/>
    <w:rsid w:val="3103797D"/>
    <w:rsid w:val="314459E3"/>
    <w:rsid w:val="320735BB"/>
    <w:rsid w:val="324F1E45"/>
    <w:rsid w:val="32916AD0"/>
    <w:rsid w:val="32942776"/>
    <w:rsid w:val="32D035E7"/>
    <w:rsid w:val="32E8568A"/>
    <w:rsid w:val="330D5210"/>
    <w:rsid w:val="33241CD7"/>
    <w:rsid w:val="33516380"/>
    <w:rsid w:val="337B3084"/>
    <w:rsid w:val="339E023F"/>
    <w:rsid w:val="33C5422D"/>
    <w:rsid w:val="3433272D"/>
    <w:rsid w:val="34427A31"/>
    <w:rsid w:val="34475B03"/>
    <w:rsid w:val="34545F5E"/>
    <w:rsid w:val="34635580"/>
    <w:rsid w:val="35354782"/>
    <w:rsid w:val="35490860"/>
    <w:rsid w:val="35E12C8E"/>
    <w:rsid w:val="360C4BAB"/>
    <w:rsid w:val="365F3090"/>
    <w:rsid w:val="36926BFA"/>
    <w:rsid w:val="369923B0"/>
    <w:rsid w:val="36BD386F"/>
    <w:rsid w:val="36F94157"/>
    <w:rsid w:val="373E7885"/>
    <w:rsid w:val="379E127C"/>
    <w:rsid w:val="37BB0EFF"/>
    <w:rsid w:val="38001ED1"/>
    <w:rsid w:val="385F1BB6"/>
    <w:rsid w:val="38BD549E"/>
    <w:rsid w:val="3A6213AD"/>
    <w:rsid w:val="3A872066"/>
    <w:rsid w:val="3B2E12D2"/>
    <w:rsid w:val="3B4267EB"/>
    <w:rsid w:val="3B7732A3"/>
    <w:rsid w:val="3BF67DB3"/>
    <w:rsid w:val="3C413199"/>
    <w:rsid w:val="3D043BDA"/>
    <w:rsid w:val="3D4845E5"/>
    <w:rsid w:val="3D954890"/>
    <w:rsid w:val="3DA41C67"/>
    <w:rsid w:val="3DBA2D6A"/>
    <w:rsid w:val="3DDD1B25"/>
    <w:rsid w:val="3E5A1BA6"/>
    <w:rsid w:val="3E6671CB"/>
    <w:rsid w:val="3E7C44C3"/>
    <w:rsid w:val="3EAF2378"/>
    <w:rsid w:val="3EC42F0D"/>
    <w:rsid w:val="3F162913"/>
    <w:rsid w:val="408A5219"/>
    <w:rsid w:val="40E4749D"/>
    <w:rsid w:val="41791BBD"/>
    <w:rsid w:val="41867134"/>
    <w:rsid w:val="41AB4010"/>
    <w:rsid w:val="41BF6404"/>
    <w:rsid w:val="41CC0BF5"/>
    <w:rsid w:val="422A026F"/>
    <w:rsid w:val="42884F34"/>
    <w:rsid w:val="4291098B"/>
    <w:rsid w:val="42B6747F"/>
    <w:rsid w:val="434902A0"/>
    <w:rsid w:val="43B600AD"/>
    <w:rsid w:val="44116024"/>
    <w:rsid w:val="4446233C"/>
    <w:rsid w:val="444A4106"/>
    <w:rsid w:val="45A91659"/>
    <w:rsid w:val="460F757E"/>
    <w:rsid w:val="462D6C1B"/>
    <w:rsid w:val="464553D9"/>
    <w:rsid w:val="464E783B"/>
    <w:rsid w:val="46B05D19"/>
    <w:rsid w:val="46F12854"/>
    <w:rsid w:val="46F336A8"/>
    <w:rsid w:val="473E7AE9"/>
    <w:rsid w:val="478916C5"/>
    <w:rsid w:val="47AC5A0E"/>
    <w:rsid w:val="47DE7B5D"/>
    <w:rsid w:val="48027576"/>
    <w:rsid w:val="480E4336"/>
    <w:rsid w:val="48197D55"/>
    <w:rsid w:val="482963CC"/>
    <w:rsid w:val="48567BBA"/>
    <w:rsid w:val="48C651E6"/>
    <w:rsid w:val="48D868DF"/>
    <w:rsid w:val="4911763B"/>
    <w:rsid w:val="493C4382"/>
    <w:rsid w:val="496156B3"/>
    <w:rsid w:val="4982662C"/>
    <w:rsid w:val="499C726F"/>
    <w:rsid w:val="49A800A8"/>
    <w:rsid w:val="49CC4E4A"/>
    <w:rsid w:val="49D36A6F"/>
    <w:rsid w:val="49DD6E6B"/>
    <w:rsid w:val="49F81268"/>
    <w:rsid w:val="4A5C02CB"/>
    <w:rsid w:val="4AB91025"/>
    <w:rsid w:val="4B3A65C3"/>
    <w:rsid w:val="4B4E12A3"/>
    <w:rsid w:val="4C1415C9"/>
    <w:rsid w:val="4C3C52A0"/>
    <w:rsid w:val="4C523C4A"/>
    <w:rsid w:val="4CC2216C"/>
    <w:rsid w:val="4D29482B"/>
    <w:rsid w:val="4D5E0195"/>
    <w:rsid w:val="4DA8622E"/>
    <w:rsid w:val="4DDB2F6B"/>
    <w:rsid w:val="4E716E93"/>
    <w:rsid w:val="4EAA1EE0"/>
    <w:rsid w:val="4F556B17"/>
    <w:rsid w:val="50290A0F"/>
    <w:rsid w:val="503E0E60"/>
    <w:rsid w:val="50716043"/>
    <w:rsid w:val="50C647C0"/>
    <w:rsid w:val="50F42B5F"/>
    <w:rsid w:val="513244C6"/>
    <w:rsid w:val="5157600F"/>
    <w:rsid w:val="515F165B"/>
    <w:rsid w:val="52176C0D"/>
    <w:rsid w:val="521B2258"/>
    <w:rsid w:val="52D229F0"/>
    <w:rsid w:val="52E07598"/>
    <w:rsid w:val="531342F1"/>
    <w:rsid w:val="53165761"/>
    <w:rsid w:val="531A63DD"/>
    <w:rsid w:val="534C7C93"/>
    <w:rsid w:val="53A91B0A"/>
    <w:rsid w:val="53B447E3"/>
    <w:rsid w:val="53F57A7C"/>
    <w:rsid w:val="5414351A"/>
    <w:rsid w:val="54197E99"/>
    <w:rsid w:val="544016A4"/>
    <w:rsid w:val="54604C7D"/>
    <w:rsid w:val="5483286F"/>
    <w:rsid w:val="549C2042"/>
    <w:rsid w:val="549F5861"/>
    <w:rsid w:val="54EA154E"/>
    <w:rsid w:val="552F5A0A"/>
    <w:rsid w:val="555925CB"/>
    <w:rsid w:val="555E131C"/>
    <w:rsid w:val="555E7EC9"/>
    <w:rsid w:val="557A4846"/>
    <w:rsid w:val="55835CD9"/>
    <w:rsid w:val="55A92401"/>
    <w:rsid w:val="55CD5C05"/>
    <w:rsid w:val="55CF10F9"/>
    <w:rsid w:val="55E465DD"/>
    <w:rsid w:val="5622235F"/>
    <w:rsid w:val="56F94885"/>
    <w:rsid w:val="57225D22"/>
    <w:rsid w:val="57434EB8"/>
    <w:rsid w:val="5870380D"/>
    <w:rsid w:val="58BA2F3F"/>
    <w:rsid w:val="59335B42"/>
    <w:rsid w:val="594C23E9"/>
    <w:rsid w:val="5967213C"/>
    <w:rsid w:val="59A820C6"/>
    <w:rsid w:val="59C1539E"/>
    <w:rsid w:val="59DB3E06"/>
    <w:rsid w:val="59F2261A"/>
    <w:rsid w:val="5AE4556F"/>
    <w:rsid w:val="5AEA1C2E"/>
    <w:rsid w:val="5AFB2832"/>
    <w:rsid w:val="5B060359"/>
    <w:rsid w:val="5B2C66AB"/>
    <w:rsid w:val="5B9B4FF1"/>
    <w:rsid w:val="5BAA6E73"/>
    <w:rsid w:val="5BB75528"/>
    <w:rsid w:val="5BFE5405"/>
    <w:rsid w:val="5C7F2933"/>
    <w:rsid w:val="5C8C1C39"/>
    <w:rsid w:val="5CA37385"/>
    <w:rsid w:val="5D5C131E"/>
    <w:rsid w:val="5D834128"/>
    <w:rsid w:val="5DC66198"/>
    <w:rsid w:val="5E0A57D7"/>
    <w:rsid w:val="5E3B0611"/>
    <w:rsid w:val="5E4567B6"/>
    <w:rsid w:val="5E5341F0"/>
    <w:rsid w:val="5E845908"/>
    <w:rsid w:val="5E8A56FD"/>
    <w:rsid w:val="5EB500DD"/>
    <w:rsid w:val="5EB65AE3"/>
    <w:rsid w:val="5F026119"/>
    <w:rsid w:val="5F060EBB"/>
    <w:rsid w:val="5F4D7619"/>
    <w:rsid w:val="5F574DB8"/>
    <w:rsid w:val="5F5937B5"/>
    <w:rsid w:val="609A667C"/>
    <w:rsid w:val="60A206C0"/>
    <w:rsid w:val="60B0308E"/>
    <w:rsid w:val="60EC4890"/>
    <w:rsid w:val="614D2BB5"/>
    <w:rsid w:val="618D5C6B"/>
    <w:rsid w:val="61D61F3C"/>
    <w:rsid w:val="61F80635"/>
    <w:rsid w:val="623612A1"/>
    <w:rsid w:val="62364CF5"/>
    <w:rsid w:val="629249E2"/>
    <w:rsid w:val="637A5353"/>
    <w:rsid w:val="647C54E3"/>
    <w:rsid w:val="64A37553"/>
    <w:rsid w:val="64D23CFE"/>
    <w:rsid w:val="651D3ACA"/>
    <w:rsid w:val="65B913E7"/>
    <w:rsid w:val="65CD384B"/>
    <w:rsid w:val="65E25712"/>
    <w:rsid w:val="65F9319B"/>
    <w:rsid w:val="660065E3"/>
    <w:rsid w:val="66031C41"/>
    <w:rsid w:val="662369C9"/>
    <w:rsid w:val="663C0421"/>
    <w:rsid w:val="663F15CE"/>
    <w:rsid w:val="66457FCD"/>
    <w:rsid w:val="67243570"/>
    <w:rsid w:val="6728083A"/>
    <w:rsid w:val="672C6851"/>
    <w:rsid w:val="6795761D"/>
    <w:rsid w:val="681A6810"/>
    <w:rsid w:val="682E257A"/>
    <w:rsid w:val="68573C08"/>
    <w:rsid w:val="68A240DF"/>
    <w:rsid w:val="68F47BF7"/>
    <w:rsid w:val="68FE7928"/>
    <w:rsid w:val="699A59FC"/>
    <w:rsid w:val="6A072332"/>
    <w:rsid w:val="6A077D43"/>
    <w:rsid w:val="6A0C1AA2"/>
    <w:rsid w:val="6A266C5C"/>
    <w:rsid w:val="6A336057"/>
    <w:rsid w:val="6A401C7B"/>
    <w:rsid w:val="6A443CD9"/>
    <w:rsid w:val="6AAE7116"/>
    <w:rsid w:val="6BAE18B0"/>
    <w:rsid w:val="6BF33F5B"/>
    <w:rsid w:val="6C2C4C83"/>
    <w:rsid w:val="6C587129"/>
    <w:rsid w:val="6D404BA8"/>
    <w:rsid w:val="6D73789E"/>
    <w:rsid w:val="6DA1107A"/>
    <w:rsid w:val="6DD65992"/>
    <w:rsid w:val="6DE45640"/>
    <w:rsid w:val="6DE73CDD"/>
    <w:rsid w:val="6E1814A6"/>
    <w:rsid w:val="6E3A38F3"/>
    <w:rsid w:val="6E573394"/>
    <w:rsid w:val="6EA95512"/>
    <w:rsid w:val="6ED93AA3"/>
    <w:rsid w:val="6F011CC7"/>
    <w:rsid w:val="6F141745"/>
    <w:rsid w:val="6F2135B9"/>
    <w:rsid w:val="700F248B"/>
    <w:rsid w:val="701C1351"/>
    <w:rsid w:val="70270BF5"/>
    <w:rsid w:val="70273C3A"/>
    <w:rsid w:val="707539AD"/>
    <w:rsid w:val="70960DFB"/>
    <w:rsid w:val="70C426AE"/>
    <w:rsid w:val="70E502E8"/>
    <w:rsid w:val="710B1931"/>
    <w:rsid w:val="7156451C"/>
    <w:rsid w:val="71AC5B4C"/>
    <w:rsid w:val="71B82D06"/>
    <w:rsid w:val="721169B3"/>
    <w:rsid w:val="723E4E4F"/>
    <w:rsid w:val="72F44A27"/>
    <w:rsid w:val="73033F5A"/>
    <w:rsid w:val="738B271B"/>
    <w:rsid w:val="73D46CB4"/>
    <w:rsid w:val="73D71451"/>
    <w:rsid w:val="7410466E"/>
    <w:rsid w:val="74104F53"/>
    <w:rsid w:val="746232DB"/>
    <w:rsid w:val="74CE7B18"/>
    <w:rsid w:val="74D63BBF"/>
    <w:rsid w:val="74F457F1"/>
    <w:rsid w:val="74F8544F"/>
    <w:rsid w:val="750B05EF"/>
    <w:rsid w:val="759A6034"/>
    <w:rsid w:val="75A632A4"/>
    <w:rsid w:val="75A83AFD"/>
    <w:rsid w:val="75DF1923"/>
    <w:rsid w:val="75EA6029"/>
    <w:rsid w:val="76EE1CCF"/>
    <w:rsid w:val="77935DDC"/>
    <w:rsid w:val="77CA2A48"/>
    <w:rsid w:val="77DF4F5D"/>
    <w:rsid w:val="78024BAC"/>
    <w:rsid w:val="78192717"/>
    <w:rsid w:val="7843265A"/>
    <w:rsid w:val="786106CA"/>
    <w:rsid w:val="78C837FD"/>
    <w:rsid w:val="78D93E53"/>
    <w:rsid w:val="78DC157F"/>
    <w:rsid w:val="78E37FB9"/>
    <w:rsid w:val="79652624"/>
    <w:rsid w:val="798D6205"/>
    <w:rsid w:val="79A5003A"/>
    <w:rsid w:val="7A294D85"/>
    <w:rsid w:val="7A8C4549"/>
    <w:rsid w:val="7A9A1DAD"/>
    <w:rsid w:val="7AB362CC"/>
    <w:rsid w:val="7B32448A"/>
    <w:rsid w:val="7B8557C4"/>
    <w:rsid w:val="7C096DF1"/>
    <w:rsid w:val="7CA8740A"/>
    <w:rsid w:val="7CF04147"/>
    <w:rsid w:val="7D3431E5"/>
    <w:rsid w:val="7D6F2271"/>
    <w:rsid w:val="7D974D3C"/>
    <w:rsid w:val="7DBF6A8F"/>
    <w:rsid w:val="7E531884"/>
    <w:rsid w:val="7E610FE3"/>
    <w:rsid w:val="7EAA65BE"/>
    <w:rsid w:val="7F0B1F34"/>
    <w:rsid w:val="7F9E155B"/>
    <w:rsid w:val="7FE43E0D"/>
    <w:rsid w:val="7FE8461C"/>
    <w:rsid w:val="7FF14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ind w:firstLine="420" w:firstLineChars="200"/>
      <w:jc w:val="both"/>
      <w:textAlignment w:val="baseline"/>
    </w:pPr>
    <w:rPr>
      <w:rFonts w:ascii="Times New Roman" w:hAnsi="Times New Roman" w:eastAsia="宋体" w:cs="Arial"/>
      <w:snapToGrid w:val="0"/>
      <w:color w:val="000000"/>
      <w:kern w:val="0"/>
      <w:sz w:val="24"/>
      <w:szCs w:val="21"/>
      <w:lang w:val="en-US" w:eastAsia="en-US" w:bidi="ar-SA"/>
    </w:rPr>
  </w:style>
  <w:style w:type="paragraph" w:styleId="2">
    <w:name w:val="heading 1"/>
    <w:basedOn w:val="1"/>
    <w:next w:val="1"/>
    <w:link w:val="34"/>
    <w:qFormat/>
    <w:uiPriority w:val="0"/>
    <w:pPr>
      <w:keepNext/>
      <w:keepLines/>
      <w:tabs>
        <w:tab w:val="left" w:pos="0"/>
      </w:tabs>
      <w:spacing w:before="100" w:beforeLines="100" w:after="100" w:afterLines="100"/>
      <w:ind w:firstLine="0" w:firstLineChars="0"/>
      <w:jc w:val="center"/>
      <w:outlineLvl w:val="0"/>
    </w:pPr>
    <w:rPr>
      <w:rFonts w:eastAsia="黑体"/>
      <w:b/>
      <w:kern w:val="44"/>
      <w:sz w:val="30"/>
      <w:szCs w:val="18"/>
    </w:rPr>
  </w:style>
  <w:style w:type="paragraph" w:styleId="3">
    <w:name w:val="heading 2"/>
    <w:basedOn w:val="1"/>
    <w:next w:val="1"/>
    <w:link w:val="27"/>
    <w:semiHidden/>
    <w:unhideWhenUsed/>
    <w:qFormat/>
    <w:uiPriority w:val="0"/>
    <w:pPr>
      <w:tabs>
        <w:tab w:val="left" w:pos="0"/>
      </w:tabs>
      <w:ind w:firstLine="0" w:firstLineChars="0"/>
      <w:jc w:val="left"/>
      <w:outlineLvl w:val="1"/>
    </w:pPr>
    <w:rPr>
      <w:rFonts w:ascii="Times New Roman" w:hAnsi="Times New Roman" w:eastAsia="黑体"/>
      <w:sz w:val="28"/>
    </w:rPr>
  </w:style>
  <w:style w:type="paragraph" w:styleId="4">
    <w:name w:val="heading 3"/>
    <w:basedOn w:val="1"/>
    <w:next w:val="1"/>
    <w:link w:val="28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6"/>
    <w:link w:val="48"/>
    <w:semiHidden/>
    <w:unhideWhenUsed/>
    <w:qFormat/>
    <w:uiPriority w:val="0"/>
    <w:pPr>
      <w:keepNext/>
      <w:keepLines/>
      <w:numPr>
        <w:ilvl w:val="3"/>
        <w:numId w:val="1"/>
      </w:numPr>
      <w:spacing w:before="10" w:beforeLines="0" w:beforeAutospacing="0" w:after="10" w:afterLines="0" w:afterAutospacing="0" w:line="360" w:lineRule="auto"/>
      <w:ind w:left="864" w:leftChars="0" w:hanging="864" w:firstLineChars="0"/>
      <w:jc w:val="left"/>
      <w:outlineLvl w:val="3"/>
    </w:pPr>
    <w:rPr>
      <w:rFonts w:ascii="Arial" w:hAnsi="Arial" w:eastAsia="黑体" w:cs="Times New Roman"/>
    </w:rPr>
  </w:style>
  <w:style w:type="paragraph" w:styleId="7">
    <w:name w:val="heading 5"/>
    <w:next w:val="6"/>
    <w:semiHidden/>
    <w:unhideWhenUsed/>
    <w:qFormat/>
    <w:uiPriority w:val="0"/>
    <w:pPr>
      <w:numPr>
        <w:ilvl w:val="4"/>
        <w:numId w:val="1"/>
      </w:numPr>
      <w:tabs>
        <w:tab w:val="left" w:pos="312"/>
      </w:tabs>
      <w:spacing w:line="360" w:lineRule="auto"/>
      <w:ind w:left="1008" w:hanging="1008"/>
      <w:outlineLvl w:val="4"/>
    </w:pPr>
    <w:rPr>
      <w:rFonts w:ascii="Arial" w:hAnsi="Arial" w:eastAsia="宋体" w:cstheme="minorBidi"/>
      <w:sz w:val="28"/>
      <w:szCs w:val="22"/>
      <w:lang w:val="en-US" w:eastAsia="zh-CN" w:bidi="ar-SA"/>
    </w:rPr>
  </w:style>
  <w:style w:type="paragraph" w:styleId="8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tabs>
        <w:tab w:val="left" w:pos="0"/>
      </w:tabs>
      <w:spacing w:before="240" w:beforeLines="0" w:beforeAutospacing="0" w:after="64" w:afterLines="0" w:afterAutospacing="0" w:line="317" w:lineRule="auto"/>
      <w:ind w:left="1151" w:hanging="1151" w:firstLineChars="0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tabs>
        <w:tab w:val="left" w:pos="0"/>
      </w:tabs>
      <w:spacing w:before="240" w:beforeLines="0" w:beforeAutospacing="0" w:after="64" w:afterLines="0" w:afterAutospacing="0" w:line="317" w:lineRule="auto"/>
      <w:ind w:left="1296" w:hanging="1296" w:firstLineChars="0"/>
      <w:outlineLvl w:val="6"/>
    </w:pPr>
    <w:rPr>
      <w:b/>
      <w:sz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 w:firstLineChars="0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 w:firstLineChars="0"/>
      <w:outlineLvl w:val="8"/>
    </w:pPr>
    <w:rPr>
      <w:rFonts w:ascii="Arial" w:hAnsi="Arial" w:eastAsia="黑体"/>
      <w:sz w:val="21"/>
    </w:rPr>
  </w:style>
  <w:style w:type="character" w:default="1" w:styleId="25">
    <w:name w:val="Default Paragraph Font"/>
    <w:semiHidden/>
    <w:qFormat/>
    <w:uiPriority w:val="0"/>
  </w:style>
  <w:style w:type="table" w:default="1" w:styleId="2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0"/>
    <w:pPr>
      <w:ind w:firstLine="0" w:firstLineChars="0"/>
    </w:pPr>
    <w:rPr>
      <w:rFonts w:ascii="宋体" w:hAnsi="宋体" w:cs="宋体"/>
      <w:sz w:val="31"/>
      <w:szCs w:val="31"/>
    </w:rPr>
  </w:style>
  <w:style w:type="paragraph" w:styleId="12">
    <w:name w:val="Normal Indent"/>
    <w:basedOn w:val="1"/>
    <w:qFormat/>
    <w:uiPriority w:val="0"/>
    <w:pPr>
      <w:ind w:firstLine="420" w:firstLineChars="200"/>
    </w:pPr>
  </w:style>
  <w:style w:type="paragraph" w:styleId="13">
    <w:name w:val="caption"/>
    <w:basedOn w:val="1"/>
    <w:next w:val="1"/>
    <w:semiHidden/>
    <w:unhideWhenUsed/>
    <w:qFormat/>
    <w:uiPriority w:val="0"/>
    <w:pPr>
      <w:ind w:firstLine="0" w:firstLineChars="0"/>
      <w:jc w:val="center"/>
    </w:pPr>
    <w:rPr>
      <w:sz w:val="21"/>
      <w:szCs w:val="20"/>
    </w:rPr>
  </w:style>
  <w:style w:type="paragraph" w:styleId="14">
    <w:name w:val="toa heading"/>
    <w:basedOn w:val="1"/>
    <w:next w:val="1"/>
    <w:qFormat/>
    <w:uiPriority w:val="0"/>
    <w:pPr>
      <w:spacing w:before="120" w:beforeLines="0" w:beforeAutospacing="0"/>
    </w:pPr>
    <w:rPr>
      <w:rFonts w:ascii="Arial" w:hAnsi="Arial"/>
      <w:sz w:val="24"/>
    </w:rPr>
  </w:style>
  <w:style w:type="paragraph" w:styleId="15">
    <w:name w:val="Body Text Indent"/>
    <w:basedOn w:val="1"/>
    <w:qFormat/>
    <w:uiPriority w:val="0"/>
    <w:pPr>
      <w:spacing w:after="120" w:afterLines="0" w:afterAutospacing="0"/>
      <w:ind w:left="420" w:leftChars="200"/>
    </w:pPr>
  </w:style>
  <w:style w:type="paragraph" w:styleId="16">
    <w:name w:val="toc 3"/>
    <w:basedOn w:val="1"/>
    <w:next w:val="1"/>
    <w:qFormat/>
    <w:uiPriority w:val="0"/>
    <w:pPr>
      <w:ind w:left="840" w:leftChars="400" w:firstLine="0" w:firstLineChars="0"/>
    </w:pPr>
    <w:rPr>
      <w:rFonts w:ascii="等线" w:hAnsi="等线" w:eastAsia="宋体" w:cs="宋体"/>
      <w:sz w:val="28"/>
      <w:szCs w:val="22"/>
    </w:rPr>
  </w:style>
  <w:style w:type="paragraph" w:styleId="17">
    <w:name w:val="footer"/>
    <w:basedOn w:val="1"/>
    <w:link w:val="53"/>
    <w:qFormat/>
    <w:uiPriority w:val="0"/>
    <w:pPr>
      <w:tabs>
        <w:tab w:val="center" w:pos="4153"/>
        <w:tab w:val="right" w:pos="8306"/>
      </w:tabs>
      <w:snapToGrid w:val="0"/>
      <w:ind w:left="400" w:hanging="400" w:hangingChars="200"/>
      <w:jc w:val="left"/>
    </w:pPr>
    <w:rPr>
      <w:rFonts w:ascii="Times New Roman" w:hAnsi="Times New Roman" w:eastAsia="宋体"/>
      <w:sz w:val="18"/>
    </w:rPr>
  </w:style>
  <w:style w:type="paragraph" w:styleId="18">
    <w:name w:val="header"/>
    <w:basedOn w:val="1"/>
    <w:qFormat/>
    <w:uiPriority w:val="0"/>
    <w:pPr>
      <w:pBdr>
        <w:bottom w:val="thinThickSmallGap" w:color="auto" w:sz="18" w:space="1"/>
      </w:pBdr>
      <w:tabs>
        <w:tab w:val="center" w:pos="4153"/>
        <w:tab w:val="right" w:pos="8306"/>
      </w:tabs>
      <w:snapToGrid w:val="0"/>
      <w:ind w:firstLine="0" w:firstLineChars="0"/>
      <w:jc w:val="center"/>
    </w:pPr>
    <w:rPr>
      <w:sz w:val="18"/>
      <w:szCs w:val="18"/>
    </w:rPr>
  </w:style>
  <w:style w:type="paragraph" w:styleId="19">
    <w:name w:val="toc 1"/>
    <w:basedOn w:val="1"/>
    <w:next w:val="1"/>
    <w:qFormat/>
    <w:uiPriority w:val="0"/>
    <w:pPr>
      <w:ind w:firstLine="0" w:firstLineChars="0"/>
      <w:jc w:val="center"/>
    </w:pPr>
    <w:rPr>
      <w:rFonts w:ascii="等线" w:hAnsi="等线" w:eastAsia="宋体" w:cs="宋体"/>
      <w:sz w:val="30"/>
      <w:szCs w:val="22"/>
    </w:rPr>
  </w:style>
  <w:style w:type="paragraph" w:styleId="20">
    <w:name w:val="toc 2"/>
    <w:basedOn w:val="1"/>
    <w:next w:val="1"/>
    <w:qFormat/>
    <w:uiPriority w:val="0"/>
    <w:pPr>
      <w:ind w:left="420" w:leftChars="200" w:firstLine="0" w:firstLineChars="0"/>
    </w:pPr>
    <w:rPr>
      <w:rFonts w:ascii="等线" w:hAnsi="等线" w:eastAsia="宋体" w:cs="宋体"/>
      <w:sz w:val="28"/>
      <w:szCs w:val="22"/>
    </w:rPr>
  </w:style>
  <w:style w:type="paragraph" w:styleId="21">
    <w:name w:val="Normal (Web)"/>
    <w:basedOn w:val="1"/>
    <w:qFormat/>
    <w:uiPriority w:val="0"/>
    <w:rPr>
      <w:sz w:val="24"/>
    </w:rPr>
  </w:style>
  <w:style w:type="paragraph" w:styleId="22">
    <w:name w:val="Title"/>
    <w:basedOn w:val="1"/>
    <w:next w:val="1"/>
    <w:link w:val="54"/>
    <w:qFormat/>
    <w:uiPriority w:val="0"/>
    <w:pPr>
      <w:pageBreakBefore/>
      <w:spacing w:line="578" w:lineRule="auto"/>
      <w:ind w:firstLine="0" w:firstLineChars="0"/>
      <w:jc w:val="center"/>
      <w:outlineLvl w:val="0"/>
    </w:pPr>
    <w:rPr>
      <w:rFonts w:ascii="等线 Light" w:hAnsi="等线 Light" w:eastAsia="宋体"/>
      <w:b/>
      <w:bCs/>
      <w:sz w:val="32"/>
      <w:szCs w:val="32"/>
    </w:rPr>
  </w:style>
  <w:style w:type="paragraph" w:styleId="23">
    <w:name w:val="Body Text First Indent 2"/>
    <w:basedOn w:val="15"/>
    <w:qFormat/>
    <w:uiPriority w:val="0"/>
    <w:pPr>
      <w:ind w:firstLine="420" w:firstLineChars="200"/>
    </w:pPr>
  </w:style>
  <w:style w:type="character" w:styleId="26">
    <w:name w:val="Strong"/>
    <w:basedOn w:val="25"/>
    <w:qFormat/>
    <w:uiPriority w:val="0"/>
    <w:rPr>
      <w:b/>
    </w:rPr>
  </w:style>
  <w:style w:type="character" w:customStyle="1" w:styleId="27">
    <w:name w:val="标题 2 Char"/>
    <w:link w:val="3"/>
    <w:qFormat/>
    <w:uiPriority w:val="0"/>
    <w:rPr>
      <w:rFonts w:ascii="Times New Roman" w:hAnsi="Times New Roman" w:eastAsia="宋体" w:cs="宋体"/>
      <w:kern w:val="2"/>
      <w:sz w:val="28"/>
      <w:szCs w:val="22"/>
      <w:lang w:val="en-US" w:eastAsia="zh-CN" w:bidi="ar-SA"/>
    </w:rPr>
  </w:style>
  <w:style w:type="character" w:customStyle="1" w:styleId="28">
    <w:name w:val="标题 3 Char"/>
    <w:link w:val="4"/>
    <w:qFormat/>
    <w:uiPriority w:val="0"/>
    <w:rPr>
      <w:rFonts w:ascii="Times New Roman" w:hAnsi="Times New Roman" w:eastAsia="宋体" w:cs="宋体"/>
      <w:sz w:val="28"/>
    </w:rPr>
  </w:style>
  <w:style w:type="paragraph" w:customStyle="1" w:styleId="29">
    <w:name w:val="样式1"/>
    <w:basedOn w:val="1"/>
    <w:qFormat/>
    <w:uiPriority w:val="0"/>
    <w:pPr>
      <w:widowControl/>
      <w:ind w:firstLine="0" w:firstLineChars="0"/>
      <w:jc w:val="center"/>
      <w:textAlignment w:val="center"/>
    </w:pPr>
    <w:rPr>
      <w:rFonts w:hint="eastAsia" w:ascii="宋体" w:hAnsi="宋体" w:eastAsia="宋体" w:cs="宋体"/>
      <w:color w:val="000000"/>
      <w:kern w:val="0"/>
      <w:sz w:val="20"/>
      <w:szCs w:val="20"/>
      <w:u w:val="none"/>
      <w:lang w:bidi="ar"/>
    </w:rPr>
  </w:style>
  <w:style w:type="paragraph" w:customStyle="1" w:styleId="30">
    <w:name w:val="样式2"/>
    <w:basedOn w:val="1"/>
    <w:qFormat/>
    <w:uiPriority w:val="0"/>
    <w:pPr>
      <w:widowControl/>
      <w:spacing w:line="440" w:lineRule="exact"/>
      <w:ind w:firstLine="0" w:firstLineChars="0"/>
      <w:jc w:val="left"/>
      <w:textAlignment w:val="center"/>
    </w:pPr>
    <w:rPr>
      <w:rFonts w:hint="eastAsia" w:ascii="宋体" w:hAnsi="宋体" w:eastAsia="宋体" w:cs="宋体"/>
      <w:b/>
      <w:bCs/>
      <w:color w:val="000000"/>
      <w:kern w:val="0"/>
      <w:sz w:val="18"/>
      <w:szCs w:val="18"/>
      <w:u w:val="none"/>
      <w:lang w:eastAsia="zh-CN" w:bidi="ar"/>
    </w:rPr>
  </w:style>
  <w:style w:type="paragraph" w:customStyle="1" w:styleId="31">
    <w:name w:val="样式3"/>
    <w:basedOn w:val="1"/>
    <w:qFormat/>
    <w:uiPriority w:val="0"/>
    <w:pPr>
      <w:ind w:firstLine="0" w:firstLineChars="0"/>
    </w:pPr>
    <w:rPr>
      <w:rFonts w:hint="eastAsia"/>
      <w:lang w:val="zh-CN"/>
    </w:rPr>
  </w:style>
  <w:style w:type="paragraph" w:customStyle="1" w:styleId="32">
    <w:name w:val="样式4"/>
    <w:basedOn w:val="1"/>
    <w:qFormat/>
    <w:uiPriority w:val="0"/>
    <w:pPr>
      <w:widowControl/>
      <w:spacing w:line="240" w:lineRule="auto"/>
      <w:ind w:firstLine="0" w:firstLineChars="0"/>
      <w:jc w:val="center"/>
      <w:textAlignment w:val="center"/>
    </w:pPr>
    <w:rPr>
      <w:rFonts w:hint="eastAsia" w:ascii="宋体" w:hAnsi="宋体" w:eastAsia="宋体" w:cs="宋体"/>
      <w:color w:val="000000"/>
      <w:kern w:val="0"/>
      <w:sz w:val="18"/>
      <w:szCs w:val="18"/>
      <w:u w:val="none"/>
      <w:lang w:bidi="ar"/>
    </w:rPr>
  </w:style>
  <w:style w:type="paragraph" w:customStyle="1" w:styleId="33">
    <w:name w:val="图序"/>
    <w:basedOn w:val="1"/>
    <w:qFormat/>
    <w:uiPriority w:val="0"/>
    <w:pPr>
      <w:spacing w:line="240" w:lineRule="auto"/>
      <w:jc w:val="center"/>
    </w:pPr>
    <w:rPr>
      <w:rFonts w:hint="default" w:ascii="Times New Roman" w:hAnsi="Times New Roman" w:eastAsia="黑体" w:cs="Times New Roman"/>
      <w:sz w:val="21"/>
    </w:rPr>
  </w:style>
  <w:style w:type="character" w:customStyle="1" w:styleId="34">
    <w:name w:val="标题 1 Char"/>
    <w:link w:val="2"/>
    <w:qFormat/>
    <w:uiPriority w:val="0"/>
    <w:rPr>
      <w:rFonts w:ascii="Times New Roman" w:hAnsi="Times New Roman" w:eastAsia="宋体" w:cs="宋体"/>
      <w:b/>
      <w:snapToGrid w:val="0"/>
      <w:color w:val="000000"/>
      <w:kern w:val="44"/>
      <w:sz w:val="36"/>
      <w:szCs w:val="21"/>
      <w:lang w:eastAsia="en-US"/>
    </w:rPr>
  </w:style>
  <w:style w:type="paragraph" w:customStyle="1" w:styleId="35">
    <w:name w:val="目录"/>
    <w:basedOn w:val="1"/>
    <w:next w:val="1"/>
    <w:link w:val="36"/>
    <w:qFormat/>
    <w:uiPriority w:val="0"/>
    <w:pPr>
      <w:keepNext/>
      <w:keepLines/>
      <w:spacing w:line="360" w:lineRule="auto"/>
      <w:ind w:firstLine="0" w:firstLineChars="0"/>
      <w:jc w:val="center"/>
      <w:outlineLvl w:val="0"/>
    </w:pPr>
    <w:rPr>
      <w:rFonts w:ascii="Times New Roman" w:hAnsi="Times New Roman" w:eastAsia="宋体"/>
      <w:b/>
      <w:bCs/>
      <w:sz w:val="36"/>
      <w:szCs w:val="44"/>
    </w:rPr>
  </w:style>
  <w:style w:type="character" w:customStyle="1" w:styleId="36">
    <w:name w:val="目录 Char"/>
    <w:link w:val="35"/>
    <w:qFormat/>
    <w:uiPriority w:val="0"/>
    <w:rPr>
      <w:rFonts w:ascii="Times New Roman" w:hAnsi="Times New Roman" w:eastAsia="宋体"/>
      <w:b/>
      <w:bCs/>
      <w:sz w:val="36"/>
      <w:szCs w:val="44"/>
    </w:rPr>
  </w:style>
  <w:style w:type="paragraph" w:customStyle="1" w:styleId="37">
    <w:name w:val="目录1"/>
    <w:basedOn w:val="14"/>
    <w:next w:val="35"/>
    <w:qFormat/>
    <w:uiPriority w:val="0"/>
    <w:pPr>
      <w:tabs>
        <w:tab w:val="right" w:leader="dot" w:pos="8336"/>
      </w:tabs>
      <w:autoSpaceDE/>
      <w:autoSpaceDN/>
      <w:spacing w:line="360" w:lineRule="auto"/>
    </w:pPr>
    <w:rPr>
      <w:rFonts w:ascii="Times New Roman" w:hAnsi="Times New Roman" w:eastAsia="宋体" w:cs="Times New Roman"/>
      <w:bCs/>
      <w:spacing w:val="4"/>
      <w:sz w:val="28"/>
      <w:szCs w:val="43"/>
    </w:rPr>
  </w:style>
  <w:style w:type="paragraph" w:customStyle="1" w:styleId="38">
    <w:name w:val="图序与图名"/>
    <w:basedOn w:val="1"/>
    <w:link w:val="59"/>
    <w:qFormat/>
    <w:uiPriority w:val="0"/>
    <w:pPr>
      <w:spacing w:before="100" w:beforeLines="100" w:line="240" w:lineRule="auto"/>
      <w:ind w:left="0" w:firstLine="0" w:firstLineChars="0"/>
      <w:jc w:val="center"/>
    </w:pPr>
    <w:rPr>
      <w:rFonts w:ascii="宋体" w:hAnsi="宋体" w:eastAsia="宋体" w:cs="宋体"/>
      <w:spacing w:val="-2"/>
      <w:sz w:val="21"/>
      <w:szCs w:val="20"/>
    </w:rPr>
  </w:style>
  <w:style w:type="paragraph" w:customStyle="1" w:styleId="39">
    <w:name w:val="样式7"/>
    <w:basedOn w:val="1"/>
    <w:qFormat/>
    <w:uiPriority w:val="0"/>
    <w:pPr>
      <w:ind w:firstLine="0" w:firstLineChars="0"/>
      <w:jc w:val="center"/>
    </w:pPr>
    <w:rPr>
      <w:rFonts w:hint="eastAsia" w:ascii="宋体" w:hAnsi="宋体" w:eastAsia="宋体"/>
      <w:szCs w:val="22"/>
    </w:rPr>
  </w:style>
  <w:style w:type="paragraph" w:customStyle="1" w:styleId="40">
    <w:name w:val="摘要目录"/>
    <w:basedOn w:val="1"/>
    <w:next w:val="1"/>
    <w:qFormat/>
    <w:uiPriority w:val="0"/>
    <w:pPr>
      <w:keepNext/>
      <w:keepLines/>
      <w:pageBreakBefore/>
      <w:spacing w:line="360" w:lineRule="auto"/>
      <w:ind w:left="0" w:leftChars="0" w:firstLine="482" w:firstLineChars="200"/>
      <w:jc w:val="both"/>
      <w:outlineLvl w:val="0"/>
    </w:pPr>
    <w:rPr>
      <w:rFonts w:ascii="Times New Roman" w:hAnsi="Times New Roman" w:eastAsia="宋体"/>
      <w:b/>
      <w:bCs/>
      <w:kern w:val="44"/>
      <w:szCs w:val="44"/>
    </w:rPr>
  </w:style>
  <w:style w:type="paragraph" w:customStyle="1" w:styleId="41">
    <w:name w:val="样式8"/>
    <w:basedOn w:val="1"/>
    <w:qFormat/>
    <w:uiPriority w:val="0"/>
    <w:pPr>
      <w:widowControl/>
      <w:ind w:firstLine="0" w:firstLineChars="0"/>
      <w:jc w:val="center"/>
      <w:textAlignment w:val="center"/>
    </w:pPr>
    <w:rPr>
      <w:rFonts w:hint="eastAsia" w:ascii="宋体" w:hAnsi="宋体" w:eastAsia="宋体" w:cs="宋体"/>
      <w:color w:val="000000"/>
      <w:kern w:val="0"/>
      <w:sz w:val="20"/>
      <w:szCs w:val="20"/>
      <w:u w:val="none"/>
      <w:lang w:bidi="ar"/>
    </w:rPr>
  </w:style>
  <w:style w:type="paragraph" w:customStyle="1" w:styleId="42">
    <w:name w:val="目录摘要"/>
    <w:basedOn w:val="1"/>
    <w:qFormat/>
    <w:uiPriority w:val="0"/>
    <w:pPr>
      <w:spacing w:line="360" w:lineRule="auto"/>
      <w:ind w:left="0" w:right="0" w:firstLine="420" w:firstLineChars="200"/>
      <w:jc w:val="both"/>
      <w:outlineLvl w:val="0"/>
    </w:pPr>
    <w:rPr>
      <w:rFonts w:hint="eastAsia" w:ascii="微软雅黑" w:hAnsi="微软雅黑" w:eastAsia="宋体" w:cs="微软雅黑"/>
      <w:b/>
      <w:bCs/>
      <w:snapToGrid w:val="0"/>
      <w:color w:val="000000"/>
      <w:spacing w:val="9"/>
      <w:kern w:val="0"/>
      <w:sz w:val="24"/>
      <w:szCs w:val="29"/>
    </w:rPr>
  </w:style>
  <w:style w:type="paragraph" w:customStyle="1" w:styleId="43">
    <w:name w:val="样式9"/>
    <w:basedOn w:val="1"/>
    <w:qFormat/>
    <w:uiPriority w:val="0"/>
    <w:pPr>
      <w:widowControl/>
      <w:ind w:firstLine="0" w:firstLineChars="0"/>
      <w:jc w:val="center"/>
      <w:textAlignment w:val="center"/>
    </w:pPr>
    <w:rPr>
      <w:rFonts w:hint="eastAsia" w:ascii="宋体" w:hAnsi="宋体" w:eastAsia="宋体" w:cs="宋体"/>
      <w:color w:val="000000"/>
      <w:kern w:val="0"/>
      <w:sz w:val="16"/>
      <w:szCs w:val="20"/>
      <w:u w:val="none"/>
      <w:lang w:eastAsia="zh-CN" w:bidi="ar"/>
    </w:rPr>
  </w:style>
  <w:style w:type="paragraph" w:customStyle="1" w:styleId="44">
    <w:name w:val="样式10"/>
    <w:basedOn w:val="1"/>
    <w:qFormat/>
    <w:uiPriority w:val="0"/>
    <w:pPr>
      <w:widowControl/>
      <w:spacing w:line="240" w:lineRule="auto"/>
      <w:ind w:firstLine="0" w:firstLineChars="0"/>
      <w:jc w:val="center"/>
      <w:textAlignment w:val="center"/>
    </w:pPr>
    <w:rPr>
      <w:rFonts w:hint="eastAsia" w:ascii="宋体" w:hAnsi="宋体" w:eastAsia="宋体" w:cs="宋体"/>
      <w:b/>
      <w:bCs/>
      <w:color w:val="000000"/>
      <w:kern w:val="0"/>
      <w:sz w:val="15"/>
      <w:szCs w:val="18"/>
      <w:u w:val="none"/>
      <w:lang w:eastAsia="zh-CN" w:bidi="ar"/>
    </w:rPr>
  </w:style>
  <w:style w:type="paragraph" w:customStyle="1" w:styleId="45">
    <w:name w:val="图题"/>
    <w:basedOn w:val="1"/>
    <w:qFormat/>
    <w:uiPriority w:val="0"/>
    <w:rPr>
      <w:rFonts w:hint="default" w:ascii="Times New Roman" w:hAnsi="Times New Roman" w:eastAsia="宋体"/>
      <w:sz w:val="21"/>
    </w:rPr>
  </w:style>
  <w:style w:type="paragraph" w:customStyle="1" w:styleId="46">
    <w:name w:val="参考文献"/>
    <w:basedOn w:val="1"/>
    <w:next w:val="1"/>
    <w:qFormat/>
    <w:uiPriority w:val="0"/>
    <w:pPr>
      <w:numPr>
        <w:ilvl w:val="0"/>
        <w:numId w:val="2"/>
      </w:numPr>
      <w:tabs>
        <w:tab w:val="left" w:pos="0"/>
      </w:tabs>
      <w:spacing w:before="50" w:beforeLines="50" w:after="50" w:afterLines="50" w:line="240" w:lineRule="auto"/>
      <w:ind w:left="425" w:hanging="425"/>
      <w:jc w:val="center"/>
      <w:outlineLvl w:val="0"/>
    </w:pPr>
    <w:rPr>
      <w:rFonts w:hint="eastAsia" w:ascii="宋体" w:hAnsi="宋体" w:cs="宋体"/>
      <w:b/>
      <w:snapToGrid w:val="0"/>
      <w:color w:val="000000"/>
      <w:kern w:val="44"/>
      <w:sz w:val="28"/>
      <w:szCs w:val="32"/>
      <w:lang w:eastAsia="en-US"/>
    </w:rPr>
  </w:style>
  <w:style w:type="paragraph" w:customStyle="1" w:styleId="47">
    <w:name w:val="参考文献正文"/>
    <w:basedOn w:val="1"/>
    <w:qFormat/>
    <w:uiPriority w:val="0"/>
    <w:pPr>
      <w:numPr>
        <w:ilvl w:val="0"/>
        <w:numId w:val="3"/>
      </w:numPr>
      <w:spacing w:before="50" w:beforeLines="50" w:after="50" w:afterLines="50"/>
    </w:pPr>
    <w:rPr>
      <w:rFonts w:hint="eastAsia"/>
    </w:rPr>
  </w:style>
  <w:style w:type="character" w:customStyle="1" w:styleId="48">
    <w:name w:val="标题 4 Char"/>
    <w:link w:val="5"/>
    <w:qFormat/>
    <w:uiPriority w:val="0"/>
    <w:rPr>
      <w:rFonts w:ascii="Arial" w:hAnsi="Arial" w:eastAsia="宋体" w:cs="Times New Roman"/>
      <w:snapToGrid/>
      <w:sz w:val="24"/>
      <w:szCs w:val="24"/>
      <w:lang w:val="en-US" w:eastAsia="zh-CN" w:bidi="ar-SA"/>
    </w:rPr>
  </w:style>
  <w:style w:type="paragraph" w:customStyle="1" w:styleId="49">
    <w:name w:val="Table Text"/>
    <w:basedOn w:val="1"/>
    <w:semiHidden/>
    <w:qFormat/>
    <w:uiPriority w:val="0"/>
    <w:pPr>
      <w:snapToGrid w:val="0"/>
      <w:spacing w:line="360" w:lineRule="auto"/>
    </w:pPr>
    <w:rPr>
      <w:rFonts w:ascii="等线" w:hAnsi="等线" w:eastAsia="宋体" w:cs="等线"/>
      <w:sz w:val="20"/>
      <w:szCs w:val="20"/>
      <w:lang w:eastAsia="en-US"/>
    </w:rPr>
  </w:style>
  <w:style w:type="paragraph" w:customStyle="1" w:styleId="50">
    <w:name w:val="目录111"/>
    <w:basedOn w:val="1"/>
    <w:qFormat/>
    <w:uiPriority w:val="0"/>
    <w:pPr>
      <w:spacing w:before="80" w:beforeLines="80" w:after="50" w:afterLines="50" w:line="240" w:lineRule="auto"/>
      <w:ind w:firstLine="0" w:firstLineChars="0"/>
      <w:jc w:val="center"/>
    </w:pPr>
    <w:rPr>
      <w:rFonts w:ascii="宋体" w:hAnsi="宋体"/>
      <w:sz w:val="36"/>
    </w:rPr>
  </w:style>
  <w:style w:type="paragraph" w:customStyle="1" w:styleId="51">
    <w:name w:val="一级标题"/>
    <w:basedOn w:val="1"/>
    <w:link w:val="52"/>
    <w:autoRedefine/>
    <w:qFormat/>
    <w:uiPriority w:val="0"/>
    <w:pPr>
      <w:keepNext/>
      <w:keepLines/>
      <w:pageBreakBefore/>
      <w:spacing w:line="360" w:lineRule="auto"/>
      <w:jc w:val="center"/>
      <w:outlineLvl w:val="0"/>
    </w:pPr>
    <w:rPr>
      <w:rFonts w:ascii="黑体" w:hAnsi="黑体" w:eastAsia="黑体" w:cs="Times New Roman"/>
      <w:b/>
      <w:bCs/>
      <w:kern w:val="32"/>
      <w:sz w:val="36"/>
      <w:szCs w:val="36"/>
    </w:rPr>
  </w:style>
  <w:style w:type="character" w:customStyle="1" w:styleId="52">
    <w:name w:val="一级标题 Char"/>
    <w:link w:val="51"/>
    <w:autoRedefine/>
    <w:qFormat/>
    <w:uiPriority w:val="0"/>
    <w:rPr>
      <w:rFonts w:ascii="黑体" w:hAnsi="黑体" w:eastAsia="黑体" w:cs="Times New Roman"/>
      <w:b/>
      <w:bCs/>
      <w:kern w:val="32"/>
      <w:sz w:val="36"/>
      <w:szCs w:val="36"/>
    </w:rPr>
  </w:style>
  <w:style w:type="character" w:customStyle="1" w:styleId="53">
    <w:name w:val="页脚 字符"/>
    <w:link w:val="17"/>
    <w:qFormat/>
    <w:uiPriority w:val="99"/>
    <w:rPr>
      <w:rFonts w:ascii="Times New Roman" w:hAnsi="Times New Roman" w:eastAsia="宋体"/>
      <w:sz w:val="18"/>
    </w:rPr>
  </w:style>
  <w:style w:type="character" w:customStyle="1" w:styleId="54">
    <w:name w:val="标题 Char"/>
    <w:link w:val="22"/>
    <w:qFormat/>
    <w:uiPriority w:val="0"/>
    <w:rPr>
      <w:rFonts w:ascii="等线 Light" w:hAnsi="等线 Light" w:eastAsia="宋体"/>
      <w:b/>
      <w:bCs/>
      <w:kern w:val="2"/>
      <w:sz w:val="32"/>
      <w:szCs w:val="32"/>
    </w:rPr>
  </w:style>
  <w:style w:type="paragraph" w:customStyle="1" w:styleId="55">
    <w:name w:val="题标"/>
    <w:basedOn w:val="1"/>
    <w:next w:val="1"/>
    <w:qFormat/>
    <w:uiPriority w:val="0"/>
    <w:pPr>
      <w:keepNext/>
      <w:keepLines/>
      <w:numPr>
        <w:ilvl w:val="0"/>
        <w:numId w:val="4"/>
      </w:numPr>
      <w:spacing w:line="360" w:lineRule="auto"/>
      <w:ind w:firstLine="0" w:firstLineChars="0"/>
      <w:jc w:val="center"/>
      <w:outlineLvl w:val="9"/>
    </w:pPr>
    <w:rPr>
      <w:rFonts w:ascii="Times New Roman" w:hAnsi="Times New Roman" w:eastAsia="宋体" w:cs="Times New Roman"/>
      <w:bCs/>
      <w:sz w:val="21"/>
      <w:szCs w:val="32"/>
    </w:rPr>
  </w:style>
  <w:style w:type="paragraph" w:customStyle="1" w:styleId="56">
    <w:name w:val="表格"/>
    <w:basedOn w:val="1"/>
    <w:qFormat/>
    <w:uiPriority w:val="0"/>
    <w:pPr>
      <w:spacing w:line="240" w:lineRule="auto"/>
      <w:ind w:firstLine="0" w:firstLineChars="0"/>
      <w:jc w:val="center"/>
    </w:pPr>
    <w:rPr>
      <w:rFonts w:ascii="Times New Roman" w:hAnsi="Times New Roman" w:cs="宋体"/>
      <w:sz w:val="21"/>
      <w:szCs w:val="21"/>
    </w:rPr>
  </w:style>
  <w:style w:type="paragraph" w:customStyle="1" w:styleId="57">
    <w:name w:val="目录 题目"/>
    <w:basedOn w:val="1"/>
    <w:qFormat/>
    <w:uiPriority w:val="99"/>
    <w:pPr>
      <w:spacing w:line="300" w:lineRule="auto"/>
      <w:ind w:firstLine="0" w:firstLineChars="0"/>
      <w:jc w:val="center"/>
    </w:pPr>
    <w:rPr>
      <w:rFonts w:ascii="等线" w:hAnsi="等线" w:eastAsia="黑体" w:cs="宋体"/>
      <w:b/>
      <w:sz w:val="32"/>
      <w:szCs w:val="22"/>
    </w:rPr>
  </w:style>
  <w:style w:type="paragraph" w:customStyle="1" w:styleId="58">
    <w:name w:val="样式11"/>
    <w:basedOn w:val="1"/>
    <w:qFormat/>
    <w:uiPriority w:val="0"/>
    <w:pPr>
      <w:widowControl/>
      <w:ind w:firstLine="0" w:firstLineChars="0"/>
      <w:jc w:val="center"/>
      <w:textAlignment w:val="center"/>
    </w:pPr>
    <w:rPr>
      <w:rFonts w:hint="eastAsia" w:ascii="宋体" w:hAnsi="宋体" w:eastAsia="宋体" w:cs="宋体"/>
      <w:b/>
      <w:bCs/>
      <w:color w:val="000000"/>
      <w:kern w:val="0"/>
      <w:sz w:val="18"/>
      <w:szCs w:val="18"/>
      <w:u w:val="none"/>
      <w:lang w:bidi="ar"/>
    </w:rPr>
  </w:style>
  <w:style w:type="character" w:customStyle="1" w:styleId="59">
    <w:name w:val="图序与图名 Char"/>
    <w:link w:val="38"/>
    <w:qFormat/>
    <w:uiPriority w:val="0"/>
    <w:rPr>
      <w:rFonts w:ascii="宋体" w:hAnsi="宋体" w:eastAsia="宋体" w:cs="宋体"/>
      <w:spacing w:val="-2"/>
      <w:sz w:val="21"/>
      <w:szCs w:val="20"/>
    </w:rPr>
  </w:style>
  <w:style w:type="paragraph" w:customStyle="1" w:styleId="60">
    <w:name w:val="样式12"/>
    <w:basedOn w:val="1"/>
    <w:qFormat/>
    <w:uiPriority w:val="0"/>
    <w:pPr>
      <w:widowControl/>
      <w:ind w:firstLine="0" w:firstLineChars="0"/>
      <w:textAlignment w:val="center"/>
    </w:pPr>
    <w:rPr>
      <w:rFonts w:hint="eastAsia" w:ascii="宋体" w:hAnsi="宋体" w:eastAsia="宋体" w:cs="宋体"/>
      <w:b/>
      <w:bCs/>
      <w:color w:val="000000"/>
      <w:kern w:val="0"/>
      <w:sz w:val="18"/>
      <w:szCs w:val="18"/>
      <w:u w:val="none"/>
      <w:lang w:bidi="ar"/>
    </w:rPr>
  </w:style>
  <w:style w:type="paragraph" w:customStyle="1" w:styleId="61">
    <w:name w:val="样式13"/>
    <w:basedOn w:val="1"/>
    <w:qFormat/>
    <w:uiPriority w:val="0"/>
    <w:pPr>
      <w:spacing w:line="240" w:lineRule="auto"/>
      <w:ind w:firstLine="0" w:firstLineChars="0"/>
      <w:outlineLvl w:val="0"/>
    </w:pPr>
    <w:rPr>
      <w:rFonts w:hint="eastAsia" w:ascii="宋体" w:hAnsi="宋体" w:eastAsia="宋体" w:cs="宋体"/>
      <w:snapToGrid w:val="0"/>
      <w:color w:val="000000"/>
      <w:spacing w:val="-3"/>
      <w:kern w:val="0"/>
      <w:sz w:val="20"/>
      <w:szCs w:val="24"/>
      <w:lang w:eastAsia="en-US"/>
    </w:rPr>
  </w:style>
  <w:style w:type="paragraph" w:customStyle="1" w:styleId="62">
    <w:name w:val="序号"/>
    <w:basedOn w:val="1"/>
    <w:qFormat/>
    <w:uiPriority w:val="0"/>
    <w:pPr>
      <w:spacing w:line="360" w:lineRule="auto"/>
      <w:ind w:left="0" w:firstLine="0" w:firstLineChars="0"/>
      <w:jc w:val="center"/>
      <w:outlineLvl w:val="9"/>
    </w:pPr>
    <w:rPr>
      <w:rFonts w:ascii="Times New Roman" w:hAnsi="Times New Roman" w:cs="宋体"/>
      <w:spacing w:val="1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microsoft.com/office/2006/relationships/keyMapCustomizations" Target="customizations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926</Words>
  <Characters>1178</Characters>
  <Lines>0</Lines>
  <Paragraphs>0</Paragraphs>
  <TotalTime>224</TotalTime>
  <ScaleCrop>false</ScaleCrop>
  <LinksUpToDate>false</LinksUpToDate>
  <CharactersWithSpaces>1178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2025-02-07T08:36:00Z</dcterms:created>
  <dc:creator>Administrator</dc:creator>
  <cp:lastModifiedBy>懂懂</cp:lastModifiedBy>
  <dcterms:modified xsi:type="dcterms:W3CDTF">2026-04-29T09:33:20Z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ED70CD5CD7E44E19B462CC6570D4876C_13</vt:lpwstr>
  </property>
  <property fmtid="{D5CDD505-2E9C-101B-9397-08002B2CF9AE}" pid="4" name="KSOTemplateDocerSaveRecord">
    <vt:lpwstr>eyJoZGlkIjoiYTk5M2VlNGFjMjM5YWExMzRjYmJmMzI4YTY3NDdhN2MiLCJ1c2VySWQiOiIxMDM2NjI3NDI0In0=</vt:lpwstr>
  </property>
</Properties>
</file>