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A4388D">
      <w:pPr>
        <w:pStyle w:val="2"/>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384" w:beforeAutospacing="0" w:after="192" w:afterAutospacing="0" w:line="408" w:lineRule="atLeast"/>
        <w:ind w:left="0" w:right="0" w:firstLine="0" w:firstLineChars="0"/>
        <w:textAlignment w:val="baseline"/>
        <w:rPr>
          <w:rFonts w:hint="eastAsia" w:ascii="Segoe UI" w:hAnsi="Segoe UI" w:eastAsia="宋体" w:cs="Segoe UI"/>
          <w:b/>
          <w:bCs/>
          <w:caps w:val="0"/>
          <w:color w:val="0F1115"/>
          <w:spacing w:val="0"/>
          <w:sz w:val="28"/>
          <w:szCs w:val="28"/>
          <w:shd w:val="clear" w:fill="FFFFFF"/>
          <w:lang w:eastAsia="zh-CN"/>
        </w:rPr>
      </w:pPr>
      <w:r>
        <w:rPr>
          <w:rFonts w:hint="default" w:ascii="Segoe UI" w:hAnsi="Segoe UI" w:eastAsia="Segoe UI" w:cs="Segoe UI"/>
          <w:b/>
          <w:bCs/>
          <w:caps w:val="0"/>
          <w:color w:val="0F1115"/>
          <w:spacing w:val="0"/>
          <w:sz w:val="28"/>
          <w:szCs w:val="28"/>
          <w:shd w:val="clear" w:fill="FFFFFF"/>
        </w:rPr>
        <w:t>银行对公业务的深层蜕变</w:t>
      </w:r>
      <w:r>
        <w:rPr>
          <w:rFonts w:hint="eastAsia" w:ascii="Segoe UI" w:hAnsi="Segoe UI" w:cs="Segoe UI"/>
          <w:b/>
          <w:bCs/>
          <w:caps w:val="0"/>
          <w:color w:val="0F1115"/>
          <w:spacing w:val="0"/>
          <w:sz w:val="28"/>
          <w:szCs w:val="28"/>
          <w:shd w:val="clear" w:fill="FFFFFF"/>
          <w:lang w:val="en-US" w:eastAsia="zh-CN"/>
        </w:rPr>
        <w:t xml:space="preserve"> </w:t>
      </w:r>
      <w:r>
        <w:rPr>
          <w:rFonts w:hint="default" w:ascii="Segoe UI" w:hAnsi="Segoe UI" w:eastAsia="Segoe UI" w:cs="Segoe UI"/>
          <w:b/>
          <w:bCs/>
          <w:caps w:val="0"/>
          <w:color w:val="0F1115"/>
          <w:spacing w:val="0"/>
          <w:sz w:val="28"/>
          <w:szCs w:val="28"/>
          <w:shd w:val="clear" w:fill="FFFFFF"/>
        </w:rPr>
        <w:t>从资金搬运工到企业价值合伙人</w:t>
      </w:r>
    </w:p>
    <w:p w14:paraId="0F06FC83"/>
    <w:p w14:paraId="77E929E2">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ascii="Segoe UI" w:hAnsi="Segoe UI" w:eastAsia="Segoe UI" w:cs="Segoe UI"/>
          <w:b w:val="0"/>
          <w:bCs w:val="0"/>
          <w:i w:val="0"/>
          <w:iCs w:val="0"/>
          <w:caps w:val="0"/>
          <w:color w:val="0F1115"/>
          <w:spacing w:val="0"/>
          <w:sz w:val="19"/>
          <w:szCs w:val="19"/>
        </w:rPr>
      </w:pPr>
      <w:r>
        <w:rPr>
          <w:rStyle w:val="26"/>
          <w:rFonts w:hint="default" w:ascii="Segoe UI" w:hAnsi="Segoe UI" w:eastAsia="Segoe UI" w:cs="Segoe UI"/>
          <w:b w:val="0"/>
          <w:bCs w:val="0"/>
          <w:i w:val="0"/>
          <w:iCs w:val="0"/>
          <w:caps w:val="0"/>
          <w:color w:val="0F1115"/>
          <w:spacing w:val="0"/>
          <w:sz w:val="19"/>
          <w:szCs w:val="19"/>
          <w:shd w:val="clear" w:fill="FFFFFF"/>
        </w:rPr>
        <w:t>当几乎所有讨论都聚焦于零售和息差时，银行对公业务正在经历一场最为静默也最为深刻的角色重塑。</w:t>
      </w:r>
    </w:p>
    <w:p w14:paraId="6EE88F08">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b/>
          <w:bCs/>
          <w:i w:val="0"/>
          <w:iCs w:val="0"/>
          <w:caps w:val="0"/>
          <w:color w:val="0F1115"/>
          <w:spacing w:val="0"/>
          <w:sz w:val="19"/>
          <w:szCs w:val="19"/>
          <w:shd w:val="clear" w:fill="FFFFFF"/>
        </w:rPr>
      </w:pPr>
      <w:r>
        <w:rPr>
          <w:rFonts w:hint="default" w:ascii="Segoe UI" w:hAnsi="Segoe UI" w:eastAsia="Segoe UI" w:cs="Segoe UI"/>
          <w:b/>
          <w:bCs/>
          <w:i w:val="0"/>
          <w:iCs w:val="0"/>
          <w:caps w:val="0"/>
          <w:color w:val="0F1115"/>
          <w:spacing w:val="0"/>
          <w:sz w:val="19"/>
          <w:szCs w:val="19"/>
          <w:shd w:val="clear" w:fill="FFFFFF"/>
        </w:rPr>
        <w:t>2026年2月，企业中长期贷款新增8900亿元，创近三年单月同比多增的新高</w:t>
      </w:r>
      <w:r>
        <w:rPr>
          <w:rFonts w:hint="default" w:ascii="Segoe UI" w:hAnsi="Segoe UI" w:eastAsia="Segoe UI" w:cs="Segoe UI"/>
          <w:b/>
          <w:bCs/>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b/>
          <w:bCs/>
          <w:i w:val="0"/>
          <w:iCs w:val="0"/>
          <w:caps w:val="0"/>
          <w:color w:val="3964FE"/>
          <w:spacing w:val="0"/>
          <w:sz w:val="19"/>
          <w:szCs w:val="19"/>
          <w:u w:val="none"/>
          <w:bdr w:val="single" w:color="auto" w:sz="12" w:space="0"/>
          <w:shd w:val="clear" w:fill="FFFFFF"/>
        </w:rPr>
        <w:instrText xml:space="preserve"> HYPERLINK "http://dianzibao.cb.com.cn/html/2026-03/23/content_339658.htm?div=-1" \t "https://chat.deepseek.com/a/chat/s/_blank" </w:instrText>
      </w:r>
      <w:r>
        <w:rPr>
          <w:rFonts w:hint="default" w:ascii="Segoe UI" w:hAnsi="Segoe UI" w:eastAsia="Segoe UI" w:cs="Segoe UI"/>
          <w:b/>
          <w:bCs/>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b/>
          <w:bCs/>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b/>
          <w:bCs/>
          <w:i w:val="0"/>
          <w:iCs w:val="0"/>
          <w:caps w:val="0"/>
          <w:color w:val="0F1115"/>
          <w:spacing w:val="0"/>
          <w:sz w:val="19"/>
          <w:szCs w:val="19"/>
          <w:shd w:val="clear" w:fill="FFFFFF"/>
        </w:rPr>
        <w:t>。</w:t>
      </w:r>
    </w:p>
    <w:p w14:paraId="73136B0D">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而同期，住户贷款减少1942亿元</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"http://dianzibao.cb.com.cn/html/2026-03/23/content_339658.htm?div=-1"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；企业强、居民弱的信贷剪刀差格局进一步扩大</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"http://dianzibao.cb.com.cn/html/2026-03/23/content_339658.htm?div=-1"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。一季度累计，企（事）业单位贷款增加8.6万亿元，住户贷款仅增2967亿元，企业贷款增量是住户贷款的近29倍</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"http://www.ce.cn/xwzx/gnsz/gdxw/202604/t20260413_2900961.shtml"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1EA8A919">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当净息差进入1.42%的历史低位、信贷需求温和复苏却不再高速增长，对公业务的价值逻辑已经发生了根本性变化</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它不再只是规模贡献者，</w:t>
      </w:r>
      <w:r>
        <w:rPr>
          <w:rFonts w:hint="default" w:ascii="Segoe UI" w:hAnsi="Segoe UI" w:eastAsia="Segoe UI" w:cs="Segoe UI"/>
          <w:b/>
          <w:bCs/>
          <w:i w:val="0"/>
          <w:iCs w:val="0"/>
          <w:caps w:val="0"/>
          <w:color w:val="0F1115"/>
          <w:spacing w:val="0"/>
          <w:sz w:val="19"/>
          <w:szCs w:val="19"/>
          <w:shd w:val="clear" w:fill="FFFFFF"/>
        </w:rPr>
        <w:t>正在进化为综合收益的总引擎</w:t>
      </w:r>
      <w:r>
        <w:rPr>
          <w:rFonts w:hint="default" w:ascii="Segoe UI" w:hAnsi="Segoe UI" w:eastAsia="Segoe UI" w:cs="Segoe UI"/>
          <w:i w:val="0"/>
          <w:iCs w:val="0"/>
          <w:caps w:val="0"/>
          <w:color w:val="0F1115"/>
          <w:spacing w:val="0"/>
          <w:sz w:val="19"/>
          <w:szCs w:val="19"/>
          <w:shd w:val="clear" w:fill="FFFFFF"/>
        </w:rPr>
        <w:t>。</w:t>
      </w:r>
    </w:p>
    <w:p w14:paraId="28BB9774">
      <w:pPr>
        <w:pStyle w:val="4"/>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384" w:beforeAutospacing="0" w:after="192" w:afterAutospacing="0" w:line="360" w:lineRule="atLeast"/>
        <w:ind w:left="0" w:right="0" w:firstLine="0" w:firstLineChars="0"/>
        <w:textAlignment w:val="baseline"/>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息差薄利：对公新定价体系的倒逼与重构</w:t>
      </w:r>
    </w:p>
    <w:p w14:paraId="32F51E85">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2025年四季度，商业银行净息差报1.42%，与三季度持平，低位企稳</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"https://app.xinhuanet.com/news/article.html?articleId=55b826bbad19454d92f554f08e332c0f"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。虽暂时止跌，但低息差已成为银行业的新常态。对公贷款的定价体系正在经历一场底层逻辑的应激重构。</w:t>
      </w:r>
    </w:p>
    <w:p w14:paraId="7C12F7C3">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Style w:val="26"/>
          <w:rFonts w:hint="default" w:ascii="Segoe UI" w:hAnsi="Segoe UI" w:eastAsia="Segoe UI" w:cs="Segoe UI"/>
          <w:b/>
          <w:bCs/>
          <w:i w:val="0"/>
          <w:iCs w:val="0"/>
          <w:caps w:val="0"/>
          <w:color w:val="0F1115"/>
          <w:spacing w:val="0"/>
          <w:sz w:val="19"/>
          <w:szCs w:val="19"/>
          <w:shd w:val="clear" w:fill="FFFFFF"/>
        </w:rPr>
        <w:t>自律底约束正在全面强化。</w:t>
      </w:r>
      <w:r>
        <w:rPr>
          <w:rFonts w:hint="default" w:ascii="Segoe UI" w:hAnsi="Segoe UI" w:eastAsia="Segoe UI" w:cs="Segoe UI"/>
          <w:i w:val="0"/>
          <w:iCs w:val="0"/>
          <w:caps w:val="0"/>
          <w:color w:val="0F1115"/>
          <w:spacing w:val="0"/>
          <w:sz w:val="19"/>
          <w:szCs w:val="19"/>
          <w:shd w:val="clear" w:fill="FFFFFF"/>
        </w:rPr>
        <w:t> 对公贷款新发放利率已经对标税收还原后国债利率与同主体信用债利率定价，贷款利率环比继续小幅下降，但幅度已小于往年</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"http://stockfinance.sina.cn/stock/go.php/paper/reportid/823159771509/index.phtml?vt=4"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r>
        <w:rPr>
          <w:rFonts w:hint="eastAsia" w:ascii="Segoe UI" w:hAnsi="Segoe UI" w:eastAsia="宋体" w:cs="Segoe UI"/>
          <w:i w:val="0"/>
          <w:iCs w:val="0"/>
          <w:caps w:val="0"/>
          <w:color w:val="0F1115"/>
          <w:spacing w:val="0"/>
          <w:sz w:val="19"/>
          <w:szCs w:val="19"/>
          <w:highlight w:val="yellow"/>
          <w:shd w:val="clear" w:fill="FFFFFF"/>
          <w:lang w:val="en-US" w:eastAsia="zh-CN"/>
        </w:rPr>
        <w:t>3月</w:t>
      </w:r>
      <w:r>
        <w:rPr>
          <w:rFonts w:hint="default" w:ascii="Segoe UI" w:hAnsi="Segoe UI" w:eastAsia="Segoe UI" w:cs="Segoe UI"/>
          <w:i w:val="0"/>
          <w:iCs w:val="0"/>
          <w:caps w:val="0"/>
          <w:color w:val="0F1115"/>
          <w:spacing w:val="0"/>
          <w:sz w:val="19"/>
          <w:szCs w:val="19"/>
          <w:highlight w:val="yellow"/>
          <w:shd w:val="clear" w:fill="FFFFFF"/>
        </w:rPr>
        <w:t>新发放企业贷款利率为3.1%</w:t>
      </w:r>
      <w:r>
        <w:rPr>
          <w:rFonts w:hint="default" w:ascii="Segoe UI" w:hAnsi="Segoe UI" w:eastAsia="Segoe UI" w:cs="Segoe UI"/>
          <w:i w:val="0"/>
          <w:iCs w:val="0"/>
          <w:caps w:val="0"/>
          <w:color w:val="0F1115"/>
          <w:spacing w:val="0"/>
          <w:sz w:val="19"/>
          <w:szCs w:val="19"/>
          <w:shd w:val="clear" w:fill="FFFFFF"/>
        </w:rPr>
        <w:t>，已连续8个月环比不再下行，价格曲线停滞。</w:t>
      </w:r>
    </w:p>
    <w:p w14:paraId="2EA26A1B">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rPr>
      </w:pPr>
      <w:r>
        <w:rPr>
          <w:rFonts w:hint="default" w:ascii="Segoe UI" w:hAnsi="Segoe UI" w:eastAsia="Segoe UI" w:cs="Segoe UI"/>
          <w:i w:val="0"/>
          <w:iCs w:val="0"/>
          <w:caps w:val="0"/>
          <w:color w:val="0F1115"/>
          <w:spacing w:val="0"/>
          <w:sz w:val="19"/>
          <w:szCs w:val="19"/>
          <w:shd w:val="clear" w:fill="FFFFFF"/>
        </w:rPr>
        <w:t>这就形成一个新现实：银行无法再从单一融资项目中赚取丰厚的利差，但资金成本又在挂牌利率调整和自律机制约束下不断下行。</w:t>
      </w:r>
      <w:r>
        <w:rPr>
          <w:rFonts w:hint="eastAsia" w:ascii="Segoe UI" w:hAnsi="Segoe UI" w:eastAsia="宋体" w:cs="Segoe UI"/>
          <w:i w:val="0"/>
          <w:iCs w:val="0"/>
          <w:caps w:val="0"/>
          <w:color w:val="0F1115"/>
          <w:spacing w:val="0"/>
          <w:sz w:val="19"/>
          <w:szCs w:val="19"/>
          <w:shd w:val="clear" w:fill="FFFFFF"/>
          <w:lang w:val="en-US" w:eastAsia="zh-CN"/>
        </w:rPr>
        <w:t>预计</w:t>
      </w:r>
      <w:r>
        <w:rPr>
          <w:rFonts w:hint="default" w:ascii="Segoe UI" w:hAnsi="Segoe UI" w:eastAsia="Segoe UI" w:cs="Segoe UI"/>
          <w:i w:val="0"/>
          <w:iCs w:val="0"/>
          <w:caps w:val="0"/>
          <w:color w:val="0F1115"/>
          <w:spacing w:val="0"/>
          <w:sz w:val="19"/>
          <w:szCs w:val="19"/>
          <w:shd w:val="clear" w:fill="FFFFFF"/>
        </w:rPr>
        <w:t>2026年贷款利率下行对全年息差的拖累幅度在10个基点左右，而存款成本改善对息差的正向贡献可达15个基点</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"http://stockfinance.sina.cn/stock/go.php/paper/reportid/830138952453/index.phtml?vt=4"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2C91C27D">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b/>
          <w:bCs/>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一收一放之间，考验银行对公业务的不再是贷款利率本身，而是能否把一次融资做成全链条、全周期的生意。</w:t>
      </w:r>
    </w:p>
    <w:p w14:paraId="43129612">
      <w:pPr>
        <w:pStyle w:val="4"/>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384" w:beforeAutospacing="0" w:after="192" w:afterAutospacing="0" w:line="360" w:lineRule="atLeast"/>
        <w:ind w:left="0" w:right="0" w:firstLine="0" w:firstLineChars="0"/>
        <w:textAlignment w:val="baseline"/>
        <w:rPr>
          <w:rFonts w:hint="default" w:ascii="Segoe UI" w:hAnsi="Segoe UI" w:eastAsia="Segoe UI" w:cs="Segoe UI"/>
          <w:b/>
          <w:bCs/>
          <w:caps w:val="0"/>
          <w:color w:val="0F1115"/>
          <w:spacing w:val="0"/>
          <w:sz w:val="24"/>
          <w:szCs w:val="24"/>
        </w:rPr>
      </w:pPr>
      <w:bookmarkStart w:id="0" w:name="_GoBack"/>
      <w:r>
        <w:rPr>
          <w:rFonts w:hint="default" w:ascii="Segoe UI" w:hAnsi="Segoe UI" w:eastAsia="Segoe UI" w:cs="Segoe UI"/>
          <w:b/>
          <w:bCs/>
          <w:caps w:val="0"/>
          <w:color w:val="0F1115"/>
          <w:spacing w:val="0"/>
          <w:sz w:val="24"/>
          <w:szCs w:val="24"/>
          <w:shd w:val="clear" w:fill="FFFFFF"/>
        </w:rPr>
        <w:t>AIC、投贷联动与综合收益三张牌</w:t>
      </w:r>
    </w:p>
    <w:bookmarkEnd w:id="0"/>
    <w:p w14:paraId="5BA31BA9">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对公业务的重构，从三张战略底牌依次展开。</w:t>
      </w:r>
    </w:p>
    <w:p w14:paraId="65F98A68">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Style w:val="26"/>
          <w:rFonts w:hint="default" w:ascii="Segoe UI" w:hAnsi="Segoe UI" w:eastAsia="Segoe UI" w:cs="Segoe UI"/>
          <w:b/>
          <w:bCs/>
          <w:i w:val="0"/>
          <w:iCs w:val="0"/>
          <w:caps w:val="0"/>
          <w:color w:val="0F1115"/>
          <w:spacing w:val="0"/>
          <w:sz w:val="19"/>
          <w:szCs w:val="19"/>
          <w:shd w:val="clear" w:fill="FFFFFF"/>
        </w:rPr>
        <w:t>第一张牌是AIC（金融资产投资公司）的股权布局。</w:t>
      </w:r>
    </w:p>
    <w:p w14:paraId="7F907ABA">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股权资金是传统商行最大的短板。中国企业高度依赖信贷融资，但轻资产科创企业的研发壁垒难以通过传统授信评估。</w:t>
      </w:r>
    </w:p>
    <w:p w14:paraId="2FFC8355">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过去五年，五大行AIC从市场化债转股工具升级为科技金融战略前哨。截至2025年末，五大行AIC总资产已达6366亿元，全年合计净利润184.36亿元</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"https://finance.sina.com.cn/roll/2026-04-20/doc-inhvczzy6787785.shtml"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。试点基金数量方面，建信投资设立28只，中银资产设立28只，农银投资设立27只并实现认缴规模近700亿元</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"https://finance.eastmoney.com/a/202603313690917113.html"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"https://finance.sina.com.cn/roll/2026-04-20/doc-inhvczzy6787785.shtml"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。9家AIC总注册资本1485亿元</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"http://finance.ce.cn/bank12/scroll/202603/t20260330_2864534.shtml"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722D2F38">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AIC与对公业务的战略联动正在走向前台。工行张守川表示，要深度联动AIC专业投资能力，以培育新质生产力为重点做好科技金融</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"https://www.21jingji.com/article/20260415/herald/4940e4ed8bd6a40e4e10dc0f23fb15d9.html"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5DCECFBF">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传统商行对公负责信贷、AIC进行股权投资</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这一商投协同链路，是当前对公业务从利差搬运工转向企业价值合伙人的首要突破口。</w:t>
      </w:r>
    </w:p>
    <w:p w14:paraId="3B6F9EE6">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Style w:val="26"/>
          <w:rFonts w:hint="default" w:ascii="Segoe UI" w:hAnsi="Segoe UI" w:eastAsia="Segoe UI" w:cs="Segoe UI"/>
          <w:b/>
          <w:bCs/>
          <w:i w:val="0"/>
          <w:iCs w:val="0"/>
          <w:caps w:val="0"/>
          <w:color w:val="0F1115"/>
          <w:spacing w:val="0"/>
          <w:sz w:val="19"/>
          <w:szCs w:val="19"/>
          <w:shd w:val="clear" w:fill="FFFFFF"/>
        </w:rPr>
        <w:t>第二张牌是轻资本补位</w:t>
      </w:r>
      <w:r>
        <w:rPr>
          <w:rStyle w:val="26"/>
          <w:rFonts w:hint="eastAsia" w:ascii="Segoe UI" w:hAnsi="Segoe UI" w:eastAsia="宋体" w:cs="Segoe UI"/>
          <w:b/>
          <w:bCs/>
          <w:i w:val="0"/>
          <w:iCs w:val="0"/>
          <w:caps w:val="0"/>
          <w:color w:val="0F1115"/>
          <w:spacing w:val="0"/>
          <w:sz w:val="19"/>
          <w:szCs w:val="19"/>
          <w:shd w:val="clear" w:fill="FFFFFF"/>
          <w:lang w:eastAsia="zh-CN"/>
        </w:rPr>
        <w:t>，</w:t>
      </w:r>
      <w:r>
        <w:rPr>
          <w:rStyle w:val="26"/>
          <w:rFonts w:hint="default" w:ascii="Segoe UI" w:hAnsi="Segoe UI" w:eastAsia="Segoe UI" w:cs="Segoe UI"/>
          <w:b/>
          <w:bCs/>
          <w:i w:val="0"/>
          <w:iCs w:val="0"/>
          <w:caps w:val="0"/>
          <w:color w:val="0F1115"/>
          <w:spacing w:val="0"/>
          <w:sz w:val="19"/>
          <w:szCs w:val="19"/>
          <w:shd w:val="clear" w:fill="FFFFFF"/>
        </w:rPr>
        <w:t>财富管理、投行、托管。</w:t>
      </w:r>
    </w:p>
    <w:p w14:paraId="24C1EB77">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当息差进入1%时代，</w:t>
      </w:r>
      <w:r>
        <w:rPr>
          <w:rFonts w:hint="default" w:ascii="Segoe UI" w:hAnsi="Segoe UI" w:eastAsia="Segoe UI" w:cs="Segoe UI"/>
          <w:b/>
          <w:bCs/>
          <w:i w:val="0"/>
          <w:iCs w:val="0"/>
          <w:caps w:val="0"/>
          <w:color w:val="0F1115"/>
          <w:spacing w:val="0"/>
          <w:sz w:val="19"/>
          <w:szCs w:val="19"/>
          <w:shd w:val="clear" w:fill="FFFFFF"/>
        </w:rPr>
        <w:t>中收已成为增速突围的核心变量。</w:t>
      </w:r>
      <w:r>
        <w:rPr>
          <w:rFonts w:hint="default" w:ascii="Segoe UI" w:hAnsi="Segoe UI" w:eastAsia="Segoe UI" w:cs="Segoe UI"/>
          <w:i w:val="0"/>
          <w:iCs w:val="0"/>
          <w:caps w:val="0"/>
          <w:color w:val="0F1115"/>
          <w:spacing w:val="0"/>
          <w:sz w:val="19"/>
          <w:szCs w:val="19"/>
          <w:shd w:val="clear" w:fill="FFFFFF"/>
        </w:rPr>
        <w:t>多家银行2026年工作会议已将提高财富管理、交易银行、投行、托管业务的中收贡献写入年度战略核心</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"https://paper.cnstock.com/html/2026-02/02/content_2177136.htm"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"https://app.xinhuanet.com/news/article.html?articleId=55b826bbad19454d92f554f08e332c0f"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。某股份行北京分行明确表示，着力提升中收以应对息差压力，改善盈利格局</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"https://app.xinhuanet.com/news/article.html?articleId=55b826bbad19454d92f554f08e332c0f"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4AA3F95B">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考核体系的变化则更具实质意义。某国有大行北京分行2026年已将零售考核重心从存款转向理财、基金、保险、信托等非息产品的销售，并同步加重AUM与私行客户的拓展任务</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"https://app.xinhuanet.com/news/article.html?articleId=55b826bbad19454d92f554f08e332c0f"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4B23D83D">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总行层面，交通银行2025年成立财富管理部，系统搭建差异化竞争力</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"https://app.xinhuanet.com/news/article.html?articleId=55b826bbad19454d92f554f08e332c0f"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。这些指标映射出银行正从融资中介向资本服务角色转变</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从一次性的信贷业务延伸为客户全生命周期的综合金融顾问。</w:t>
      </w:r>
    </w:p>
    <w:p w14:paraId="437A9F6E">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Style w:val="26"/>
          <w:rFonts w:hint="default" w:ascii="Segoe UI" w:hAnsi="Segoe UI" w:eastAsia="Segoe UI" w:cs="Segoe UI"/>
          <w:b/>
          <w:bCs/>
          <w:i w:val="0"/>
          <w:iCs w:val="0"/>
          <w:caps w:val="0"/>
          <w:color w:val="0F1115"/>
          <w:spacing w:val="0"/>
          <w:sz w:val="19"/>
          <w:szCs w:val="19"/>
          <w:shd w:val="clear" w:fill="FFFFFF"/>
        </w:rPr>
        <w:t>第三张牌是产业纵深</w:t>
      </w:r>
      <w:r>
        <w:rPr>
          <w:rStyle w:val="26"/>
          <w:rFonts w:hint="eastAsia" w:ascii="Segoe UI" w:hAnsi="Segoe UI" w:eastAsia="宋体" w:cs="Segoe UI"/>
          <w:b/>
          <w:bCs/>
          <w:i w:val="0"/>
          <w:iCs w:val="0"/>
          <w:caps w:val="0"/>
          <w:color w:val="0F1115"/>
          <w:spacing w:val="0"/>
          <w:sz w:val="19"/>
          <w:szCs w:val="19"/>
          <w:shd w:val="clear" w:fill="FFFFFF"/>
          <w:lang w:eastAsia="zh-CN"/>
        </w:rPr>
        <w:t>，</w:t>
      </w:r>
      <w:r>
        <w:rPr>
          <w:rStyle w:val="26"/>
          <w:rFonts w:hint="default" w:ascii="Segoe UI" w:hAnsi="Segoe UI" w:eastAsia="Segoe UI" w:cs="Segoe UI"/>
          <w:b/>
          <w:bCs/>
          <w:i w:val="0"/>
          <w:iCs w:val="0"/>
          <w:caps w:val="0"/>
          <w:color w:val="0F1115"/>
          <w:spacing w:val="0"/>
          <w:sz w:val="19"/>
          <w:szCs w:val="19"/>
          <w:shd w:val="clear" w:fill="FFFFFF"/>
        </w:rPr>
        <w:t>政信、供应链和科技金融资产。</w:t>
      </w:r>
    </w:p>
    <w:p w14:paraId="3BF25EDB">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科技贷款、政信类贷款、制造业贷款是2026年银行对公投放的三大结构性支柱。据中泰证券预测，上述三条主线贯穿全年贷款布局：国家发改委两重建设项目清单加速撬动了地方政府配套信贷；传统产业固本升级释放5年10万亿市场空间；全国工业中长期贷款占比不到15%，高新技术企业贷款占比仅10%，仍有长足的增长潜力</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"http://stockfinance.sina.cn/stock/go.php/paper/reportid/823159771509/index.phtml?vt=4"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1A0E49AE">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南京银行印证了这一方向</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2026年对公投放节奏符合预期、整体好于去年，下一阶段将紧密围绕江苏十五五重点任务，继续做深本土市场并强化特色业务</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"http://dianzibao.cb.com.cn/html/2026-03/23/content_339658.htm?div=-1"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757A5E7C">
      <w:pPr>
        <w:pStyle w:val="4"/>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384" w:beforeAutospacing="0" w:after="192" w:afterAutospacing="0" w:line="360" w:lineRule="atLeast"/>
        <w:ind w:left="0" w:right="0" w:firstLine="0" w:firstLineChars="0"/>
        <w:textAlignment w:val="baseline"/>
        <w:rPr>
          <w:rFonts w:hint="eastAsia" w:ascii="Segoe UI" w:hAnsi="Segoe UI" w:eastAsia="宋体" w:cs="Segoe UI"/>
          <w:b/>
          <w:bCs/>
          <w:caps w:val="0"/>
          <w:color w:val="0F1115"/>
          <w:spacing w:val="0"/>
          <w:sz w:val="24"/>
          <w:szCs w:val="24"/>
          <w:lang w:eastAsia="zh-CN"/>
        </w:rPr>
      </w:pPr>
      <w:r>
        <w:rPr>
          <w:rFonts w:hint="default" w:ascii="Segoe UI" w:hAnsi="Segoe UI" w:eastAsia="Segoe UI" w:cs="Segoe UI"/>
          <w:b/>
          <w:bCs/>
          <w:caps w:val="0"/>
          <w:color w:val="0F1115"/>
          <w:spacing w:val="0"/>
          <w:sz w:val="24"/>
          <w:szCs w:val="24"/>
          <w:shd w:val="clear" w:fill="FFFFFF"/>
        </w:rPr>
        <w:t>银行对公的芯片级攻防</w:t>
      </w:r>
    </w:p>
    <w:p w14:paraId="474555BF">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当定价和产品差异难以拉开，技术壁垒成为对公业务核心竞争力的新变量。</w:t>
      </w:r>
    </w:p>
    <w:p w14:paraId="4EB6CBAC">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智能司库建设已成为大行与股份行对公科技投入的第一落点。浦发银行2026年初发布北斗司库四行三版产品体系，聚焦国资国企、供应链金融、科技金融、跨境金融四核心场景，推出适配大型集团与中小微企业的三档差异化版本</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"https://fcc.com.cn/art/kjzx/68/13143.shtml"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7484C585">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浦发银行亦在2025年10月发布人工智能应用岗（司库方向）招聘，旨在将司库业务前端与AI全流程整合。</w:t>
      </w:r>
    </w:p>
    <w:p w14:paraId="7F38223C">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招商银行以CBS财资管理云系统为旗舰，已为多家大型国企落地司库解决方案，实现资金集中管控、智能调度和全流程风险管理</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"https://www.financialnews.com.cn/2026-03/26/content_446019.html"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。青岛某头部国企在该行支持下，由原先分散账户管理转向集团级实时可视与可调度，并拿下青岛唯一年度地方司库建设标杆企业司南奖</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"https://www.financialnews.com.cn/2026-03/26/content_446019.html"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15DFE0C3">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交通银行亦以蕴通司库为核心，围绕央国企构建1+3+N智慧司库服务体系，助力企业实现资金穿透式管理。司库正在成为银行切入企业现金管理的芯片入口</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能够接入客户核心财务系统，就获得了企业财务决策过程中的数据与信任。</w:t>
      </w:r>
    </w:p>
    <w:p w14:paraId="664192A1">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Style w:val="26"/>
          <w:rFonts w:hint="default" w:ascii="Segoe UI" w:hAnsi="Segoe UI" w:eastAsia="Segoe UI" w:cs="Segoe UI"/>
          <w:b/>
          <w:bCs/>
          <w:i w:val="0"/>
          <w:iCs w:val="0"/>
          <w:caps w:val="0"/>
          <w:color w:val="0F1115"/>
          <w:spacing w:val="0"/>
          <w:sz w:val="19"/>
          <w:szCs w:val="19"/>
          <w:shd w:val="clear" w:fill="FFFFFF"/>
        </w:rPr>
        <w:t>一个更具标志性的数字是AI渗透率。</w:t>
      </w:r>
      <w:r>
        <w:rPr>
          <w:rFonts w:hint="default" w:ascii="Segoe UI" w:hAnsi="Segoe UI" w:eastAsia="Segoe UI" w:cs="Segoe UI"/>
          <w:i w:val="0"/>
          <w:iCs w:val="0"/>
          <w:caps w:val="0"/>
          <w:color w:val="0F1115"/>
          <w:spacing w:val="0"/>
          <w:sz w:val="19"/>
          <w:szCs w:val="19"/>
          <w:shd w:val="clear" w:fill="FFFFFF"/>
        </w:rPr>
        <w:t> 在浦发银行等机构的探索中，AI已进入司库核心流程</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利用大语言模型做企业资金的风险预警、现金流预测、跨境资金合规审查。这让司库从一个管钱的工具演化成预判风险+主动决策的智能中枢。</w:t>
      </w:r>
    </w:p>
    <w:p w14:paraId="55A598F4">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更深层的变革在于业务流程的AI重构。交通银行明确2026年要深入推进人工智能+行动，通过AI技术重构业务流程、创新服务模式，进一步支撑管理决策、赋能一线发展、促进价值创造</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"https://app.xinhuanet.com/news/article.html?articleId=55b826bbad19454d92f554f08e332c0f"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。柜面授权业务通过AI预审大幅提速，国际结算效率通过流程自动化提升20%以上，信审助手正从辅助工具成长为半自主审批决策支持系统</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AI正在全面洗牌传统对公业务的运营模式。</w:t>
      </w:r>
    </w:p>
    <w:p w14:paraId="3B25D2F7">
      <w:pPr>
        <w:pStyle w:val="4"/>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384" w:beforeAutospacing="0" w:after="192" w:afterAutospacing="0" w:line="360" w:lineRule="atLeast"/>
        <w:ind w:left="0" w:right="0" w:firstLine="0" w:firstLineChars="0"/>
        <w:textAlignment w:val="baseline"/>
        <w:rPr>
          <w:rFonts w:hint="eastAsia" w:ascii="Segoe UI" w:hAnsi="Segoe UI" w:eastAsia="宋体" w:cs="Segoe UI"/>
          <w:b/>
          <w:bCs/>
          <w:caps w:val="0"/>
          <w:color w:val="0F1115"/>
          <w:spacing w:val="0"/>
          <w:sz w:val="24"/>
          <w:szCs w:val="24"/>
          <w:lang w:eastAsia="zh-CN"/>
        </w:rPr>
      </w:pPr>
      <w:r>
        <w:rPr>
          <w:rFonts w:hint="default" w:ascii="Segoe UI" w:hAnsi="Segoe UI" w:eastAsia="Segoe UI" w:cs="Segoe UI"/>
          <w:b/>
          <w:bCs/>
          <w:caps w:val="0"/>
          <w:color w:val="0F1115"/>
          <w:spacing w:val="0"/>
          <w:sz w:val="24"/>
          <w:szCs w:val="24"/>
          <w:shd w:val="clear" w:fill="FFFFFF"/>
        </w:rPr>
        <w:t>全生命周期价值管理</w:t>
      </w:r>
      <w:r>
        <w:rPr>
          <w:rFonts w:hint="eastAsia" w:ascii="Segoe UI" w:hAnsi="Segoe UI" w:cs="Segoe UI"/>
          <w:b/>
          <w:bCs/>
          <w:caps w:val="0"/>
          <w:color w:val="0F1115"/>
          <w:spacing w:val="0"/>
          <w:sz w:val="24"/>
          <w:szCs w:val="24"/>
          <w:shd w:val="clear" w:fill="FFFFFF"/>
          <w:lang w:val="en-US" w:eastAsia="zh-CN"/>
        </w:rPr>
        <w:t xml:space="preserve"> </w:t>
      </w:r>
      <w:r>
        <w:rPr>
          <w:rFonts w:hint="default" w:ascii="Segoe UI" w:hAnsi="Segoe UI" w:eastAsia="Segoe UI" w:cs="Segoe UI"/>
          <w:b/>
          <w:bCs/>
          <w:caps w:val="0"/>
          <w:color w:val="0F1115"/>
          <w:spacing w:val="0"/>
          <w:sz w:val="24"/>
          <w:szCs w:val="24"/>
          <w:shd w:val="clear" w:fill="FFFFFF"/>
        </w:rPr>
        <w:t>从做贷款到做客户</w:t>
      </w:r>
    </w:p>
    <w:p w14:paraId="77A98D6A">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当对公竞争进入结构精耕阶段，单点项目制打法已逐步让位于全生命周期的客户价值管理。</w:t>
      </w:r>
    </w:p>
    <w:p w14:paraId="20516373">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传统模式下，银行对公向企业发放贷款，赚取净息差。但在低利率和弱信贷需求环境下，利差不断收窄，单笔贷款的收益无法覆盖综合成本。</w:t>
      </w:r>
    </w:p>
    <w:p w14:paraId="22C03E0B">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银行开始转向交易银行+投行+财富管理的综合变现模式</w:t>
      </w:r>
      <w:r>
        <w:rPr>
          <w:rFonts w:hint="default" w:ascii="Segoe UI" w:hAnsi="Segoe UI" w:eastAsia="Segoe UI" w:cs="Segoe UI"/>
          <w:i w:val="0"/>
          <w:iCs w:val="0"/>
          <w:caps w:val="0"/>
          <w:color w:val="0F1115"/>
          <w:spacing w:val="0"/>
          <w:sz w:val="19"/>
          <w:szCs w:val="19"/>
          <w:shd w:val="clear" w:fill="FFFFFF"/>
        </w:rPr>
        <w:t>：通过司库管理沉淀企业活期存款及结算流水，AIC及投贷联动提供长线资本对接，财资与财富业务满足企业主及高管的资本保值增值需求，托管与并购融资等轻资本业务提升中收。</w:t>
      </w:r>
    </w:p>
    <w:p w14:paraId="7976FAD8">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这套生态闭环让银行从企业生命周期的一个节点延伸至多个高粘性节点。企业A轮融资到IPO上市，从备付资金管理到海外财资中心建设，银行都有系统级的综合方案支持。在此模型下，单家客户贡献的不再仅是存贷款综合收益，而是AIC端、信贷端、财资管理端、投行端、托管端五位一体的长期价值。</w:t>
      </w:r>
    </w:p>
    <w:p w14:paraId="7EDAF904">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这一模式在建设银行股贷债保租五位一体链条中已经得到验证</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"https://www.21jingji.com/article/20260415/herald/4940e4ed8bd6a40e4e10dc0f23fb15d9.html"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通过对公客户分层与数智化洞察，建行将传统对公客户池分流入股权直投、产业基金、绿色债券承销等不同路径，扩大了全行客户组合的长期价值基底。邮储银行2026年明确提出由卖产品转向做顾问。银行对公业务不再是融资买卖，而是价值合伙人服务。</w:t>
      </w:r>
    </w:p>
    <w:p w14:paraId="7AE5AD1D">
      <w:pPr>
        <w:pStyle w:val="4"/>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384" w:beforeAutospacing="0" w:after="192" w:afterAutospacing="0" w:line="360" w:lineRule="atLeast"/>
        <w:ind w:left="0" w:right="0" w:firstLine="0" w:firstLineChars="0"/>
        <w:textAlignment w:val="baseline"/>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对公赛道上的新分层：战略升维，中小行承压</w:t>
      </w:r>
    </w:p>
    <w:p w14:paraId="3E6AB9A0">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对公业务这场深刻转型，正在加速大行与中小行的分层分化。</w:t>
      </w:r>
    </w:p>
    <w:p w14:paraId="26A642EF">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要打好AIC股权撮合、投贷联动、司库和财富四张综合牌，需要强大的科技投入、投研网络和跨区域客户基础。</w:t>
      </w:r>
      <w:r>
        <w:rPr>
          <w:rFonts w:hint="default" w:ascii="Segoe UI" w:hAnsi="Segoe UI" w:eastAsia="Segoe UI" w:cs="Segoe UI"/>
          <w:b/>
          <w:bCs/>
          <w:i w:val="0"/>
          <w:iCs w:val="0"/>
          <w:caps w:val="0"/>
          <w:color w:val="0F1115"/>
          <w:spacing w:val="0"/>
          <w:sz w:val="19"/>
          <w:szCs w:val="19"/>
          <w:shd w:val="clear" w:fill="FFFFFF"/>
        </w:rPr>
        <w:t>总资产超万亿的国有大行及部分头部股份行，在这些层面拥有绝对先发优势</w:t>
      </w:r>
      <w:r>
        <w:rPr>
          <w:rFonts w:hint="default" w:ascii="Segoe UI" w:hAnsi="Segoe UI" w:eastAsia="Segoe UI" w:cs="Segoe UI"/>
          <w:i w:val="0"/>
          <w:iCs w:val="0"/>
          <w:caps w:val="0"/>
          <w:color w:val="0F1115"/>
          <w:spacing w:val="0"/>
          <w:sz w:val="19"/>
          <w:szCs w:val="19"/>
          <w:shd w:val="clear" w:fill="FFFFFF"/>
        </w:rPr>
        <w:t>。而多数城商行和农商行由于区域覆盖有限、客户集中度高且资本工具单一，差距正在拉大。</w:t>
      </w:r>
    </w:p>
    <w:p w14:paraId="04EB4D6E">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监管部门的倾斜性政策也在强化这一格局。《关于进一步扩大金融资产投资公司股权投资试点的通知》目前已落地9家AIC，全部位于国有六大行及头部股份行之中</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"http://finance.ce.cn/bank12/scroll/202603/t20260330_2864534.shtml"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。中小银行无法获取股权直投牌照，只能在传统授信端单一竞争。当头部行在不断拓宽服务纵深和产品矩阵的同时，中小行面对的对公挑战将会愈发剧烈。</w:t>
      </w:r>
    </w:p>
    <w:p w14:paraId="08876BA1">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2025年上半年，五大行对公贷款在总量绝对规模上与其他银行的差距进一步拉大。加上南京银行等区域头部城商行深耕本土、十五五重大产业项目带动增长，分层趋势已经清晰可见</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优秀区域行保持增速，大型银行在投商行协同和司库服务维度构筑壁垒，而大量中小型城商、农商行仍处于单一息差依赖和同质化低效竞争之中，经营压力继续累积。</w:t>
      </w:r>
    </w:p>
    <w:p w14:paraId="3BC9EE73">
      <w:pPr>
        <w:pStyle w:val="4"/>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384" w:beforeAutospacing="0" w:after="192" w:afterAutospacing="0" w:line="360" w:lineRule="atLeast"/>
        <w:ind w:left="0" w:right="0" w:firstLine="0" w:firstLineChars="0"/>
        <w:textAlignment w:val="baseline"/>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定价锚变了，模式也变了</w:t>
      </w:r>
    </w:p>
    <w:p w14:paraId="35ED442D">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对公服务正在摆脱粗放增长的低价竞争阶段，进入精细化综合价值管理的新周期。对公新发放贷款利率连续8个月环比不再下行，是市场边际定价的硬见底</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"http://stockfinance.sina.cn/stock/go.php/paper/reportid/830138952453/index.phtml?vt=4"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；息差年内向上拐点基本确立，是评估方法变革的先兆</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"http://stockfinance.sina.cn/stock/go.php/paper/reportid/830138952453/index.phtml?vt=4"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67217558">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192"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利率自律底已取代LPR单边下滑成为新常态，一切围绕低净息差的薄利竞争都是短视的。银行对新客户的价值判断，不再是一年贡献多少存贷利润，而是全生命周期贡献的AUM、中收、托管、投承托综合产值</w:t>
      </w:r>
      <w:r>
        <w:rPr>
          <w:rFonts w:hint="eastAsia" w:ascii="Segoe UI" w:hAnsi="Segoe UI" w:eastAsia="宋体" w:cs="Segoe UI"/>
          <w:i w:val="0"/>
          <w:iCs w:val="0"/>
          <w:caps w:val="0"/>
          <w:color w:val="0F1115"/>
          <w:spacing w:val="0"/>
          <w:sz w:val="19"/>
          <w:szCs w:val="19"/>
          <w:shd w:val="clear" w:fill="FFFFFF"/>
          <w:lang w:eastAsia="zh-CN"/>
        </w:rPr>
        <w:t>，</w:t>
      </w:r>
      <w:r>
        <w:rPr>
          <w:rStyle w:val="26"/>
          <w:rFonts w:hint="default" w:ascii="Segoe UI" w:hAnsi="Segoe UI" w:eastAsia="Segoe UI" w:cs="Segoe UI"/>
          <w:b/>
          <w:bCs/>
          <w:i w:val="0"/>
          <w:iCs w:val="0"/>
          <w:caps w:val="0"/>
          <w:color w:val="0F1115"/>
          <w:spacing w:val="0"/>
          <w:sz w:val="19"/>
          <w:szCs w:val="19"/>
          <w:shd w:val="clear" w:fill="FFFFFF"/>
        </w:rPr>
        <w:t>当综合贡献成为定价重心，对公业务才算真正蜕变为现代商业银行的核心发动机。</w:t>
      </w:r>
    </w:p>
    <w:p w14:paraId="29DF33A0">
      <w:pPr>
        <w:pStyle w:val="21"/>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92" w:beforeAutospacing="0" w:after="0" w:afterAutospacing="0"/>
        <w:ind w:left="0" w:right="0" w:firstLine="0" w:firstLineChars="0"/>
        <w:textAlignment w:val="baseline"/>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从资金搬运工到价值合伙人</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这不是一句口号，而是银行未来十年的结构性答案。当精耕时代开启，凡是用旧模式走量不走心的银行，终将被企业客户和时代淘汰。</w:t>
      </w:r>
    </w:p>
    <w:p w14:paraId="772AB7E8">
      <w:pPr>
        <w:keepNext w:val="0"/>
        <w:keepLines w:val="0"/>
        <w:pageBreakBefore w:val="0"/>
        <w:widowControl/>
        <w:kinsoku w:val="0"/>
        <w:wordWrap/>
        <w:overflowPunct/>
        <w:topLinePunct w:val="0"/>
        <w:autoSpaceDE w:val="0"/>
        <w:autoSpaceDN w:val="0"/>
        <w:bidi w:val="0"/>
        <w:adjustRightInd w:val="0"/>
        <w:snapToGrid w:val="0"/>
        <w:ind w:firstLine="0" w:firstLineChars="0"/>
        <w:textAlignment w:val="baseline"/>
      </w:pPr>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151">
      <wne:acd wne:acdName="acd0"/>
    </wne:keymap>
    <wne:keymap wne:kcmPrimary="0432">
      <wne:acd wne:acdName="acd1"/>
    </wne:keymap>
  </wne:keymaps>
  <wne:acds>
    <wne:acd wne:argValue="AQAAAAEA" wne:acdName="acd0" wne:fciIndexBasedOn="0065"/>
    <wne:acd wne:argValue="AQAAAAIA" wne:acdName="acd1"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02"/>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8B17FF"/>
    <w:multiLevelType w:val="singleLevel"/>
    <w:tmpl w:val="C78B17FF"/>
    <w:lvl w:ilvl="0" w:tentative="0">
      <w:start w:val="1"/>
      <w:numFmt w:val="decimal"/>
      <w:pStyle w:val="47"/>
      <w:suff w:val="space"/>
      <w:lvlText w:val="[%1]"/>
      <w:lvlJc w:val="left"/>
      <w:pPr>
        <w:tabs>
          <w:tab w:val="left" w:pos="0"/>
        </w:tabs>
      </w:pPr>
      <w:rPr>
        <w:rFonts w:hint="default"/>
      </w:rPr>
    </w:lvl>
  </w:abstractNum>
  <w:abstractNum w:abstractNumId="1">
    <w:nsid w:val="D4C22AF2"/>
    <w:multiLevelType w:val="multilevel"/>
    <w:tmpl w:val="D4C22AF2"/>
    <w:lvl w:ilvl="0" w:tentative="0">
      <w:start w:val="1"/>
      <w:numFmt w:val="decimal"/>
      <w:suff w:val="nothing"/>
      <w:lvlText w:val="%1 "/>
      <w:lvlJc w:val="left"/>
      <w:pPr>
        <w:tabs>
          <w:tab w:val="left" w:pos="0"/>
        </w:tabs>
        <w:ind w:left="0" w:leftChars="0" w:firstLine="0" w:firstLineChars="0"/>
      </w:pPr>
      <w:rPr>
        <w:rFonts w:hint="default"/>
      </w:rPr>
    </w:lvl>
    <w:lvl w:ilvl="1" w:tentative="0">
      <w:start w:val="1"/>
      <w:numFmt w:val="decimal"/>
      <w:suff w:val="nothing"/>
      <w:lvlText w:val="%1.%2 "/>
      <w:lvlJc w:val="left"/>
      <w:pPr>
        <w:tabs>
          <w:tab w:val="left" w:pos="0"/>
        </w:tabs>
        <w:ind w:left="575" w:hanging="575"/>
      </w:pPr>
      <w:rPr>
        <w:rFonts w:hint="default" w:ascii="宋体" w:hAnsi="宋体" w:eastAsia="宋体" w:cs="宋体"/>
      </w:rPr>
    </w:lvl>
    <w:lvl w:ilvl="2" w:tentative="0">
      <w:start w:val="1"/>
      <w:numFmt w:val="decimal"/>
      <w:suff w:val="nothing"/>
      <w:lvlText w:val="%1.%2.%3 "/>
      <w:lvlJc w:val="left"/>
      <w:pPr>
        <w:tabs>
          <w:tab w:val="left" w:pos="0"/>
        </w:tabs>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7"/>
      <w:lvlText w:val="%1.%2.%3.%4.%5."/>
      <w:lvlJc w:val="left"/>
      <w:pPr>
        <w:ind w:left="1008" w:hanging="1008"/>
      </w:pPr>
      <w:rPr>
        <w:rFonts w:hint="default"/>
      </w:rPr>
    </w:lvl>
    <w:lvl w:ilvl="5" w:tentative="0">
      <w:start w:val="1"/>
      <w:numFmt w:val="decimal"/>
      <w:pStyle w:val="8"/>
      <w:lvlText w:val="%1.%2.%3.%4.%5.%6."/>
      <w:lvlJc w:val="left"/>
      <w:pPr>
        <w:ind w:left="1151" w:hanging="1151"/>
      </w:pPr>
      <w:rPr>
        <w:rFonts w:hint="default"/>
      </w:rPr>
    </w:lvl>
    <w:lvl w:ilvl="6" w:tentative="0">
      <w:start w:val="1"/>
      <w:numFmt w:val="decimal"/>
      <w:pStyle w:val="9"/>
      <w:lvlText w:val="%1.%2.%3.%4.%5.%6.%7."/>
      <w:lvlJc w:val="left"/>
      <w:pPr>
        <w:ind w:left="1296" w:hanging="1296"/>
      </w:pPr>
      <w:rPr>
        <w:rFonts w:hint="default"/>
      </w:rPr>
    </w:lvl>
    <w:lvl w:ilvl="7" w:tentative="0">
      <w:start w:val="1"/>
      <w:numFmt w:val="decimal"/>
      <w:pStyle w:val="10"/>
      <w:lvlText w:val="%1.%2.%3.%4.%5.%6.%7.%8."/>
      <w:lvlJc w:val="left"/>
      <w:pPr>
        <w:ind w:left="1440" w:hanging="1440"/>
      </w:pPr>
      <w:rPr>
        <w:rFonts w:hint="default"/>
      </w:rPr>
    </w:lvl>
    <w:lvl w:ilvl="8" w:tentative="0">
      <w:start w:val="1"/>
      <w:numFmt w:val="decimal"/>
      <w:pStyle w:val="11"/>
      <w:lvlText w:val="%1.%2.%3.%4.%5.%6.%7.%8.%9."/>
      <w:lvlJc w:val="left"/>
      <w:pPr>
        <w:ind w:left="1583" w:hanging="1583"/>
      </w:pPr>
      <w:rPr>
        <w:rFonts w:hint="default"/>
      </w:rPr>
    </w:lvl>
  </w:abstractNum>
  <w:abstractNum w:abstractNumId="2">
    <w:nsid w:val="EFE2F7AC"/>
    <w:multiLevelType w:val="multilevel"/>
    <w:tmpl w:val="EFE2F7AC"/>
    <w:lvl w:ilvl="0" w:tentative="0">
      <w:start w:val="1"/>
      <w:numFmt w:val="decimal"/>
      <w:pStyle w:val="46"/>
      <w:lvlText w:val="%1"/>
      <w:lvlJc w:val="left"/>
      <w:pPr>
        <w:ind w:left="425" w:hanging="425"/>
      </w:pPr>
      <w:rPr>
        <w:rFonts w:hint="default" w:ascii="微软雅黑" w:hAnsi="微软雅黑" w:eastAsia="微软雅黑"/>
      </w:rPr>
    </w:lvl>
    <w:lvl w:ilvl="1" w:tentative="0">
      <w:start w:val="1"/>
      <w:numFmt w:val="decimal"/>
      <w:lvlText w:val="%1.%2"/>
      <w:lvlJc w:val="left"/>
      <w:pPr>
        <w:ind w:left="567" w:hanging="567"/>
      </w:pPr>
      <w:rPr>
        <w:rFonts w:hint="default" w:ascii="微软雅黑" w:hAnsi="微软雅黑" w:eastAsia="宋体"/>
      </w:rPr>
    </w:lvl>
    <w:lvl w:ilvl="2" w:tentative="0">
      <w:start w:val="1"/>
      <w:numFmt w:val="decimal"/>
      <w:lvlText w:val="%1.%2.%3"/>
      <w:lvlJc w:val="left"/>
      <w:pPr>
        <w:ind w:left="709" w:hanging="709"/>
      </w:pPr>
      <w:rPr>
        <w:rFonts w:hint="default" w:ascii="微软雅黑" w:hAnsi="微软雅黑" w:eastAsia="微软雅黑"/>
      </w:rPr>
    </w:lvl>
    <w:lvl w:ilvl="3" w:tentative="0">
      <w:start w:val="1"/>
      <w:numFmt w:val="decimal"/>
      <w:lvlText w:val="%1.%2.%3.%4."/>
      <w:lvlJc w:val="left"/>
      <w:pPr>
        <w:ind w:left="850" w:hanging="850"/>
      </w:pPr>
      <w:rPr>
        <w:rFonts w:hint="default" w:ascii="微软雅黑" w:hAnsi="微软雅黑" w:eastAsia="微软雅黑"/>
      </w:rPr>
    </w:lvl>
    <w:lvl w:ilvl="4" w:tentative="0">
      <w:start w:val="1"/>
      <w:numFmt w:val="decimal"/>
      <w:lvlText w:val="%1.%2.%3.%4.%5."/>
      <w:lvlJc w:val="left"/>
      <w:pPr>
        <w:ind w:left="991" w:hanging="991"/>
      </w:pPr>
      <w:rPr>
        <w:rFonts w:hint="default" w:ascii="微软雅黑" w:hAnsi="微软雅黑" w:eastAsia="微软雅黑"/>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3">
    <w:nsid w:val="FACE2DB4"/>
    <w:multiLevelType w:val="singleLevel"/>
    <w:tmpl w:val="FACE2DB4"/>
    <w:lvl w:ilvl="0" w:tentative="0">
      <w:start w:val="1"/>
      <w:numFmt w:val="decimal"/>
      <w:pStyle w:val="55"/>
      <w:lvlText w:val="图4-%1"/>
      <w:lvlJc w:val="left"/>
      <w:pPr>
        <w:tabs>
          <w:tab w:val="left" w:pos="567"/>
        </w:tabs>
        <w:ind w:left="0" w:leftChars="0" w:firstLine="0" w:firstLineChars="0"/>
      </w:pPr>
      <w:rPr>
        <w:rFont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A029C"/>
    <w:rsid w:val="001F3403"/>
    <w:rsid w:val="002506FA"/>
    <w:rsid w:val="002B59D3"/>
    <w:rsid w:val="00CB3C44"/>
    <w:rsid w:val="00CD3778"/>
    <w:rsid w:val="00F275F0"/>
    <w:rsid w:val="015A69DF"/>
    <w:rsid w:val="01A43D9C"/>
    <w:rsid w:val="01A77B35"/>
    <w:rsid w:val="01D23333"/>
    <w:rsid w:val="01E67C51"/>
    <w:rsid w:val="020E1A24"/>
    <w:rsid w:val="02937356"/>
    <w:rsid w:val="02B60C69"/>
    <w:rsid w:val="02DB3572"/>
    <w:rsid w:val="03250E34"/>
    <w:rsid w:val="032B0EBC"/>
    <w:rsid w:val="039713C7"/>
    <w:rsid w:val="03A4723E"/>
    <w:rsid w:val="03CC7FEE"/>
    <w:rsid w:val="04106BDD"/>
    <w:rsid w:val="047E1B60"/>
    <w:rsid w:val="048D4B54"/>
    <w:rsid w:val="04C500CA"/>
    <w:rsid w:val="04E41CE1"/>
    <w:rsid w:val="05244516"/>
    <w:rsid w:val="057B460B"/>
    <w:rsid w:val="058B2A44"/>
    <w:rsid w:val="05A33BF0"/>
    <w:rsid w:val="05DA2561"/>
    <w:rsid w:val="062C5D5F"/>
    <w:rsid w:val="06752E14"/>
    <w:rsid w:val="068D7423"/>
    <w:rsid w:val="074946C8"/>
    <w:rsid w:val="07C713FA"/>
    <w:rsid w:val="08B017DE"/>
    <w:rsid w:val="09483977"/>
    <w:rsid w:val="099072AF"/>
    <w:rsid w:val="09A07101"/>
    <w:rsid w:val="09AF2E8B"/>
    <w:rsid w:val="0A4047F0"/>
    <w:rsid w:val="0A48594F"/>
    <w:rsid w:val="0AB47859"/>
    <w:rsid w:val="0B177CD5"/>
    <w:rsid w:val="0B2F2881"/>
    <w:rsid w:val="0BC72059"/>
    <w:rsid w:val="0BCB5B13"/>
    <w:rsid w:val="0BCF5FF3"/>
    <w:rsid w:val="0BD9123D"/>
    <w:rsid w:val="0BE37DF5"/>
    <w:rsid w:val="0C311396"/>
    <w:rsid w:val="0C5C5076"/>
    <w:rsid w:val="0C692CAD"/>
    <w:rsid w:val="0CA16899"/>
    <w:rsid w:val="0D681B8E"/>
    <w:rsid w:val="0D9F3011"/>
    <w:rsid w:val="0DE43478"/>
    <w:rsid w:val="0DEE56BA"/>
    <w:rsid w:val="0E306947"/>
    <w:rsid w:val="0E9F4874"/>
    <w:rsid w:val="0EAC08FD"/>
    <w:rsid w:val="0EE07D03"/>
    <w:rsid w:val="0F1F3A83"/>
    <w:rsid w:val="0F2C385D"/>
    <w:rsid w:val="0F3B7E78"/>
    <w:rsid w:val="0F587B28"/>
    <w:rsid w:val="0FDB387C"/>
    <w:rsid w:val="10160593"/>
    <w:rsid w:val="10284EE7"/>
    <w:rsid w:val="103234C6"/>
    <w:rsid w:val="10790217"/>
    <w:rsid w:val="11366F3E"/>
    <w:rsid w:val="11420290"/>
    <w:rsid w:val="118424E6"/>
    <w:rsid w:val="11F80CB0"/>
    <w:rsid w:val="126C0647"/>
    <w:rsid w:val="127B49BD"/>
    <w:rsid w:val="128A65A2"/>
    <w:rsid w:val="12961468"/>
    <w:rsid w:val="130C45D2"/>
    <w:rsid w:val="134B7000"/>
    <w:rsid w:val="13511BBE"/>
    <w:rsid w:val="13EE7251"/>
    <w:rsid w:val="14185CAF"/>
    <w:rsid w:val="14454DAD"/>
    <w:rsid w:val="145B29CE"/>
    <w:rsid w:val="151D4243"/>
    <w:rsid w:val="151F5A1F"/>
    <w:rsid w:val="15FC123B"/>
    <w:rsid w:val="16650F55"/>
    <w:rsid w:val="169A3FAE"/>
    <w:rsid w:val="16A71FAA"/>
    <w:rsid w:val="17B108CB"/>
    <w:rsid w:val="17F964D3"/>
    <w:rsid w:val="17FE5D44"/>
    <w:rsid w:val="180D588B"/>
    <w:rsid w:val="18545193"/>
    <w:rsid w:val="185736BF"/>
    <w:rsid w:val="188F1F1C"/>
    <w:rsid w:val="18A3688F"/>
    <w:rsid w:val="18B90D7E"/>
    <w:rsid w:val="195B507D"/>
    <w:rsid w:val="19B90824"/>
    <w:rsid w:val="19BE7C49"/>
    <w:rsid w:val="19CD1D13"/>
    <w:rsid w:val="1AB142A0"/>
    <w:rsid w:val="1AE46932"/>
    <w:rsid w:val="1B120167"/>
    <w:rsid w:val="1B841991"/>
    <w:rsid w:val="1B9510AD"/>
    <w:rsid w:val="1BE428CB"/>
    <w:rsid w:val="1BE438B9"/>
    <w:rsid w:val="1C1E21F6"/>
    <w:rsid w:val="1C250273"/>
    <w:rsid w:val="1C2F0AC3"/>
    <w:rsid w:val="1C6C2094"/>
    <w:rsid w:val="1CA0747F"/>
    <w:rsid w:val="1CCC4063"/>
    <w:rsid w:val="1CF159FF"/>
    <w:rsid w:val="1D3F0444"/>
    <w:rsid w:val="1D547AAF"/>
    <w:rsid w:val="1DC91D6E"/>
    <w:rsid w:val="1E2A28EC"/>
    <w:rsid w:val="1E3836E8"/>
    <w:rsid w:val="1E5E09D7"/>
    <w:rsid w:val="1E7249D5"/>
    <w:rsid w:val="1E8258F9"/>
    <w:rsid w:val="1E8B65A8"/>
    <w:rsid w:val="1EC271F2"/>
    <w:rsid w:val="1EED04D9"/>
    <w:rsid w:val="1FA64B1C"/>
    <w:rsid w:val="1FB92215"/>
    <w:rsid w:val="2014438F"/>
    <w:rsid w:val="20193933"/>
    <w:rsid w:val="202B7144"/>
    <w:rsid w:val="203B6335"/>
    <w:rsid w:val="20971BD3"/>
    <w:rsid w:val="217A1B37"/>
    <w:rsid w:val="22025912"/>
    <w:rsid w:val="221423A4"/>
    <w:rsid w:val="2216237D"/>
    <w:rsid w:val="22437F2D"/>
    <w:rsid w:val="229A27C8"/>
    <w:rsid w:val="22CC1220"/>
    <w:rsid w:val="2376267A"/>
    <w:rsid w:val="24991786"/>
    <w:rsid w:val="249E68AC"/>
    <w:rsid w:val="24E011A6"/>
    <w:rsid w:val="252F1318"/>
    <w:rsid w:val="25391977"/>
    <w:rsid w:val="263A3D46"/>
    <w:rsid w:val="265A0F55"/>
    <w:rsid w:val="26995303"/>
    <w:rsid w:val="26A74667"/>
    <w:rsid w:val="26C24DA3"/>
    <w:rsid w:val="27440052"/>
    <w:rsid w:val="277F4129"/>
    <w:rsid w:val="278A1FD7"/>
    <w:rsid w:val="27A50527"/>
    <w:rsid w:val="27D42352"/>
    <w:rsid w:val="280200EF"/>
    <w:rsid w:val="28657B53"/>
    <w:rsid w:val="28894493"/>
    <w:rsid w:val="288D2228"/>
    <w:rsid w:val="28DD7CC7"/>
    <w:rsid w:val="2912123B"/>
    <w:rsid w:val="2985180D"/>
    <w:rsid w:val="29C84DF6"/>
    <w:rsid w:val="2A8146B4"/>
    <w:rsid w:val="2ABC352B"/>
    <w:rsid w:val="2B5602AA"/>
    <w:rsid w:val="2B681F2A"/>
    <w:rsid w:val="2B7037B2"/>
    <w:rsid w:val="2B785E5C"/>
    <w:rsid w:val="2BE41871"/>
    <w:rsid w:val="2BFD7535"/>
    <w:rsid w:val="2C78619D"/>
    <w:rsid w:val="2C836296"/>
    <w:rsid w:val="2CA42CDA"/>
    <w:rsid w:val="2CC97F56"/>
    <w:rsid w:val="2CD00241"/>
    <w:rsid w:val="2CD92B68"/>
    <w:rsid w:val="2D4C0A89"/>
    <w:rsid w:val="2D74468D"/>
    <w:rsid w:val="2D87193E"/>
    <w:rsid w:val="2EB74DCD"/>
    <w:rsid w:val="2ECB0E5F"/>
    <w:rsid w:val="2EE937AE"/>
    <w:rsid w:val="2EF602CE"/>
    <w:rsid w:val="2EF84F00"/>
    <w:rsid w:val="2F086617"/>
    <w:rsid w:val="2F7610DD"/>
    <w:rsid w:val="30130B79"/>
    <w:rsid w:val="304F65E2"/>
    <w:rsid w:val="30922B28"/>
    <w:rsid w:val="30D61664"/>
    <w:rsid w:val="3103797D"/>
    <w:rsid w:val="314459E3"/>
    <w:rsid w:val="320735BB"/>
    <w:rsid w:val="324F1E45"/>
    <w:rsid w:val="32916AD0"/>
    <w:rsid w:val="32942776"/>
    <w:rsid w:val="32D035E7"/>
    <w:rsid w:val="32E8568A"/>
    <w:rsid w:val="330D5210"/>
    <w:rsid w:val="33241CD7"/>
    <w:rsid w:val="33516380"/>
    <w:rsid w:val="337B3084"/>
    <w:rsid w:val="339E023F"/>
    <w:rsid w:val="33C5422D"/>
    <w:rsid w:val="3433272D"/>
    <w:rsid w:val="34427A31"/>
    <w:rsid w:val="34475B03"/>
    <w:rsid w:val="34545F5E"/>
    <w:rsid w:val="34635580"/>
    <w:rsid w:val="35354782"/>
    <w:rsid w:val="35490860"/>
    <w:rsid w:val="35E12C8E"/>
    <w:rsid w:val="360C4BAB"/>
    <w:rsid w:val="365F3090"/>
    <w:rsid w:val="36926BFA"/>
    <w:rsid w:val="369923B0"/>
    <w:rsid w:val="36BD386F"/>
    <w:rsid w:val="36F94157"/>
    <w:rsid w:val="373E7885"/>
    <w:rsid w:val="379E127C"/>
    <w:rsid w:val="37BB0EFF"/>
    <w:rsid w:val="38001ED1"/>
    <w:rsid w:val="385F1BB6"/>
    <w:rsid w:val="38BD549E"/>
    <w:rsid w:val="3A6213AD"/>
    <w:rsid w:val="3A872066"/>
    <w:rsid w:val="3B2E12D2"/>
    <w:rsid w:val="3B4267EB"/>
    <w:rsid w:val="3B7732A3"/>
    <w:rsid w:val="3BF67DB3"/>
    <w:rsid w:val="3C413199"/>
    <w:rsid w:val="3D043BDA"/>
    <w:rsid w:val="3D4845E5"/>
    <w:rsid w:val="3D5D7415"/>
    <w:rsid w:val="3D954890"/>
    <w:rsid w:val="3DA41C67"/>
    <w:rsid w:val="3DBA2D6A"/>
    <w:rsid w:val="3DDD1B25"/>
    <w:rsid w:val="3E5A1BA6"/>
    <w:rsid w:val="3E6671CB"/>
    <w:rsid w:val="3E7C44C3"/>
    <w:rsid w:val="3EAF2378"/>
    <w:rsid w:val="3EC42F0D"/>
    <w:rsid w:val="3F162913"/>
    <w:rsid w:val="408A5219"/>
    <w:rsid w:val="40E4749D"/>
    <w:rsid w:val="41791BBD"/>
    <w:rsid w:val="41867134"/>
    <w:rsid w:val="41AB4010"/>
    <w:rsid w:val="41BF6404"/>
    <w:rsid w:val="41CC0BF5"/>
    <w:rsid w:val="422A026F"/>
    <w:rsid w:val="42884F34"/>
    <w:rsid w:val="4291098B"/>
    <w:rsid w:val="42B6747F"/>
    <w:rsid w:val="434902A0"/>
    <w:rsid w:val="43B600AD"/>
    <w:rsid w:val="44116024"/>
    <w:rsid w:val="4446233C"/>
    <w:rsid w:val="444A4106"/>
    <w:rsid w:val="45A91659"/>
    <w:rsid w:val="460F757E"/>
    <w:rsid w:val="462D6C1B"/>
    <w:rsid w:val="464553D9"/>
    <w:rsid w:val="464E783B"/>
    <w:rsid w:val="46B05D19"/>
    <w:rsid w:val="46F12854"/>
    <w:rsid w:val="46F336A8"/>
    <w:rsid w:val="473E7AE9"/>
    <w:rsid w:val="478916C5"/>
    <w:rsid w:val="47AC5A0E"/>
    <w:rsid w:val="47DE7B5D"/>
    <w:rsid w:val="48027576"/>
    <w:rsid w:val="480E4336"/>
    <w:rsid w:val="48197D55"/>
    <w:rsid w:val="482963CC"/>
    <w:rsid w:val="48567BBA"/>
    <w:rsid w:val="48C651E6"/>
    <w:rsid w:val="48D868DF"/>
    <w:rsid w:val="4911763B"/>
    <w:rsid w:val="493C4382"/>
    <w:rsid w:val="496156B3"/>
    <w:rsid w:val="4982662C"/>
    <w:rsid w:val="499C726F"/>
    <w:rsid w:val="49A800A8"/>
    <w:rsid w:val="49CC4E4A"/>
    <w:rsid w:val="49D36A6F"/>
    <w:rsid w:val="49DD6E6B"/>
    <w:rsid w:val="49F81268"/>
    <w:rsid w:val="4A5C02CB"/>
    <w:rsid w:val="4AB91025"/>
    <w:rsid w:val="4B3A65C3"/>
    <w:rsid w:val="4B4E12A3"/>
    <w:rsid w:val="4C1415C9"/>
    <w:rsid w:val="4C3C52A0"/>
    <w:rsid w:val="4CC2216C"/>
    <w:rsid w:val="4D29482B"/>
    <w:rsid w:val="4D5E0195"/>
    <w:rsid w:val="4DA8622E"/>
    <w:rsid w:val="4DDB2F6B"/>
    <w:rsid w:val="4E716E93"/>
    <w:rsid w:val="4EAA1EE0"/>
    <w:rsid w:val="4F556B17"/>
    <w:rsid w:val="50290A0F"/>
    <w:rsid w:val="503E0E60"/>
    <w:rsid w:val="50716043"/>
    <w:rsid w:val="50C647C0"/>
    <w:rsid w:val="50F42B5F"/>
    <w:rsid w:val="513244C6"/>
    <w:rsid w:val="5157600F"/>
    <w:rsid w:val="515F165B"/>
    <w:rsid w:val="52176C0D"/>
    <w:rsid w:val="521B2258"/>
    <w:rsid w:val="52D229F0"/>
    <w:rsid w:val="52E07598"/>
    <w:rsid w:val="531342F1"/>
    <w:rsid w:val="53165761"/>
    <w:rsid w:val="531A63DD"/>
    <w:rsid w:val="534C7C93"/>
    <w:rsid w:val="53A91B0A"/>
    <w:rsid w:val="53B447E3"/>
    <w:rsid w:val="53F57A7C"/>
    <w:rsid w:val="5414351A"/>
    <w:rsid w:val="54197E99"/>
    <w:rsid w:val="544016A4"/>
    <w:rsid w:val="54604C7D"/>
    <w:rsid w:val="5483286F"/>
    <w:rsid w:val="549C2042"/>
    <w:rsid w:val="549F5861"/>
    <w:rsid w:val="54EA154E"/>
    <w:rsid w:val="552F5A0A"/>
    <w:rsid w:val="555925CB"/>
    <w:rsid w:val="555E131C"/>
    <w:rsid w:val="555E7EC9"/>
    <w:rsid w:val="557A4846"/>
    <w:rsid w:val="55835CD9"/>
    <w:rsid w:val="55A92401"/>
    <w:rsid w:val="55CD5C05"/>
    <w:rsid w:val="55CF10F9"/>
    <w:rsid w:val="55E465DD"/>
    <w:rsid w:val="5622235F"/>
    <w:rsid w:val="56F94885"/>
    <w:rsid w:val="57225D22"/>
    <w:rsid w:val="57434EB8"/>
    <w:rsid w:val="5870380D"/>
    <w:rsid w:val="58BA2F3F"/>
    <w:rsid w:val="59335B42"/>
    <w:rsid w:val="594C23E9"/>
    <w:rsid w:val="5967213C"/>
    <w:rsid w:val="59A820C6"/>
    <w:rsid w:val="59C1539E"/>
    <w:rsid w:val="59DB3E06"/>
    <w:rsid w:val="59F2261A"/>
    <w:rsid w:val="5AE4556F"/>
    <w:rsid w:val="5AEA1C2E"/>
    <w:rsid w:val="5AFB2832"/>
    <w:rsid w:val="5B060359"/>
    <w:rsid w:val="5B2C66AB"/>
    <w:rsid w:val="5B9B4FF1"/>
    <w:rsid w:val="5BAA6E73"/>
    <w:rsid w:val="5BB75528"/>
    <w:rsid w:val="5BFE5405"/>
    <w:rsid w:val="5C7F2933"/>
    <w:rsid w:val="5C8C1C39"/>
    <w:rsid w:val="5CA37385"/>
    <w:rsid w:val="5D5C131E"/>
    <w:rsid w:val="5D834128"/>
    <w:rsid w:val="5DC66198"/>
    <w:rsid w:val="5E0A57D7"/>
    <w:rsid w:val="5E3B0611"/>
    <w:rsid w:val="5E4567B6"/>
    <w:rsid w:val="5E5341F0"/>
    <w:rsid w:val="5E845908"/>
    <w:rsid w:val="5E8A56FD"/>
    <w:rsid w:val="5EB500DD"/>
    <w:rsid w:val="5EB65AE3"/>
    <w:rsid w:val="5F026119"/>
    <w:rsid w:val="5F060EBB"/>
    <w:rsid w:val="5F4D7619"/>
    <w:rsid w:val="5F574DB8"/>
    <w:rsid w:val="5F5937B5"/>
    <w:rsid w:val="609A667C"/>
    <w:rsid w:val="60A206C0"/>
    <w:rsid w:val="60B0308E"/>
    <w:rsid w:val="60EC4890"/>
    <w:rsid w:val="614D2BB5"/>
    <w:rsid w:val="618D5C6B"/>
    <w:rsid w:val="61D61F3C"/>
    <w:rsid w:val="61F80635"/>
    <w:rsid w:val="623612A1"/>
    <w:rsid w:val="62364CF5"/>
    <w:rsid w:val="629249E2"/>
    <w:rsid w:val="637A5353"/>
    <w:rsid w:val="647C54E3"/>
    <w:rsid w:val="64A37553"/>
    <w:rsid w:val="64D23CFE"/>
    <w:rsid w:val="651D3ACA"/>
    <w:rsid w:val="65B913E7"/>
    <w:rsid w:val="65CD384B"/>
    <w:rsid w:val="65E25712"/>
    <w:rsid w:val="65F9319B"/>
    <w:rsid w:val="660065E3"/>
    <w:rsid w:val="66031C41"/>
    <w:rsid w:val="662369C9"/>
    <w:rsid w:val="663C0421"/>
    <w:rsid w:val="663F15CE"/>
    <w:rsid w:val="66457FCD"/>
    <w:rsid w:val="67243570"/>
    <w:rsid w:val="6728083A"/>
    <w:rsid w:val="672C6851"/>
    <w:rsid w:val="6795761D"/>
    <w:rsid w:val="681A6810"/>
    <w:rsid w:val="682E257A"/>
    <w:rsid w:val="68573C08"/>
    <w:rsid w:val="68A240DF"/>
    <w:rsid w:val="68F47BF7"/>
    <w:rsid w:val="68FE7928"/>
    <w:rsid w:val="699A59FC"/>
    <w:rsid w:val="6A072332"/>
    <w:rsid w:val="6A077D43"/>
    <w:rsid w:val="6A0C1AA2"/>
    <w:rsid w:val="6A266C5C"/>
    <w:rsid w:val="6A336057"/>
    <w:rsid w:val="6A401C7B"/>
    <w:rsid w:val="6A443CD9"/>
    <w:rsid w:val="6AAE7116"/>
    <w:rsid w:val="6BAE18B0"/>
    <w:rsid w:val="6BF33F5B"/>
    <w:rsid w:val="6C2C4C83"/>
    <w:rsid w:val="6C587129"/>
    <w:rsid w:val="6D404BA8"/>
    <w:rsid w:val="6D73789E"/>
    <w:rsid w:val="6DA1107A"/>
    <w:rsid w:val="6DD65992"/>
    <w:rsid w:val="6DE45640"/>
    <w:rsid w:val="6DE73CDD"/>
    <w:rsid w:val="6E1814A6"/>
    <w:rsid w:val="6E3A38F3"/>
    <w:rsid w:val="6E573394"/>
    <w:rsid w:val="6EA95512"/>
    <w:rsid w:val="6ED93AA3"/>
    <w:rsid w:val="6F011CC7"/>
    <w:rsid w:val="6F141745"/>
    <w:rsid w:val="6F2135B9"/>
    <w:rsid w:val="700F248B"/>
    <w:rsid w:val="701C1351"/>
    <w:rsid w:val="70270BF5"/>
    <w:rsid w:val="70273C3A"/>
    <w:rsid w:val="707539AD"/>
    <w:rsid w:val="70960DFB"/>
    <w:rsid w:val="70C426AE"/>
    <w:rsid w:val="70E502E8"/>
    <w:rsid w:val="710B1931"/>
    <w:rsid w:val="7156451C"/>
    <w:rsid w:val="71AC5B4C"/>
    <w:rsid w:val="71B82D06"/>
    <w:rsid w:val="721169B3"/>
    <w:rsid w:val="723E4E4F"/>
    <w:rsid w:val="72F44A27"/>
    <w:rsid w:val="73033F5A"/>
    <w:rsid w:val="738B271B"/>
    <w:rsid w:val="73D46CB4"/>
    <w:rsid w:val="73D71451"/>
    <w:rsid w:val="7410466E"/>
    <w:rsid w:val="74104F53"/>
    <w:rsid w:val="743069AD"/>
    <w:rsid w:val="746232DB"/>
    <w:rsid w:val="74CE7B18"/>
    <w:rsid w:val="74D63BBF"/>
    <w:rsid w:val="74F457F1"/>
    <w:rsid w:val="74F8544F"/>
    <w:rsid w:val="750B05EF"/>
    <w:rsid w:val="759A6034"/>
    <w:rsid w:val="75A632A4"/>
    <w:rsid w:val="75A83AFD"/>
    <w:rsid w:val="75DF1923"/>
    <w:rsid w:val="75EA6029"/>
    <w:rsid w:val="76EE1CCF"/>
    <w:rsid w:val="77935DDC"/>
    <w:rsid w:val="77CA2A48"/>
    <w:rsid w:val="77DF4F5D"/>
    <w:rsid w:val="78024BAC"/>
    <w:rsid w:val="78192717"/>
    <w:rsid w:val="7843265A"/>
    <w:rsid w:val="786106CA"/>
    <w:rsid w:val="78C837FD"/>
    <w:rsid w:val="78D93E53"/>
    <w:rsid w:val="78DC157F"/>
    <w:rsid w:val="79652624"/>
    <w:rsid w:val="798D6205"/>
    <w:rsid w:val="79A5003A"/>
    <w:rsid w:val="7A294D85"/>
    <w:rsid w:val="7A9A1DAD"/>
    <w:rsid w:val="7AB362CC"/>
    <w:rsid w:val="7B32448A"/>
    <w:rsid w:val="7B8557C4"/>
    <w:rsid w:val="7C096DF1"/>
    <w:rsid w:val="7CA8740A"/>
    <w:rsid w:val="7CF04147"/>
    <w:rsid w:val="7D3431E5"/>
    <w:rsid w:val="7D6F2271"/>
    <w:rsid w:val="7D974D3C"/>
    <w:rsid w:val="7DBF6A8F"/>
    <w:rsid w:val="7E531884"/>
    <w:rsid w:val="7E610FE3"/>
    <w:rsid w:val="7EAA65BE"/>
    <w:rsid w:val="7F0B1F34"/>
    <w:rsid w:val="7F9E155B"/>
    <w:rsid w:val="7FE43E0D"/>
    <w:rsid w:val="7FE8461C"/>
    <w:rsid w:val="7FF14D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ind w:firstLine="420" w:firstLineChars="200"/>
      <w:jc w:val="both"/>
      <w:textAlignment w:val="baseline"/>
    </w:pPr>
    <w:rPr>
      <w:rFonts w:ascii="Times New Roman" w:hAnsi="Times New Roman" w:eastAsia="宋体" w:cs="Arial"/>
      <w:snapToGrid w:val="0"/>
      <w:color w:val="000000"/>
      <w:kern w:val="0"/>
      <w:sz w:val="24"/>
      <w:szCs w:val="21"/>
      <w:lang w:val="en-US" w:eastAsia="en-US" w:bidi="ar-SA"/>
    </w:rPr>
  </w:style>
  <w:style w:type="paragraph" w:styleId="2">
    <w:name w:val="heading 1"/>
    <w:basedOn w:val="1"/>
    <w:next w:val="1"/>
    <w:link w:val="34"/>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link w:val="27"/>
    <w:semiHidden/>
    <w:unhideWhenUsed/>
    <w:qFormat/>
    <w:uiPriority w:val="0"/>
    <w:pPr>
      <w:tabs>
        <w:tab w:val="left" w:pos="0"/>
      </w:tabs>
      <w:ind w:firstLine="0" w:firstLineChars="0"/>
      <w:jc w:val="left"/>
      <w:outlineLvl w:val="1"/>
    </w:pPr>
    <w:rPr>
      <w:rFonts w:ascii="Times New Roman" w:hAnsi="Times New Roman" w:eastAsia="黑体"/>
      <w:sz w:val="28"/>
    </w:rPr>
  </w:style>
  <w:style w:type="paragraph" w:styleId="4">
    <w:name w:val="heading 3"/>
    <w:basedOn w:val="1"/>
    <w:next w:val="1"/>
    <w:link w:val="28"/>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6"/>
    <w:link w:val="48"/>
    <w:semiHidden/>
    <w:unhideWhenUsed/>
    <w:qFormat/>
    <w:uiPriority w:val="0"/>
    <w:pPr>
      <w:keepNext/>
      <w:keepLines/>
      <w:numPr>
        <w:ilvl w:val="3"/>
        <w:numId w:val="1"/>
      </w:numPr>
      <w:spacing w:before="10" w:beforeLines="0" w:beforeAutospacing="0" w:after="10" w:afterLines="0" w:afterAutospacing="0" w:line="360" w:lineRule="auto"/>
      <w:ind w:left="864" w:leftChars="0" w:hanging="864" w:firstLineChars="0"/>
      <w:jc w:val="left"/>
      <w:outlineLvl w:val="3"/>
    </w:pPr>
    <w:rPr>
      <w:rFonts w:ascii="Arial" w:hAnsi="Arial" w:eastAsia="黑体" w:cs="Times New Roman"/>
    </w:rPr>
  </w:style>
  <w:style w:type="paragraph" w:styleId="7">
    <w:name w:val="heading 5"/>
    <w:next w:val="6"/>
    <w:semiHidden/>
    <w:unhideWhenUsed/>
    <w:qFormat/>
    <w:uiPriority w:val="0"/>
    <w:pPr>
      <w:numPr>
        <w:ilvl w:val="4"/>
        <w:numId w:val="1"/>
      </w:numPr>
      <w:tabs>
        <w:tab w:val="left" w:pos="312"/>
      </w:tabs>
      <w:spacing w:line="360" w:lineRule="auto"/>
      <w:ind w:left="1008" w:hanging="1008"/>
      <w:outlineLvl w:val="4"/>
    </w:pPr>
    <w:rPr>
      <w:rFonts w:ascii="Arial" w:hAnsi="Arial" w:eastAsia="宋体" w:cstheme="minorBidi"/>
      <w:sz w:val="28"/>
      <w:szCs w:val="22"/>
      <w:lang w:val="en-US" w:eastAsia="zh-CN" w:bidi="ar-SA"/>
    </w:rPr>
  </w:style>
  <w:style w:type="paragraph" w:styleId="8">
    <w:name w:val="heading 6"/>
    <w:basedOn w:val="1"/>
    <w:next w:val="1"/>
    <w:semiHidden/>
    <w:unhideWhenUsed/>
    <w:qFormat/>
    <w:uiPriority w:val="0"/>
    <w:pPr>
      <w:keepNext/>
      <w:keepLines/>
      <w:numPr>
        <w:ilvl w:val="5"/>
        <w:numId w:val="1"/>
      </w:numPr>
      <w:tabs>
        <w:tab w:val="left" w:pos="0"/>
      </w:tabs>
      <w:spacing w:before="240" w:beforeLines="0" w:beforeAutospacing="0" w:after="64" w:afterLines="0" w:afterAutospacing="0" w:line="317" w:lineRule="auto"/>
      <w:ind w:left="1151" w:hanging="1151" w:firstLineChars="0"/>
      <w:outlineLvl w:val="5"/>
    </w:pPr>
    <w:rPr>
      <w:rFonts w:ascii="Arial" w:hAnsi="Arial" w:eastAsia="黑体"/>
      <w:b/>
      <w:sz w:val="24"/>
    </w:rPr>
  </w:style>
  <w:style w:type="paragraph" w:styleId="9">
    <w:name w:val="heading 7"/>
    <w:basedOn w:val="1"/>
    <w:next w:val="1"/>
    <w:semiHidden/>
    <w:unhideWhenUsed/>
    <w:qFormat/>
    <w:uiPriority w:val="0"/>
    <w:pPr>
      <w:keepNext/>
      <w:keepLines/>
      <w:numPr>
        <w:ilvl w:val="6"/>
        <w:numId w:val="1"/>
      </w:numPr>
      <w:tabs>
        <w:tab w:val="left" w:pos="0"/>
      </w:tabs>
      <w:spacing w:before="240" w:beforeLines="0" w:beforeAutospacing="0" w:after="64" w:afterLines="0" w:afterAutospacing="0" w:line="317" w:lineRule="auto"/>
      <w:ind w:left="1296" w:hanging="1296" w:firstLineChars="0"/>
      <w:outlineLvl w:val="6"/>
    </w:pPr>
    <w:rPr>
      <w:b/>
      <w:sz w:val="24"/>
    </w:rPr>
  </w:style>
  <w:style w:type="paragraph" w:styleId="10">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firstLineChars="0"/>
      <w:outlineLvl w:val="7"/>
    </w:pPr>
    <w:rPr>
      <w:rFonts w:ascii="Arial" w:hAnsi="Arial" w:eastAsia="黑体"/>
      <w:sz w:val="24"/>
    </w:rPr>
  </w:style>
  <w:style w:type="paragraph" w:styleId="11">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firstLineChars="0"/>
      <w:outlineLvl w:val="8"/>
    </w:pPr>
    <w:rPr>
      <w:rFonts w:ascii="Arial" w:hAnsi="Arial" w:eastAsia="黑体"/>
      <w:sz w:val="21"/>
    </w:rPr>
  </w:style>
  <w:style w:type="character" w:default="1" w:styleId="25">
    <w:name w:val="Default Paragraph Font"/>
    <w:semiHidden/>
    <w:qFormat/>
    <w:uiPriority w:val="0"/>
  </w:style>
  <w:style w:type="table" w:default="1" w:styleId="24">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0"/>
    <w:pPr>
      <w:ind w:firstLine="0" w:firstLineChars="0"/>
    </w:pPr>
    <w:rPr>
      <w:rFonts w:ascii="宋体" w:hAnsi="宋体" w:cs="宋体"/>
      <w:sz w:val="31"/>
      <w:szCs w:val="31"/>
    </w:rPr>
  </w:style>
  <w:style w:type="paragraph" w:styleId="12">
    <w:name w:val="Normal Indent"/>
    <w:basedOn w:val="1"/>
    <w:qFormat/>
    <w:uiPriority w:val="0"/>
    <w:pPr>
      <w:ind w:firstLine="420" w:firstLineChars="200"/>
    </w:pPr>
  </w:style>
  <w:style w:type="paragraph" w:styleId="13">
    <w:name w:val="caption"/>
    <w:basedOn w:val="1"/>
    <w:next w:val="1"/>
    <w:semiHidden/>
    <w:unhideWhenUsed/>
    <w:qFormat/>
    <w:uiPriority w:val="0"/>
    <w:pPr>
      <w:ind w:firstLine="0" w:firstLineChars="0"/>
      <w:jc w:val="center"/>
    </w:pPr>
    <w:rPr>
      <w:sz w:val="21"/>
      <w:szCs w:val="20"/>
    </w:rPr>
  </w:style>
  <w:style w:type="paragraph" w:styleId="14">
    <w:name w:val="toa heading"/>
    <w:basedOn w:val="1"/>
    <w:next w:val="1"/>
    <w:qFormat/>
    <w:uiPriority w:val="0"/>
    <w:pPr>
      <w:spacing w:before="120" w:beforeLines="0" w:beforeAutospacing="0"/>
    </w:pPr>
    <w:rPr>
      <w:rFonts w:ascii="Arial" w:hAnsi="Arial"/>
      <w:sz w:val="24"/>
    </w:rPr>
  </w:style>
  <w:style w:type="paragraph" w:styleId="15">
    <w:name w:val="Body Text Indent"/>
    <w:basedOn w:val="1"/>
    <w:qFormat/>
    <w:uiPriority w:val="0"/>
    <w:pPr>
      <w:spacing w:after="120" w:afterLines="0" w:afterAutospacing="0"/>
      <w:ind w:left="420" w:leftChars="200"/>
    </w:pPr>
  </w:style>
  <w:style w:type="paragraph" w:styleId="16">
    <w:name w:val="toc 3"/>
    <w:basedOn w:val="1"/>
    <w:next w:val="1"/>
    <w:qFormat/>
    <w:uiPriority w:val="0"/>
    <w:pPr>
      <w:ind w:left="840" w:leftChars="400" w:firstLine="0" w:firstLineChars="0"/>
    </w:pPr>
    <w:rPr>
      <w:rFonts w:ascii="等线" w:hAnsi="等线" w:eastAsia="宋体" w:cs="宋体"/>
      <w:sz w:val="28"/>
      <w:szCs w:val="22"/>
    </w:rPr>
  </w:style>
  <w:style w:type="paragraph" w:styleId="17">
    <w:name w:val="footer"/>
    <w:basedOn w:val="1"/>
    <w:link w:val="53"/>
    <w:qFormat/>
    <w:uiPriority w:val="0"/>
    <w:pPr>
      <w:tabs>
        <w:tab w:val="center" w:pos="4153"/>
        <w:tab w:val="right" w:pos="8306"/>
      </w:tabs>
      <w:snapToGrid w:val="0"/>
      <w:ind w:left="400" w:hanging="400" w:hangingChars="200"/>
      <w:jc w:val="left"/>
    </w:pPr>
    <w:rPr>
      <w:rFonts w:ascii="Times New Roman" w:hAnsi="Times New Roman" w:eastAsia="宋体"/>
      <w:sz w:val="18"/>
    </w:rPr>
  </w:style>
  <w:style w:type="paragraph" w:styleId="18">
    <w:name w:val="header"/>
    <w:basedOn w:val="1"/>
    <w:qFormat/>
    <w:uiPriority w:val="0"/>
    <w:pPr>
      <w:pBdr>
        <w:bottom w:val="thinThickSmallGap" w:color="auto" w:sz="18" w:space="1"/>
      </w:pBdr>
      <w:tabs>
        <w:tab w:val="center" w:pos="4153"/>
        <w:tab w:val="right" w:pos="8306"/>
      </w:tabs>
      <w:snapToGrid w:val="0"/>
      <w:ind w:firstLine="0" w:firstLineChars="0"/>
      <w:jc w:val="center"/>
    </w:pPr>
    <w:rPr>
      <w:sz w:val="18"/>
      <w:szCs w:val="18"/>
    </w:rPr>
  </w:style>
  <w:style w:type="paragraph" w:styleId="19">
    <w:name w:val="toc 1"/>
    <w:basedOn w:val="1"/>
    <w:next w:val="1"/>
    <w:qFormat/>
    <w:uiPriority w:val="0"/>
    <w:pPr>
      <w:ind w:firstLine="0" w:firstLineChars="0"/>
      <w:jc w:val="center"/>
    </w:pPr>
    <w:rPr>
      <w:rFonts w:ascii="等线" w:hAnsi="等线" w:eastAsia="宋体" w:cs="宋体"/>
      <w:sz w:val="30"/>
      <w:szCs w:val="22"/>
    </w:rPr>
  </w:style>
  <w:style w:type="paragraph" w:styleId="20">
    <w:name w:val="toc 2"/>
    <w:basedOn w:val="1"/>
    <w:next w:val="1"/>
    <w:qFormat/>
    <w:uiPriority w:val="0"/>
    <w:pPr>
      <w:ind w:left="420" w:leftChars="200" w:firstLine="0" w:firstLineChars="0"/>
    </w:pPr>
    <w:rPr>
      <w:rFonts w:ascii="等线" w:hAnsi="等线" w:eastAsia="宋体" w:cs="宋体"/>
      <w:sz w:val="28"/>
      <w:szCs w:val="22"/>
    </w:rPr>
  </w:style>
  <w:style w:type="paragraph" w:styleId="21">
    <w:name w:val="Normal (Web)"/>
    <w:basedOn w:val="1"/>
    <w:qFormat/>
    <w:uiPriority w:val="0"/>
    <w:rPr>
      <w:sz w:val="24"/>
    </w:rPr>
  </w:style>
  <w:style w:type="paragraph" w:styleId="22">
    <w:name w:val="Title"/>
    <w:basedOn w:val="1"/>
    <w:next w:val="1"/>
    <w:link w:val="54"/>
    <w:qFormat/>
    <w:uiPriority w:val="0"/>
    <w:pPr>
      <w:pageBreakBefore/>
      <w:spacing w:line="578" w:lineRule="auto"/>
      <w:ind w:firstLine="0" w:firstLineChars="0"/>
      <w:jc w:val="center"/>
      <w:outlineLvl w:val="0"/>
    </w:pPr>
    <w:rPr>
      <w:rFonts w:ascii="等线 Light" w:hAnsi="等线 Light" w:eastAsia="宋体"/>
      <w:b/>
      <w:bCs/>
      <w:sz w:val="32"/>
      <w:szCs w:val="32"/>
    </w:rPr>
  </w:style>
  <w:style w:type="paragraph" w:styleId="23">
    <w:name w:val="Body Text First Indent 2"/>
    <w:basedOn w:val="15"/>
    <w:qFormat/>
    <w:uiPriority w:val="0"/>
    <w:pPr>
      <w:ind w:firstLine="420" w:firstLineChars="200"/>
    </w:pPr>
  </w:style>
  <w:style w:type="character" w:styleId="26">
    <w:name w:val="Strong"/>
    <w:basedOn w:val="25"/>
    <w:qFormat/>
    <w:uiPriority w:val="0"/>
    <w:rPr>
      <w:b/>
    </w:rPr>
  </w:style>
  <w:style w:type="character" w:customStyle="1" w:styleId="27">
    <w:name w:val="标题 2 Char"/>
    <w:link w:val="3"/>
    <w:qFormat/>
    <w:uiPriority w:val="0"/>
    <w:rPr>
      <w:rFonts w:ascii="Times New Roman" w:hAnsi="Times New Roman" w:eastAsia="宋体" w:cs="宋体"/>
      <w:kern w:val="2"/>
      <w:sz w:val="28"/>
      <w:szCs w:val="22"/>
      <w:lang w:val="en-US" w:eastAsia="zh-CN" w:bidi="ar-SA"/>
    </w:rPr>
  </w:style>
  <w:style w:type="character" w:customStyle="1" w:styleId="28">
    <w:name w:val="标题 3 Char"/>
    <w:link w:val="4"/>
    <w:qFormat/>
    <w:uiPriority w:val="0"/>
    <w:rPr>
      <w:rFonts w:ascii="Times New Roman" w:hAnsi="Times New Roman" w:eastAsia="宋体" w:cs="宋体"/>
      <w:sz w:val="28"/>
    </w:rPr>
  </w:style>
  <w:style w:type="paragraph" w:customStyle="1" w:styleId="29">
    <w:name w:val="样式1"/>
    <w:basedOn w:val="1"/>
    <w:qFormat/>
    <w:uiPriority w:val="0"/>
    <w:pPr>
      <w:widowControl/>
      <w:ind w:firstLine="0" w:firstLineChars="0"/>
      <w:jc w:val="center"/>
      <w:textAlignment w:val="center"/>
    </w:pPr>
    <w:rPr>
      <w:rFonts w:hint="eastAsia" w:ascii="宋体" w:hAnsi="宋体" w:eastAsia="宋体" w:cs="宋体"/>
      <w:color w:val="000000"/>
      <w:kern w:val="0"/>
      <w:sz w:val="20"/>
      <w:szCs w:val="20"/>
      <w:u w:val="none"/>
      <w:lang w:bidi="ar"/>
    </w:rPr>
  </w:style>
  <w:style w:type="paragraph" w:customStyle="1" w:styleId="30">
    <w:name w:val="样式2"/>
    <w:basedOn w:val="1"/>
    <w:qFormat/>
    <w:uiPriority w:val="0"/>
    <w:pPr>
      <w:widowControl/>
      <w:spacing w:line="440" w:lineRule="exact"/>
      <w:ind w:firstLine="0" w:firstLineChars="0"/>
      <w:jc w:val="left"/>
      <w:textAlignment w:val="center"/>
    </w:pPr>
    <w:rPr>
      <w:rFonts w:hint="eastAsia" w:ascii="宋体" w:hAnsi="宋体" w:eastAsia="宋体" w:cs="宋体"/>
      <w:b/>
      <w:bCs/>
      <w:color w:val="000000"/>
      <w:kern w:val="0"/>
      <w:sz w:val="18"/>
      <w:szCs w:val="18"/>
      <w:u w:val="none"/>
      <w:lang w:eastAsia="zh-CN" w:bidi="ar"/>
    </w:rPr>
  </w:style>
  <w:style w:type="paragraph" w:customStyle="1" w:styleId="31">
    <w:name w:val="样式3"/>
    <w:basedOn w:val="1"/>
    <w:qFormat/>
    <w:uiPriority w:val="0"/>
    <w:pPr>
      <w:ind w:firstLine="0" w:firstLineChars="0"/>
    </w:pPr>
    <w:rPr>
      <w:rFonts w:hint="eastAsia"/>
      <w:lang w:val="zh-CN"/>
    </w:rPr>
  </w:style>
  <w:style w:type="paragraph" w:customStyle="1" w:styleId="32">
    <w:name w:val="样式4"/>
    <w:basedOn w:val="1"/>
    <w:qFormat/>
    <w:uiPriority w:val="0"/>
    <w:pPr>
      <w:widowControl/>
      <w:spacing w:line="240" w:lineRule="auto"/>
      <w:ind w:firstLine="0" w:firstLineChars="0"/>
      <w:jc w:val="center"/>
      <w:textAlignment w:val="center"/>
    </w:pPr>
    <w:rPr>
      <w:rFonts w:hint="eastAsia" w:ascii="宋体" w:hAnsi="宋体" w:eastAsia="宋体" w:cs="宋体"/>
      <w:color w:val="000000"/>
      <w:kern w:val="0"/>
      <w:sz w:val="18"/>
      <w:szCs w:val="18"/>
      <w:u w:val="none"/>
      <w:lang w:bidi="ar"/>
    </w:rPr>
  </w:style>
  <w:style w:type="paragraph" w:customStyle="1" w:styleId="33">
    <w:name w:val="图序"/>
    <w:basedOn w:val="1"/>
    <w:qFormat/>
    <w:uiPriority w:val="0"/>
    <w:pPr>
      <w:spacing w:line="240" w:lineRule="auto"/>
      <w:jc w:val="center"/>
    </w:pPr>
    <w:rPr>
      <w:rFonts w:hint="default" w:ascii="Times New Roman" w:hAnsi="Times New Roman" w:eastAsia="黑体" w:cs="Times New Roman"/>
      <w:sz w:val="21"/>
    </w:rPr>
  </w:style>
  <w:style w:type="character" w:customStyle="1" w:styleId="34">
    <w:name w:val="标题 1 Char"/>
    <w:link w:val="2"/>
    <w:qFormat/>
    <w:uiPriority w:val="0"/>
    <w:rPr>
      <w:rFonts w:ascii="Times New Roman" w:hAnsi="Times New Roman" w:eastAsia="宋体" w:cs="宋体"/>
      <w:b/>
      <w:snapToGrid w:val="0"/>
      <w:color w:val="000000"/>
      <w:kern w:val="44"/>
      <w:sz w:val="36"/>
      <w:szCs w:val="21"/>
      <w:lang w:eastAsia="en-US"/>
    </w:rPr>
  </w:style>
  <w:style w:type="paragraph" w:customStyle="1" w:styleId="35">
    <w:name w:val="目录"/>
    <w:basedOn w:val="1"/>
    <w:next w:val="1"/>
    <w:link w:val="36"/>
    <w:qFormat/>
    <w:uiPriority w:val="0"/>
    <w:pPr>
      <w:keepNext/>
      <w:keepLines/>
      <w:spacing w:line="360" w:lineRule="auto"/>
      <w:ind w:firstLine="0" w:firstLineChars="0"/>
      <w:jc w:val="center"/>
      <w:outlineLvl w:val="0"/>
    </w:pPr>
    <w:rPr>
      <w:rFonts w:ascii="Times New Roman" w:hAnsi="Times New Roman" w:eastAsia="宋体"/>
      <w:b/>
      <w:bCs/>
      <w:sz w:val="36"/>
      <w:szCs w:val="44"/>
    </w:rPr>
  </w:style>
  <w:style w:type="character" w:customStyle="1" w:styleId="36">
    <w:name w:val="目录 Char"/>
    <w:link w:val="35"/>
    <w:qFormat/>
    <w:uiPriority w:val="0"/>
    <w:rPr>
      <w:rFonts w:ascii="Times New Roman" w:hAnsi="Times New Roman" w:eastAsia="宋体"/>
      <w:b/>
      <w:bCs/>
      <w:sz w:val="36"/>
      <w:szCs w:val="44"/>
    </w:rPr>
  </w:style>
  <w:style w:type="paragraph" w:customStyle="1" w:styleId="37">
    <w:name w:val="目录1"/>
    <w:basedOn w:val="14"/>
    <w:next w:val="35"/>
    <w:qFormat/>
    <w:uiPriority w:val="0"/>
    <w:pPr>
      <w:tabs>
        <w:tab w:val="right" w:leader="dot" w:pos="8336"/>
      </w:tabs>
      <w:autoSpaceDE/>
      <w:autoSpaceDN/>
      <w:spacing w:line="360" w:lineRule="auto"/>
    </w:pPr>
    <w:rPr>
      <w:rFonts w:ascii="Times New Roman" w:hAnsi="Times New Roman" w:eastAsia="宋体" w:cs="Times New Roman"/>
      <w:bCs/>
      <w:spacing w:val="4"/>
      <w:sz w:val="28"/>
      <w:szCs w:val="43"/>
    </w:rPr>
  </w:style>
  <w:style w:type="paragraph" w:customStyle="1" w:styleId="38">
    <w:name w:val="图序与图名"/>
    <w:basedOn w:val="1"/>
    <w:link w:val="59"/>
    <w:qFormat/>
    <w:uiPriority w:val="0"/>
    <w:pPr>
      <w:spacing w:before="100" w:beforeLines="100" w:line="240" w:lineRule="auto"/>
      <w:ind w:left="0" w:firstLine="0" w:firstLineChars="0"/>
      <w:jc w:val="center"/>
    </w:pPr>
    <w:rPr>
      <w:rFonts w:ascii="宋体" w:hAnsi="宋体" w:eastAsia="宋体" w:cs="宋体"/>
      <w:spacing w:val="-2"/>
      <w:sz w:val="21"/>
      <w:szCs w:val="20"/>
    </w:rPr>
  </w:style>
  <w:style w:type="paragraph" w:customStyle="1" w:styleId="39">
    <w:name w:val="样式7"/>
    <w:basedOn w:val="1"/>
    <w:qFormat/>
    <w:uiPriority w:val="0"/>
    <w:pPr>
      <w:ind w:firstLine="0" w:firstLineChars="0"/>
      <w:jc w:val="center"/>
    </w:pPr>
    <w:rPr>
      <w:rFonts w:hint="eastAsia" w:ascii="宋体" w:hAnsi="宋体" w:eastAsia="宋体"/>
      <w:szCs w:val="22"/>
    </w:rPr>
  </w:style>
  <w:style w:type="paragraph" w:customStyle="1" w:styleId="40">
    <w:name w:val="摘要目录"/>
    <w:basedOn w:val="1"/>
    <w:next w:val="1"/>
    <w:qFormat/>
    <w:uiPriority w:val="0"/>
    <w:pPr>
      <w:keepNext/>
      <w:keepLines/>
      <w:pageBreakBefore/>
      <w:spacing w:line="360" w:lineRule="auto"/>
      <w:ind w:left="0" w:leftChars="0" w:firstLine="482" w:firstLineChars="200"/>
      <w:jc w:val="both"/>
      <w:outlineLvl w:val="0"/>
    </w:pPr>
    <w:rPr>
      <w:rFonts w:ascii="Times New Roman" w:hAnsi="Times New Roman" w:eastAsia="宋体"/>
      <w:b/>
      <w:bCs/>
      <w:kern w:val="44"/>
      <w:szCs w:val="44"/>
    </w:rPr>
  </w:style>
  <w:style w:type="paragraph" w:customStyle="1" w:styleId="41">
    <w:name w:val="样式8"/>
    <w:basedOn w:val="1"/>
    <w:qFormat/>
    <w:uiPriority w:val="0"/>
    <w:pPr>
      <w:widowControl/>
      <w:ind w:firstLine="0" w:firstLineChars="0"/>
      <w:jc w:val="center"/>
      <w:textAlignment w:val="center"/>
    </w:pPr>
    <w:rPr>
      <w:rFonts w:hint="eastAsia" w:ascii="宋体" w:hAnsi="宋体" w:eastAsia="宋体" w:cs="宋体"/>
      <w:color w:val="000000"/>
      <w:kern w:val="0"/>
      <w:sz w:val="20"/>
      <w:szCs w:val="20"/>
      <w:u w:val="none"/>
      <w:lang w:bidi="ar"/>
    </w:rPr>
  </w:style>
  <w:style w:type="paragraph" w:customStyle="1" w:styleId="42">
    <w:name w:val="目录摘要"/>
    <w:basedOn w:val="1"/>
    <w:qFormat/>
    <w:uiPriority w:val="0"/>
    <w:pPr>
      <w:spacing w:line="360" w:lineRule="auto"/>
      <w:ind w:left="0" w:right="0" w:firstLine="420" w:firstLineChars="200"/>
      <w:jc w:val="both"/>
      <w:outlineLvl w:val="0"/>
    </w:pPr>
    <w:rPr>
      <w:rFonts w:hint="eastAsia" w:ascii="微软雅黑" w:hAnsi="微软雅黑" w:eastAsia="宋体" w:cs="微软雅黑"/>
      <w:b/>
      <w:bCs/>
      <w:snapToGrid w:val="0"/>
      <w:color w:val="000000"/>
      <w:spacing w:val="9"/>
      <w:kern w:val="0"/>
      <w:sz w:val="24"/>
      <w:szCs w:val="29"/>
    </w:rPr>
  </w:style>
  <w:style w:type="paragraph" w:customStyle="1" w:styleId="43">
    <w:name w:val="样式9"/>
    <w:basedOn w:val="1"/>
    <w:qFormat/>
    <w:uiPriority w:val="0"/>
    <w:pPr>
      <w:widowControl/>
      <w:ind w:firstLine="0" w:firstLineChars="0"/>
      <w:jc w:val="center"/>
      <w:textAlignment w:val="center"/>
    </w:pPr>
    <w:rPr>
      <w:rFonts w:hint="eastAsia" w:ascii="宋体" w:hAnsi="宋体" w:eastAsia="宋体" w:cs="宋体"/>
      <w:color w:val="000000"/>
      <w:kern w:val="0"/>
      <w:sz w:val="16"/>
      <w:szCs w:val="20"/>
      <w:u w:val="none"/>
      <w:lang w:eastAsia="zh-CN" w:bidi="ar"/>
    </w:rPr>
  </w:style>
  <w:style w:type="paragraph" w:customStyle="1" w:styleId="44">
    <w:name w:val="样式10"/>
    <w:basedOn w:val="1"/>
    <w:qFormat/>
    <w:uiPriority w:val="0"/>
    <w:pPr>
      <w:widowControl/>
      <w:spacing w:line="240" w:lineRule="auto"/>
      <w:ind w:firstLine="0" w:firstLineChars="0"/>
      <w:jc w:val="center"/>
      <w:textAlignment w:val="center"/>
    </w:pPr>
    <w:rPr>
      <w:rFonts w:hint="eastAsia" w:ascii="宋体" w:hAnsi="宋体" w:eastAsia="宋体" w:cs="宋体"/>
      <w:b/>
      <w:bCs/>
      <w:color w:val="000000"/>
      <w:kern w:val="0"/>
      <w:sz w:val="15"/>
      <w:szCs w:val="18"/>
      <w:u w:val="none"/>
      <w:lang w:eastAsia="zh-CN" w:bidi="ar"/>
    </w:rPr>
  </w:style>
  <w:style w:type="paragraph" w:customStyle="1" w:styleId="45">
    <w:name w:val="图题"/>
    <w:basedOn w:val="1"/>
    <w:qFormat/>
    <w:uiPriority w:val="0"/>
    <w:rPr>
      <w:rFonts w:hint="default" w:ascii="Times New Roman" w:hAnsi="Times New Roman" w:eastAsia="宋体"/>
      <w:sz w:val="21"/>
    </w:rPr>
  </w:style>
  <w:style w:type="paragraph" w:customStyle="1" w:styleId="46">
    <w:name w:val="参考文献"/>
    <w:basedOn w:val="1"/>
    <w:next w:val="1"/>
    <w:qFormat/>
    <w:uiPriority w:val="0"/>
    <w:pPr>
      <w:numPr>
        <w:ilvl w:val="0"/>
        <w:numId w:val="2"/>
      </w:numPr>
      <w:tabs>
        <w:tab w:val="left" w:pos="0"/>
      </w:tabs>
      <w:spacing w:before="50" w:beforeLines="50" w:after="50" w:afterLines="50" w:line="240" w:lineRule="auto"/>
      <w:ind w:left="425" w:hanging="425"/>
      <w:jc w:val="center"/>
      <w:outlineLvl w:val="0"/>
    </w:pPr>
    <w:rPr>
      <w:rFonts w:hint="eastAsia" w:ascii="宋体" w:hAnsi="宋体" w:cs="宋体"/>
      <w:b/>
      <w:snapToGrid w:val="0"/>
      <w:color w:val="000000"/>
      <w:kern w:val="44"/>
      <w:sz w:val="28"/>
      <w:szCs w:val="32"/>
      <w:lang w:eastAsia="en-US"/>
    </w:rPr>
  </w:style>
  <w:style w:type="paragraph" w:customStyle="1" w:styleId="47">
    <w:name w:val="参考文献正文"/>
    <w:basedOn w:val="1"/>
    <w:qFormat/>
    <w:uiPriority w:val="0"/>
    <w:pPr>
      <w:numPr>
        <w:ilvl w:val="0"/>
        <w:numId w:val="3"/>
      </w:numPr>
      <w:spacing w:before="50" w:beforeLines="50" w:after="50" w:afterLines="50"/>
    </w:pPr>
    <w:rPr>
      <w:rFonts w:hint="eastAsia"/>
    </w:rPr>
  </w:style>
  <w:style w:type="character" w:customStyle="1" w:styleId="48">
    <w:name w:val="标题 4 Char"/>
    <w:link w:val="5"/>
    <w:qFormat/>
    <w:uiPriority w:val="0"/>
    <w:rPr>
      <w:rFonts w:ascii="Arial" w:hAnsi="Arial" w:eastAsia="宋体" w:cs="Times New Roman"/>
      <w:snapToGrid/>
      <w:sz w:val="24"/>
      <w:szCs w:val="24"/>
      <w:lang w:val="en-US" w:eastAsia="zh-CN" w:bidi="ar-SA"/>
    </w:rPr>
  </w:style>
  <w:style w:type="paragraph" w:customStyle="1" w:styleId="49">
    <w:name w:val="Table Text"/>
    <w:basedOn w:val="1"/>
    <w:semiHidden/>
    <w:qFormat/>
    <w:uiPriority w:val="0"/>
    <w:pPr>
      <w:snapToGrid w:val="0"/>
      <w:spacing w:line="360" w:lineRule="auto"/>
    </w:pPr>
    <w:rPr>
      <w:rFonts w:ascii="等线" w:hAnsi="等线" w:eastAsia="宋体" w:cs="等线"/>
      <w:sz w:val="20"/>
      <w:szCs w:val="20"/>
      <w:lang w:eastAsia="en-US"/>
    </w:rPr>
  </w:style>
  <w:style w:type="paragraph" w:customStyle="1" w:styleId="50">
    <w:name w:val="目录111"/>
    <w:basedOn w:val="1"/>
    <w:qFormat/>
    <w:uiPriority w:val="0"/>
    <w:pPr>
      <w:spacing w:before="80" w:beforeLines="80" w:after="50" w:afterLines="50" w:line="240" w:lineRule="auto"/>
      <w:ind w:firstLine="0" w:firstLineChars="0"/>
      <w:jc w:val="center"/>
    </w:pPr>
    <w:rPr>
      <w:rFonts w:ascii="宋体" w:hAnsi="宋体"/>
      <w:sz w:val="36"/>
    </w:rPr>
  </w:style>
  <w:style w:type="paragraph" w:customStyle="1" w:styleId="51">
    <w:name w:val="一级标题"/>
    <w:basedOn w:val="1"/>
    <w:link w:val="52"/>
    <w:autoRedefine/>
    <w:qFormat/>
    <w:uiPriority w:val="0"/>
    <w:pPr>
      <w:keepNext/>
      <w:keepLines/>
      <w:pageBreakBefore/>
      <w:spacing w:line="360" w:lineRule="auto"/>
      <w:jc w:val="center"/>
      <w:outlineLvl w:val="0"/>
    </w:pPr>
    <w:rPr>
      <w:rFonts w:ascii="黑体" w:hAnsi="黑体" w:eastAsia="黑体" w:cs="Times New Roman"/>
      <w:b/>
      <w:bCs/>
      <w:kern w:val="32"/>
      <w:sz w:val="36"/>
      <w:szCs w:val="36"/>
    </w:rPr>
  </w:style>
  <w:style w:type="character" w:customStyle="1" w:styleId="52">
    <w:name w:val="一级标题 Char"/>
    <w:link w:val="51"/>
    <w:autoRedefine/>
    <w:qFormat/>
    <w:uiPriority w:val="0"/>
    <w:rPr>
      <w:rFonts w:ascii="黑体" w:hAnsi="黑体" w:eastAsia="黑体" w:cs="Times New Roman"/>
      <w:b/>
      <w:bCs/>
      <w:kern w:val="32"/>
      <w:sz w:val="36"/>
      <w:szCs w:val="36"/>
    </w:rPr>
  </w:style>
  <w:style w:type="character" w:customStyle="1" w:styleId="53">
    <w:name w:val="页脚 字符"/>
    <w:link w:val="17"/>
    <w:qFormat/>
    <w:uiPriority w:val="99"/>
    <w:rPr>
      <w:rFonts w:ascii="Times New Roman" w:hAnsi="Times New Roman" w:eastAsia="宋体"/>
      <w:sz w:val="18"/>
    </w:rPr>
  </w:style>
  <w:style w:type="character" w:customStyle="1" w:styleId="54">
    <w:name w:val="标题 Char"/>
    <w:link w:val="22"/>
    <w:qFormat/>
    <w:uiPriority w:val="0"/>
    <w:rPr>
      <w:rFonts w:ascii="等线 Light" w:hAnsi="等线 Light" w:eastAsia="宋体"/>
      <w:b/>
      <w:bCs/>
      <w:kern w:val="2"/>
      <w:sz w:val="32"/>
      <w:szCs w:val="32"/>
    </w:rPr>
  </w:style>
  <w:style w:type="paragraph" w:customStyle="1" w:styleId="55">
    <w:name w:val="题标"/>
    <w:basedOn w:val="1"/>
    <w:next w:val="1"/>
    <w:qFormat/>
    <w:uiPriority w:val="0"/>
    <w:pPr>
      <w:keepNext/>
      <w:keepLines/>
      <w:numPr>
        <w:ilvl w:val="0"/>
        <w:numId w:val="4"/>
      </w:numPr>
      <w:spacing w:line="360" w:lineRule="auto"/>
      <w:ind w:firstLine="0" w:firstLineChars="0"/>
      <w:jc w:val="center"/>
      <w:outlineLvl w:val="9"/>
    </w:pPr>
    <w:rPr>
      <w:rFonts w:ascii="Times New Roman" w:hAnsi="Times New Roman" w:eastAsia="宋体" w:cs="Times New Roman"/>
      <w:bCs/>
      <w:sz w:val="21"/>
      <w:szCs w:val="32"/>
    </w:rPr>
  </w:style>
  <w:style w:type="paragraph" w:customStyle="1" w:styleId="56">
    <w:name w:val="表格"/>
    <w:basedOn w:val="1"/>
    <w:qFormat/>
    <w:uiPriority w:val="0"/>
    <w:pPr>
      <w:spacing w:line="240" w:lineRule="auto"/>
      <w:ind w:firstLine="0" w:firstLineChars="0"/>
      <w:jc w:val="center"/>
    </w:pPr>
    <w:rPr>
      <w:rFonts w:ascii="Times New Roman" w:hAnsi="Times New Roman" w:cs="宋体"/>
      <w:sz w:val="21"/>
      <w:szCs w:val="21"/>
    </w:rPr>
  </w:style>
  <w:style w:type="paragraph" w:customStyle="1" w:styleId="57">
    <w:name w:val="目录 题目"/>
    <w:basedOn w:val="1"/>
    <w:qFormat/>
    <w:uiPriority w:val="99"/>
    <w:pPr>
      <w:spacing w:line="300" w:lineRule="auto"/>
      <w:ind w:firstLine="0" w:firstLineChars="0"/>
      <w:jc w:val="center"/>
    </w:pPr>
    <w:rPr>
      <w:rFonts w:ascii="等线" w:hAnsi="等线" w:eastAsia="黑体" w:cs="宋体"/>
      <w:b/>
      <w:sz w:val="32"/>
      <w:szCs w:val="22"/>
    </w:rPr>
  </w:style>
  <w:style w:type="paragraph" w:customStyle="1" w:styleId="58">
    <w:name w:val="样式11"/>
    <w:basedOn w:val="1"/>
    <w:qFormat/>
    <w:uiPriority w:val="0"/>
    <w:pPr>
      <w:widowControl/>
      <w:ind w:firstLine="0" w:firstLineChars="0"/>
      <w:jc w:val="center"/>
      <w:textAlignment w:val="center"/>
    </w:pPr>
    <w:rPr>
      <w:rFonts w:hint="eastAsia" w:ascii="宋体" w:hAnsi="宋体" w:eastAsia="宋体" w:cs="宋体"/>
      <w:b/>
      <w:bCs/>
      <w:color w:val="000000"/>
      <w:kern w:val="0"/>
      <w:sz w:val="18"/>
      <w:szCs w:val="18"/>
      <w:u w:val="none"/>
      <w:lang w:bidi="ar"/>
    </w:rPr>
  </w:style>
  <w:style w:type="character" w:customStyle="1" w:styleId="59">
    <w:name w:val="图序与图名 Char"/>
    <w:link w:val="38"/>
    <w:qFormat/>
    <w:uiPriority w:val="0"/>
    <w:rPr>
      <w:rFonts w:ascii="宋体" w:hAnsi="宋体" w:eastAsia="宋体" w:cs="宋体"/>
      <w:spacing w:val="-2"/>
      <w:sz w:val="21"/>
      <w:szCs w:val="20"/>
    </w:rPr>
  </w:style>
  <w:style w:type="paragraph" w:customStyle="1" w:styleId="60">
    <w:name w:val="样式12"/>
    <w:basedOn w:val="1"/>
    <w:qFormat/>
    <w:uiPriority w:val="0"/>
    <w:pPr>
      <w:widowControl/>
      <w:ind w:firstLine="0" w:firstLineChars="0"/>
      <w:textAlignment w:val="center"/>
    </w:pPr>
    <w:rPr>
      <w:rFonts w:hint="eastAsia" w:ascii="宋体" w:hAnsi="宋体" w:eastAsia="宋体" w:cs="宋体"/>
      <w:b/>
      <w:bCs/>
      <w:color w:val="000000"/>
      <w:kern w:val="0"/>
      <w:sz w:val="18"/>
      <w:szCs w:val="18"/>
      <w:u w:val="none"/>
      <w:lang w:bidi="ar"/>
    </w:rPr>
  </w:style>
  <w:style w:type="paragraph" w:customStyle="1" w:styleId="61">
    <w:name w:val="样式13"/>
    <w:basedOn w:val="1"/>
    <w:qFormat/>
    <w:uiPriority w:val="0"/>
    <w:pPr>
      <w:spacing w:line="240" w:lineRule="auto"/>
      <w:ind w:firstLine="0" w:firstLineChars="0"/>
      <w:outlineLvl w:val="0"/>
    </w:pPr>
    <w:rPr>
      <w:rFonts w:hint="eastAsia" w:ascii="宋体" w:hAnsi="宋体" w:eastAsia="宋体" w:cs="宋体"/>
      <w:snapToGrid w:val="0"/>
      <w:color w:val="000000"/>
      <w:spacing w:val="-3"/>
      <w:kern w:val="0"/>
      <w:sz w:val="20"/>
      <w:szCs w:val="24"/>
      <w:lang w:eastAsia="en-US"/>
    </w:rPr>
  </w:style>
  <w:style w:type="paragraph" w:customStyle="1" w:styleId="62">
    <w:name w:val="序号"/>
    <w:basedOn w:val="1"/>
    <w:qFormat/>
    <w:uiPriority w:val="0"/>
    <w:pPr>
      <w:spacing w:line="360" w:lineRule="auto"/>
      <w:ind w:left="0" w:firstLine="0" w:firstLineChars="0"/>
      <w:jc w:val="center"/>
      <w:outlineLvl w:val="9"/>
    </w:pPr>
    <w:rPr>
      <w:rFonts w:ascii="Times New Roman" w:hAnsi="Times New Roman" w:cs="宋体"/>
      <w:spacing w:val="1"/>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microsoft.com/office/2006/relationships/keyMapCustomizations" Target="customizations.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972</Words>
  <Characters>1041</Characters>
  <Lines>0</Lines>
  <Paragraphs>0</Paragraphs>
  <TotalTime>228</TotalTime>
  <ScaleCrop>false</ScaleCrop>
  <LinksUpToDate>false</LinksUpToDate>
  <CharactersWithSpaces>1043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2025-02-07T08:36:00Z</dcterms:created>
  <dc:creator>Administrator</dc:creator>
  <cp:lastModifiedBy>懂懂</cp:lastModifiedBy>
  <dcterms:modified xsi:type="dcterms:W3CDTF">2026-04-24T02:33:13Z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79C11EA8EC6E4D3CB8F626B01E9A9EA3_13</vt:lpwstr>
  </property>
  <property fmtid="{D5CDD505-2E9C-101B-9397-08002B2CF9AE}" pid="4" name="KSOTemplateDocerSaveRecord">
    <vt:lpwstr>eyJoZGlkIjoiYTk5M2VlNGFjMjM5YWExMzRjYmJmMzI4YTY3NDdhN2MiLCJ1c2VySWQiOiIxMDM2NjI3NDI0In0=</vt:lpwstr>
  </property>
</Properties>
</file>