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0A117">
      <w:pPr>
        <w:pStyle w:val="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0" w:beforeAutospacing="0" w:after="192" w:afterAutospacing="0" w:line="408" w:lineRule="atLeast"/>
        <w:ind w:left="0" w:right="0" w:firstLine="0" w:firstLineChars="0"/>
        <w:textAlignment w:val="baseline"/>
        <w:rPr>
          <w:rFonts w:hint="default" w:ascii="Segoe UI" w:hAnsi="Segoe UI" w:eastAsia="Segoe UI" w:cs="Segoe UI"/>
          <w:b/>
          <w:bCs/>
          <w:caps w:val="0"/>
          <w:color w:val="0F1115"/>
          <w:spacing w:val="0"/>
          <w:sz w:val="28"/>
          <w:szCs w:val="28"/>
          <w:shd w:val="clear" w:fill="FFFFFF"/>
        </w:rPr>
      </w:pPr>
      <w:r>
        <w:rPr>
          <w:rFonts w:hint="default" w:ascii="Segoe UI" w:hAnsi="Segoe UI" w:eastAsia="Segoe UI" w:cs="Segoe UI"/>
          <w:b/>
          <w:bCs/>
          <w:caps w:val="0"/>
          <w:color w:val="0F1115"/>
          <w:spacing w:val="0"/>
          <w:sz w:val="28"/>
          <w:szCs w:val="28"/>
          <w:shd w:val="clear" w:fill="FFFFFF"/>
        </w:rPr>
        <w:t>11万亿</w:t>
      </w:r>
      <w:r>
        <w:rPr>
          <w:rFonts w:hint="eastAsia" w:ascii="Segoe UI" w:hAnsi="Segoe UI" w:cs="Segoe UI"/>
          <w:b/>
          <w:bCs/>
          <w:caps w:val="0"/>
          <w:color w:val="0F1115"/>
          <w:spacing w:val="0"/>
          <w:sz w:val="28"/>
          <w:szCs w:val="28"/>
          <w:shd w:val="clear" w:fill="FFFFFF"/>
          <w:lang w:val="en-US" w:eastAsia="zh-CN"/>
        </w:rPr>
        <w:t>县域</w:t>
      </w:r>
      <w:r>
        <w:rPr>
          <w:rFonts w:hint="default" w:ascii="Segoe UI" w:hAnsi="Segoe UI" w:eastAsia="Segoe UI" w:cs="Segoe UI"/>
          <w:b/>
          <w:bCs/>
          <w:caps w:val="0"/>
          <w:color w:val="0F1115"/>
          <w:spacing w:val="0"/>
          <w:sz w:val="28"/>
          <w:szCs w:val="28"/>
          <w:shd w:val="clear" w:fill="FFFFFF"/>
        </w:rPr>
        <w:t>下沉市场的</w:t>
      </w:r>
      <w:r>
        <w:rPr>
          <w:rFonts w:hint="eastAsia" w:ascii="Segoe UI" w:hAnsi="Segoe UI" w:cs="Segoe UI"/>
          <w:b/>
          <w:bCs/>
          <w:caps w:val="0"/>
          <w:color w:val="0F1115"/>
          <w:spacing w:val="0"/>
          <w:sz w:val="28"/>
          <w:szCs w:val="28"/>
          <w:shd w:val="clear" w:fill="FFFFFF"/>
          <w:lang w:val="en-US" w:eastAsia="zh-CN"/>
        </w:rPr>
        <w:t>银行</w:t>
      </w:r>
      <w:r>
        <w:rPr>
          <w:rFonts w:hint="default" w:ascii="Segoe UI" w:hAnsi="Segoe UI" w:eastAsia="Segoe UI" w:cs="Segoe UI"/>
          <w:b/>
          <w:bCs/>
          <w:caps w:val="0"/>
          <w:color w:val="0F1115"/>
          <w:spacing w:val="0"/>
          <w:sz w:val="28"/>
          <w:szCs w:val="28"/>
          <w:shd w:val="clear" w:fill="FFFFFF"/>
        </w:rPr>
        <w:t>对决</w:t>
      </w:r>
    </w:p>
    <w:p w14:paraId="5718421F"/>
    <w:p w14:paraId="0D9FF87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2025年年报季，一个被资本市场过度聚焦于AI、息差和分红的数据，在不经意间刷新了中国金融史</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农业银行县域贷款余额突破10.9万亿元，全年新增10812亿元，增速高达11.0%，高于全行平均水平2.1个百分点，余额占境内贷款比重攀升至41.0%。</w:t>
      </w:r>
    </w:p>
    <w:p w14:paraId="2E554C5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10.9万亿，比工商银行上海市分行的资产规模还要大两个数量级。</w:t>
      </w:r>
    </w:p>
    <w:p w14:paraId="3BF3205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而在同一个县域战场上，常熟农商银行</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一家资产规模刚刚突破4300亿元的区域小行</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交出了0.76%的不良贷款率、451.25%的拨备覆盖率、全年归母净利润同比增长10.65%的成绩单。</w:t>
      </w:r>
    </w:p>
    <w:p w14:paraId="281B364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一家是资产规模超50万亿的国有大行，以每年超万亿的增量在县域战场上攻城拔寨；一家是扎根苏南一隅的上市农商行，用全行业最低的不良率证明小而美也能活得很好。</w:t>
      </w:r>
    </w:p>
    <w:p w14:paraId="281F2B0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这是12万亿县域金融版图上最精彩的两条路线对决。</w:t>
      </w:r>
    </w:p>
    <w:p w14:paraId="6D6E1BDC">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农行的下沉铁军</w:t>
      </w:r>
      <w:r>
        <w:rPr>
          <w:rFonts w:hint="eastAsia" w:ascii="Segoe UI" w:hAnsi="Segoe UI" w:cs="Segoe UI"/>
          <w:b/>
          <w:bCs/>
          <w:caps w:val="0"/>
          <w:color w:val="0F1115"/>
          <w:spacing w:val="0"/>
          <w:sz w:val="26"/>
          <w:szCs w:val="26"/>
          <w:shd w:val="clear" w:fill="FFFFFF"/>
          <w:lang w:eastAsia="zh-CN"/>
        </w:rPr>
        <w:t>，</w:t>
      </w:r>
      <w:r>
        <w:rPr>
          <w:rFonts w:hint="default" w:ascii="Segoe UI" w:hAnsi="Segoe UI" w:eastAsia="Segoe UI" w:cs="Segoe UI"/>
          <w:b/>
          <w:bCs/>
          <w:caps w:val="0"/>
          <w:color w:val="0F1115"/>
          <w:spacing w:val="0"/>
          <w:sz w:val="26"/>
          <w:szCs w:val="26"/>
          <w:shd w:val="clear" w:fill="FFFFFF"/>
        </w:rPr>
        <w:t>106个新网点、1742个惠农站、3000亿专项额度</w:t>
      </w:r>
    </w:p>
    <w:p w14:paraId="2FDEF41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农业银行用一连串数字宣告了自己在县域战场的绝对统治力。</w:t>
      </w:r>
    </w:p>
    <w:p w14:paraId="3F84CF4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eastAsia" w:ascii="Segoe UI" w:hAnsi="Segoe UI" w:eastAsia="宋体" w:cs="Segoe UI"/>
          <w:i w:val="0"/>
          <w:iCs w:val="0"/>
          <w:caps w:val="0"/>
          <w:color w:val="0F1115"/>
          <w:spacing w:val="0"/>
          <w:sz w:val="19"/>
          <w:szCs w:val="19"/>
          <w:lang w:eastAsia="zh-CN"/>
        </w:rPr>
      </w:pPr>
      <w:r>
        <w:rPr>
          <w:rFonts w:hint="default" w:ascii="Segoe UI" w:hAnsi="Segoe UI" w:eastAsia="Segoe UI" w:cs="Segoe UI"/>
          <w:i w:val="0"/>
          <w:iCs w:val="0"/>
          <w:caps w:val="0"/>
          <w:color w:val="0F1115"/>
          <w:spacing w:val="0"/>
          <w:sz w:val="19"/>
          <w:szCs w:val="19"/>
          <w:shd w:val="clear" w:fill="FFFFFF"/>
        </w:rPr>
        <w:t>先看农行县域金融的全景指标表</w:t>
      </w:r>
      <w:r>
        <w:rPr>
          <w:rFonts w:hint="eastAsia" w:ascii="Segoe UI" w:hAnsi="Segoe UI" w:eastAsia="宋体" w:cs="Segoe UI"/>
          <w:i w:val="0"/>
          <w:iCs w:val="0"/>
          <w:caps w:val="0"/>
          <w:color w:val="0F1115"/>
          <w:spacing w:val="0"/>
          <w:sz w:val="19"/>
          <w:szCs w:val="19"/>
          <w:shd w:val="clear" w:fill="FFFFFF"/>
          <w:lang w:eastAsia="zh-CN"/>
        </w:rPr>
        <w:t>，</w:t>
      </w:r>
    </w:p>
    <w:tbl>
      <w:tblPr>
        <w:tblStyle w:val="24"/>
        <w:tblW w:w="90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4"/>
        <w:gridCol w:w="3634"/>
        <w:gridCol w:w="3136"/>
      </w:tblGrid>
      <w:tr w14:paraId="7E44D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FFFFFF" w:sz="4" w:space="0"/>
              <w:left w:val="single" w:color="FFFFFF" w:sz="4" w:space="0"/>
              <w:bottom w:val="single" w:color="FFFFFF" w:sz="4" w:space="0"/>
              <w:right w:val="single" w:color="FFFFFF" w:sz="4" w:space="0"/>
              <w:tl2br w:val="nil"/>
            </w:tcBorders>
            <w:shd w:val="clear" w:color="auto" w:fill="75BD42"/>
            <w:tcMar>
              <w:top w:w="120" w:type="dxa"/>
              <w:left w:w="0" w:type="dxa"/>
              <w:bottom w:w="120" w:type="dxa"/>
              <w:right w:w="192" w:type="dxa"/>
            </w:tcMar>
            <w:vAlign w:val="center"/>
          </w:tcPr>
          <w:p w14:paraId="48A727D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指标</w:t>
            </w:r>
          </w:p>
        </w:tc>
        <w:tc>
          <w:tcPr>
            <w:tcW w:w="0" w:type="auto"/>
            <w:tcBorders>
              <w:top w:val="single" w:color="FFFFFF" w:sz="4" w:space="0"/>
              <w:left w:val="single" w:color="FFFFFF" w:sz="4" w:space="0"/>
              <w:bottom w:val="single" w:color="FFFFFF" w:sz="4" w:space="0"/>
              <w:right w:val="single" w:color="FFFFFF" w:sz="4" w:space="0"/>
            </w:tcBorders>
            <w:shd w:val="clear" w:color="auto" w:fill="75BD42"/>
            <w:tcMar>
              <w:top w:w="120" w:type="dxa"/>
              <w:left w:w="192" w:type="dxa"/>
              <w:bottom w:w="120" w:type="dxa"/>
              <w:right w:w="192" w:type="dxa"/>
            </w:tcMar>
            <w:vAlign w:val="center"/>
          </w:tcPr>
          <w:p w14:paraId="3B11506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2025年数据</w:t>
            </w:r>
          </w:p>
        </w:tc>
        <w:tc>
          <w:tcPr>
            <w:tcW w:w="0" w:type="auto"/>
            <w:tcBorders>
              <w:top w:val="single" w:color="FFFFFF" w:sz="4" w:space="0"/>
              <w:left w:val="single" w:color="FFFFFF" w:sz="4" w:space="0"/>
              <w:bottom w:val="single" w:color="FFFFFF" w:sz="4" w:space="0"/>
              <w:right w:val="single" w:color="FFFFFF" w:sz="4" w:space="0"/>
            </w:tcBorders>
            <w:shd w:val="clear" w:color="auto" w:fill="75BD42"/>
            <w:tcMar>
              <w:top w:w="120" w:type="dxa"/>
              <w:left w:w="192" w:type="dxa"/>
              <w:bottom w:w="120" w:type="dxa"/>
              <w:right w:w="192" w:type="dxa"/>
            </w:tcMar>
            <w:vAlign w:val="center"/>
          </w:tcPr>
          <w:p w14:paraId="1872213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增速/备注</w:t>
            </w:r>
          </w:p>
        </w:tc>
      </w:tr>
      <w:tr w14:paraId="3A33D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646DCBF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县域贷款余额</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49E0723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10.9万亿元（净增10812亿）</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04CCA53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+11.0%，高于全行2.1pct</w:t>
            </w:r>
          </w:p>
        </w:tc>
      </w:tr>
      <w:tr w14:paraId="414B4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0" w:type="dxa"/>
              <w:bottom w:w="120" w:type="dxa"/>
              <w:right w:w="192" w:type="dxa"/>
            </w:tcMar>
            <w:vAlign w:val="center"/>
          </w:tcPr>
          <w:p w14:paraId="52A3A2D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占境内贷款比重</w:t>
            </w:r>
          </w:p>
        </w:tc>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2F4E395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41.0%</w:t>
            </w:r>
          </w:p>
        </w:tc>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0" w:type="dxa"/>
            </w:tcMar>
            <w:vAlign w:val="center"/>
          </w:tcPr>
          <w:p w14:paraId="1F4456F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连续5年提升</w:t>
            </w:r>
          </w:p>
        </w:tc>
      </w:tr>
      <w:tr w14:paraId="3EC80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6FE1771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粮食安全领域贷款</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7957057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1.21万亿元</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07F7036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+20.3%，高于全行11.4pct</w:t>
            </w:r>
          </w:p>
        </w:tc>
      </w:tr>
      <w:tr w14:paraId="12C5B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0" w:type="dxa"/>
              <w:bottom w:w="120" w:type="dxa"/>
              <w:right w:w="192" w:type="dxa"/>
            </w:tcMar>
            <w:vAlign w:val="center"/>
          </w:tcPr>
          <w:p w14:paraId="7E561B7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乡村产业贷款</w:t>
            </w:r>
          </w:p>
        </w:tc>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683CC23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2.66万亿元</w:t>
            </w:r>
          </w:p>
        </w:tc>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0" w:type="dxa"/>
            </w:tcMar>
            <w:vAlign w:val="center"/>
          </w:tcPr>
          <w:p w14:paraId="68F703F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+19.5%</w:t>
            </w:r>
          </w:p>
        </w:tc>
      </w:tr>
      <w:tr w14:paraId="43DAB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27349DD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科技贷款余额</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08CF218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4.7万亿元</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6BD5443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+20.1%</w:t>
            </w:r>
          </w:p>
        </w:tc>
      </w:tr>
      <w:tr w14:paraId="04F88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0" w:type="dxa"/>
              <w:bottom w:w="120" w:type="dxa"/>
              <w:right w:w="192" w:type="dxa"/>
            </w:tcMar>
            <w:vAlign w:val="center"/>
          </w:tcPr>
          <w:p w14:paraId="015F7F4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绿色贷款余额</w:t>
            </w:r>
          </w:p>
        </w:tc>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149F0E4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5.93万亿元</w:t>
            </w:r>
          </w:p>
        </w:tc>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0" w:type="dxa"/>
            </w:tcMar>
            <w:vAlign w:val="center"/>
          </w:tcPr>
          <w:p w14:paraId="5E74543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+18.7%</w:t>
            </w:r>
          </w:p>
        </w:tc>
      </w:tr>
      <w:tr w14:paraId="08143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21489DE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重点帮扶县贷款</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1B971F1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4800亿元</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56EA1D8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覆盖160个县</w:t>
            </w:r>
          </w:p>
        </w:tc>
      </w:tr>
      <w:tr w14:paraId="681B4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0" w:type="dxa"/>
              <w:bottom w:w="120" w:type="dxa"/>
              <w:right w:w="192" w:type="dxa"/>
            </w:tcMar>
            <w:vAlign w:val="center"/>
          </w:tcPr>
          <w:p w14:paraId="32969A5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惠农e贷余额</w:t>
            </w:r>
          </w:p>
        </w:tc>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027A1C4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1.84万亿元</w:t>
            </w:r>
          </w:p>
        </w:tc>
        <w:tc>
          <w:tcPr>
            <w:tcW w:w="0" w:type="auto"/>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0" w:type="dxa"/>
            </w:tcMar>
            <w:vAlign w:val="center"/>
          </w:tcPr>
          <w:p w14:paraId="4CF40AD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+22.9%</w:t>
            </w:r>
          </w:p>
        </w:tc>
      </w:tr>
      <w:tr w14:paraId="5739C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5E4CEB7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县域手机银行月活</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69F3C85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1.3亿户</w:t>
            </w:r>
          </w:p>
        </w:tc>
        <w:tc>
          <w:tcPr>
            <w:tcW w:w="0" w:type="auto"/>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5A93BE1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+12%</w:t>
            </w:r>
          </w:p>
        </w:tc>
      </w:tr>
    </w:tbl>
    <w:p w14:paraId="0807630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p>
    <w:p w14:paraId="0AC769B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但这张表格背后真正的冲击力，藏在两个被市场严重忽略的细节里。</w:t>
      </w:r>
    </w:p>
    <w:p w14:paraId="6CD1808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Style w:val="26"/>
          <w:rFonts w:hint="default" w:ascii="Segoe UI" w:hAnsi="Segoe UI" w:eastAsia="Segoe UI" w:cs="Segoe UI"/>
          <w:b/>
          <w:bCs/>
          <w:i w:val="0"/>
          <w:iCs w:val="0"/>
          <w:caps w:val="0"/>
          <w:color w:val="0F1115"/>
          <w:spacing w:val="0"/>
          <w:sz w:val="19"/>
          <w:szCs w:val="19"/>
          <w:shd w:val="clear" w:fill="FFFFFF"/>
        </w:rPr>
        <w:t>农行对特定群体的信贷倾斜达到了不计成本的程度。</w:t>
      </w:r>
      <w:r>
        <w:rPr>
          <w:rFonts w:hint="default" w:ascii="Segoe UI" w:hAnsi="Segoe UI" w:eastAsia="Segoe UI" w:cs="Segoe UI"/>
          <w:i w:val="0"/>
          <w:iCs w:val="0"/>
          <w:caps w:val="0"/>
          <w:color w:val="0F1115"/>
          <w:spacing w:val="0"/>
          <w:sz w:val="19"/>
          <w:szCs w:val="19"/>
          <w:shd w:val="clear" w:fill="FFFFFF"/>
        </w:rPr>
        <w:t> 年报显示，农行对160个国家乡村振兴重点帮扶县的贷款余额高达4800亿元，增速显著高于全行平均水平（2025年前三季度，仅在甘肃的58个重点帮扶县就新增贷款184.77亿元，增速达15.18%）。</w:t>
      </w:r>
    </w:p>
    <w:p w14:paraId="793012A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这意味着农行在最偏远、经济基础最薄弱的160个县域，持续进行着巨额信贷投放</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这不是市场化行为，而是一项带有强烈公共政策属性的金融工程。</w:t>
      </w:r>
    </w:p>
    <w:p w14:paraId="10AC0EC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Style w:val="26"/>
          <w:rFonts w:hint="default" w:ascii="Segoe UI" w:hAnsi="Segoe UI" w:eastAsia="Segoe UI" w:cs="Segoe UI"/>
          <w:b/>
          <w:bCs/>
          <w:i w:val="0"/>
          <w:iCs w:val="0"/>
          <w:caps w:val="0"/>
          <w:color w:val="0F1115"/>
          <w:spacing w:val="0"/>
          <w:sz w:val="19"/>
          <w:szCs w:val="19"/>
          <w:shd w:val="clear" w:fill="FFFFFF"/>
        </w:rPr>
        <w:t>农行在悄悄重返线下。</w:t>
      </w:r>
      <w:r>
        <w:rPr>
          <w:rFonts w:hint="default" w:ascii="Segoe UI" w:hAnsi="Segoe UI" w:eastAsia="Segoe UI" w:cs="Segoe UI"/>
          <w:i w:val="0"/>
          <w:iCs w:val="0"/>
          <w:caps w:val="0"/>
          <w:color w:val="0F1115"/>
          <w:spacing w:val="0"/>
          <w:sz w:val="19"/>
          <w:szCs w:val="19"/>
          <w:shd w:val="clear" w:fill="FFFFFF"/>
        </w:rPr>
        <w:t> 2025年，农行在县域乡镇完成网点迁建179个，建成惠农服务站1742个。农行行长王志恒明确提出了2026年三大目标</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县域贷款净增超万亿元、向乡镇迁建网点180个、建成惠农服务站3000家。</w:t>
      </w:r>
    </w:p>
    <w:p w14:paraId="7725890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当全行业都在唱衰物理网点、加速线上化的时候，农行选择了反向押注</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用真正的物理站点去覆盖最分散、最难触达的县域客户。</w:t>
      </w:r>
    </w:p>
    <w:p w14:paraId="73CD3EA4">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更精确的靶向滴灌式下沉。</w:t>
      </w:r>
      <w:r>
        <w:rPr>
          <w:rFonts w:hint="default" w:ascii="Segoe UI" w:hAnsi="Segoe UI" w:eastAsia="Segoe UI" w:cs="Segoe UI"/>
          <w:i w:val="0"/>
          <w:iCs w:val="0"/>
          <w:caps w:val="0"/>
          <w:color w:val="0F1115"/>
          <w:spacing w:val="0"/>
          <w:sz w:val="19"/>
          <w:szCs w:val="19"/>
          <w:shd w:val="clear" w:fill="FFFFFF"/>
        </w:rPr>
        <w:t> 以湖北孝感为例，农行在该市推出了水产e贷、种苗e贷、水稻e贷等21款定制惠农e贷产品，均以纯信用方式授信，审批流程全部线上化。截至2025年末，该分行惠农e贷净增达23.35亿元。这种批量定制+精准授信的模式，充分体现了农行管理层反复强调的战略逻辑</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向下沉要增量市场。</w:t>
      </w:r>
    </w:p>
    <w:p w14:paraId="34AAABA1">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常熟银行的小微阵地战</w:t>
      </w:r>
      <w:r>
        <w:rPr>
          <w:rFonts w:hint="eastAsia" w:ascii="Segoe UI" w:hAnsi="Segoe UI" w:cs="Segoe UI"/>
          <w:b/>
          <w:bCs/>
          <w:caps w:val="0"/>
          <w:color w:val="0F1115"/>
          <w:spacing w:val="0"/>
          <w:sz w:val="26"/>
          <w:szCs w:val="26"/>
          <w:shd w:val="clear" w:fill="FFFFFF"/>
          <w:lang w:eastAsia="zh-CN"/>
        </w:rPr>
        <w:t>，</w:t>
      </w:r>
      <w:r>
        <w:rPr>
          <w:rFonts w:hint="default" w:ascii="Segoe UI" w:hAnsi="Segoe UI" w:eastAsia="Segoe UI" w:cs="Segoe UI"/>
          <w:b/>
          <w:bCs/>
          <w:caps w:val="0"/>
          <w:color w:val="0F1115"/>
          <w:spacing w:val="0"/>
          <w:sz w:val="26"/>
          <w:szCs w:val="26"/>
          <w:shd w:val="clear" w:fill="FFFFFF"/>
        </w:rPr>
        <w:t>94.2%的贷款户借款不足百万</w:t>
      </w:r>
    </w:p>
    <w:p w14:paraId="1A98BA2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常熟农商银行2025年总资产约4300亿元，不到农行的百分之一。但在这张规模差距悬殊的成绩单上，常熟银行从另一个维度交出了让农行无法忽视的对标成绩。</w:t>
      </w:r>
    </w:p>
    <w:p w14:paraId="02169D3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eastAsia" w:ascii="Segoe UI" w:hAnsi="Segoe UI" w:eastAsia="宋体" w:cs="Segoe UI"/>
          <w:i w:val="0"/>
          <w:iCs w:val="0"/>
          <w:caps w:val="0"/>
          <w:color w:val="0F1115"/>
          <w:spacing w:val="0"/>
          <w:sz w:val="19"/>
          <w:szCs w:val="19"/>
          <w:lang w:eastAsia="zh-CN"/>
        </w:rPr>
      </w:pPr>
      <w:r>
        <w:rPr>
          <w:rFonts w:hint="default" w:ascii="Segoe UI" w:hAnsi="Segoe UI" w:eastAsia="Segoe UI" w:cs="Segoe UI"/>
          <w:i w:val="0"/>
          <w:iCs w:val="0"/>
          <w:caps w:val="0"/>
          <w:color w:val="0F1115"/>
          <w:spacing w:val="0"/>
          <w:sz w:val="19"/>
          <w:szCs w:val="19"/>
          <w:shd w:val="clear" w:fill="FFFFFF"/>
        </w:rPr>
        <w:t>先看常熟银行核心数据</w:t>
      </w:r>
      <w:r>
        <w:rPr>
          <w:rFonts w:hint="eastAsia" w:ascii="Segoe UI" w:hAnsi="Segoe UI" w:eastAsia="宋体" w:cs="Segoe UI"/>
          <w:i w:val="0"/>
          <w:iCs w:val="0"/>
          <w:caps w:val="0"/>
          <w:color w:val="0F1115"/>
          <w:spacing w:val="0"/>
          <w:sz w:val="19"/>
          <w:szCs w:val="19"/>
          <w:shd w:val="clear" w:fill="FFFFFF"/>
          <w:lang w:eastAsia="zh-CN"/>
        </w:rPr>
        <w:t>，</w:t>
      </w:r>
    </w:p>
    <w:tbl>
      <w:tblPr>
        <w:tblStyle w:val="2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06"/>
        <w:gridCol w:w="1840"/>
        <w:gridCol w:w="2133"/>
        <w:gridCol w:w="1821"/>
      </w:tblGrid>
      <w:tr w14:paraId="400FB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591" w:type="pct"/>
            <w:tcBorders>
              <w:top w:val="single" w:color="FFFFFF" w:sz="4" w:space="0"/>
              <w:left w:val="single" w:color="FFFFFF" w:sz="4" w:space="0"/>
              <w:bottom w:val="single" w:color="FFFFFF" w:sz="4" w:space="0"/>
              <w:right w:val="single" w:color="FFFFFF" w:sz="4" w:space="0"/>
              <w:tl2br w:val="nil"/>
            </w:tcBorders>
            <w:shd w:val="clear" w:color="auto" w:fill="75BD42"/>
            <w:tcMar>
              <w:top w:w="120" w:type="dxa"/>
              <w:left w:w="0" w:type="dxa"/>
              <w:bottom w:w="120" w:type="dxa"/>
              <w:right w:w="192" w:type="dxa"/>
            </w:tcMar>
            <w:vAlign w:val="center"/>
          </w:tcPr>
          <w:p w14:paraId="66C3ECE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指标</w:t>
            </w:r>
          </w:p>
        </w:tc>
        <w:tc>
          <w:tcPr>
            <w:tcW w:w="1082" w:type="pct"/>
            <w:tcBorders>
              <w:top w:val="single" w:color="FFFFFF" w:sz="4" w:space="0"/>
              <w:left w:val="single" w:color="FFFFFF" w:sz="4" w:space="0"/>
              <w:bottom w:val="single" w:color="FFFFFF" w:sz="4" w:space="0"/>
              <w:right w:val="single" w:color="FFFFFF" w:sz="4" w:space="0"/>
            </w:tcBorders>
            <w:shd w:val="clear" w:color="auto" w:fill="75BD42"/>
            <w:tcMar>
              <w:top w:w="120" w:type="dxa"/>
              <w:left w:w="192" w:type="dxa"/>
              <w:bottom w:w="120" w:type="dxa"/>
              <w:right w:w="192" w:type="dxa"/>
            </w:tcMar>
            <w:vAlign w:val="center"/>
          </w:tcPr>
          <w:p w14:paraId="0695D7DF">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2025年</w:t>
            </w:r>
          </w:p>
        </w:tc>
        <w:tc>
          <w:tcPr>
            <w:tcW w:w="1254" w:type="pct"/>
            <w:tcBorders>
              <w:top w:val="single" w:color="FFFFFF" w:sz="4" w:space="0"/>
              <w:left w:val="single" w:color="FFFFFF" w:sz="4" w:space="0"/>
              <w:bottom w:val="single" w:color="FFFFFF" w:sz="4" w:space="0"/>
              <w:right w:val="single" w:color="FFFFFF" w:sz="4" w:space="0"/>
            </w:tcBorders>
            <w:shd w:val="clear" w:color="auto" w:fill="75BD42"/>
            <w:tcMar>
              <w:top w:w="120" w:type="dxa"/>
              <w:left w:w="192" w:type="dxa"/>
              <w:bottom w:w="120" w:type="dxa"/>
              <w:right w:w="192" w:type="dxa"/>
            </w:tcMar>
            <w:vAlign w:val="center"/>
          </w:tcPr>
          <w:p w14:paraId="26251A5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2026年一季度</w:t>
            </w:r>
          </w:p>
        </w:tc>
        <w:tc>
          <w:tcPr>
            <w:tcW w:w="1070" w:type="pct"/>
            <w:tcBorders>
              <w:top w:val="single" w:color="FFFFFF" w:sz="4" w:space="0"/>
              <w:left w:val="single" w:color="FFFFFF" w:sz="4" w:space="0"/>
              <w:bottom w:val="single" w:color="FFFFFF" w:sz="4" w:space="0"/>
              <w:right w:val="single" w:color="FFFFFF" w:sz="4" w:space="0"/>
            </w:tcBorders>
            <w:shd w:val="clear" w:color="auto" w:fill="75BD42"/>
            <w:tcMar>
              <w:top w:w="120" w:type="dxa"/>
              <w:left w:w="192" w:type="dxa"/>
              <w:bottom w:w="120" w:type="dxa"/>
              <w:right w:w="192" w:type="dxa"/>
            </w:tcMar>
            <w:vAlign w:val="center"/>
          </w:tcPr>
          <w:p w14:paraId="2690C46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对比农行</w:t>
            </w:r>
          </w:p>
        </w:tc>
      </w:tr>
      <w:tr w14:paraId="607E5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1" w:type="pct"/>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4119A76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归母净利润</w:t>
            </w:r>
          </w:p>
        </w:tc>
        <w:tc>
          <w:tcPr>
            <w:tcW w:w="1082"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04061BD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42.19亿元</w:t>
            </w:r>
          </w:p>
        </w:tc>
        <w:tc>
          <w:tcPr>
            <w:tcW w:w="1254"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101DE4A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11.62亿元</w:t>
            </w:r>
          </w:p>
        </w:tc>
        <w:tc>
          <w:tcPr>
            <w:tcW w:w="1070"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22484B5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r>
      <w:tr w14:paraId="1AC2B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1" w:type="pct"/>
            <w:tcBorders>
              <w:top w:val="single" w:color="FFFFFF" w:sz="4" w:space="0"/>
              <w:left w:val="single" w:color="FFFFFF" w:sz="4" w:space="0"/>
              <w:bottom w:val="single" w:color="FFFFFF" w:sz="4" w:space="0"/>
              <w:right w:val="single" w:color="FFFFFF" w:sz="4" w:space="0"/>
            </w:tcBorders>
            <w:shd w:val="clear" w:color="auto" w:fill="E3F2D9"/>
            <w:tcMar>
              <w:top w:w="120" w:type="dxa"/>
              <w:left w:w="0" w:type="dxa"/>
              <w:bottom w:w="120" w:type="dxa"/>
              <w:right w:w="192" w:type="dxa"/>
            </w:tcMar>
            <w:vAlign w:val="center"/>
          </w:tcPr>
          <w:p w14:paraId="2E5B5A7A">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净利润增速</w:t>
            </w:r>
          </w:p>
        </w:tc>
        <w:tc>
          <w:tcPr>
            <w:tcW w:w="1082"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1179FA1E">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Style w:val="26"/>
                <w:rFonts w:hint="default" w:ascii="Segoe UI" w:hAnsi="Segoe UI" w:eastAsia="Segoe UI" w:cs="Segoe UI"/>
                <w:b w:val="0"/>
                <w:bCs/>
                <w:snapToGrid w:val="0"/>
                <w:color w:val="000000"/>
                <w:kern w:val="0"/>
                <w:sz w:val="18"/>
                <w:szCs w:val="18"/>
                <w:lang w:val="en-US" w:eastAsia="zh-CN" w:bidi="ar"/>
              </w:rPr>
              <w:t>+10.65%</w:t>
            </w:r>
          </w:p>
        </w:tc>
        <w:tc>
          <w:tcPr>
            <w:tcW w:w="1254"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294CDA9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Style w:val="26"/>
                <w:rFonts w:hint="default" w:ascii="Segoe UI" w:hAnsi="Segoe UI" w:eastAsia="Segoe UI" w:cs="Segoe UI"/>
                <w:b w:val="0"/>
                <w:bCs/>
                <w:snapToGrid w:val="0"/>
                <w:color w:val="000000"/>
                <w:kern w:val="0"/>
                <w:sz w:val="18"/>
                <w:szCs w:val="18"/>
                <w:lang w:val="en-US" w:eastAsia="zh-CN" w:bidi="ar"/>
              </w:rPr>
              <w:t>+11.10%</w:t>
            </w:r>
          </w:p>
        </w:tc>
        <w:tc>
          <w:tcPr>
            <w:tcW w:w="1070"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0" w:type="dxa"/>
            </w:tcMar>
            <w:vAlign w:val="center"/>
          </w:tcPr>
          <w:p w14:paraId="63913A3F">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高于农行3.3%</w:t>
            </w:r>
          </w:p>
        </w:tc>
      </w:tr>
      <w:tr w14:paraId="6F8AA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1" w:type="pct"/>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429D548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不良贷款率</w:t>
            </w:r>
          </w:p>
        </w:tc>
        <w:tc>
          <w:tcPr>
            <w:tcW w:w="1082"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1122F6C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0.76%</w:t>
            </w:r>
          </w:p>
        </w:tc>
        <w:tc>
          <w:tcPr>
            <w:tcW w:w="1254"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522C4C8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Style w:val="26"/>
                <w:rFonts w:hint="default" w:ascii="Segoe UI" w:hAnsi="Segoe UI" w:eastAsia="Segoe UI" w:cs="Segoe UI"/>
                <w:b w:val="0"/>
                <w:bCs/>
                <w:snapToGrid w:val="0"/>
                <w:color w:val="000000"/>
                <w:kern w:val="0"/>
                <w:sz w:val="18"/>
                <w:szCs w:val="18"/>
                <w:lang w:val="en-US" w:eastAsia="zh-CN" w:bidi="ar"/>
              </w:rPr>
              <w:t>0.75%</w:t>
            </w:r>
          </w:p>
        </w:tc>
        <w:tc>
          <w:tcPr>
            <w:tcW w:w="1070"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7EAB7CB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r>
      <w:tr w14:paraId="7CB8D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1" w:type="pct"/>
            <w:tcBorders>
              <w:top w:val="single" w:color="FFFFFF" w:sz="4" w:space="0"/>
              <w:left w:val="single" w:color="FFFFFF" w:sz="4" w:space="0"/>
              <w:bottom w:val="single" w:color="FFFFFF" w:sz="4" w:space="0"/>
              <w:right w:val="single" w:color="FFFFFF" w:sz="4" w:space="0"/>
            </w:tcBorders>
            <w:shd w:val="clear" w:color="auto" w:fill="E3F2D9"/>
            <w:tcMar>
              <w:top w:w="120" w:type="dxa"/>
              <w:left w:w="0" w:type="dxa"/>
              <w:bottom w:w="120" w:type="dxa"/>
              <w:right w:w="192" w:type="dxa"/>
            </w:tcMar>
            <w:vAlign w:val="center"/>
          </w:tcPr>
          <w:p w14:paraId="7E3B424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拨备覆盖率</w:t>
            </w:r>
          </w:p>
        </w:tc>
        <w:tc>
          <w:tcPr>
            <w:tcW w:w="1082"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4C58610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451.25%</w:t>
            </w:r>
          </w:p>
        </w:tc>
        <w:tc>
          <w:tcPr>
            <w:tcW w:w="1254"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28DA315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c>
          <w:tcPr>
            <w:tcW w:w="1070"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0" w:type="dxa"/>
            </w:tcMar>
            <w:vAlign w:val="center"/>
          </w:tcPr>
          <w:p w14:paraId="7A8DC0D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r>
      <w:tr w14:paraId="2820C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1" w:type="pct"/>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37A6579F">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ROE</w:t>
            </w:r>
          </w:p>
        </w:tc>
        <w:tc>
          <w:tcPr>
            <w:tcW w:w="1082"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3DB9CA1F">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14.05%</w:t>
            </w:r>
          </w:p>
        </w:tc>
        <w:tc>
          <w:tcPr>
            <w:tcW w:w="1254"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4A49C4E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c>
          <w:tcPr>
            <w:tcW w:w="1070"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41D976E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r>
      <w:tr w14:paraId="05FF3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1" w:type="pct"/>
            <w:tcBorders>
              <w:top w:val="single" w:color="FFFFFF" w:sz="4" w:space="0"/>
              <w:left w:val="single" w:color="FFFFFF" w:sz="4" w:space="0"/>
              <w:bottom w:val="single" w:color="FFFFFF" w:sz="4" w:space="0"/>
              <w:right w:val="single" w:color="FFFFFF" w:sz="4" w:space="0"/>
            </w:tcBorders>
            <w:shd w:val="clear" w:color="auto" w:fill="E3F2D9"/>
            <w:tcMar>
              <w:top w:w="120" w:type="dxa"/>
              <w:left w:w="0" w:type="dxa"/>
              <w:bottom w:w="120" w:type="dxa"/>
              <w:right w:w="192" w:type="dxa"/>
            </w:tcMar>
            <w:vAlign w:val="center"/>
          </w:tcPr>
          <w:p w14:paraId="5EA17BB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总资产</w:t>
            </w:r>
          </w:p>
        </w:tc>
        <w:tc>
          <w:tcPr>
            <w:tcW w:w="1082"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2B1C28B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约4300亿元</w:t>
            </w:r>
          </w:p>
        </w:tc>
        <w:tc>
          <w:tcPr>
            <w:tcW w:w="1254"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192" w:type="dxa"/>
            </w:tcMar>
            <w:vAlign w:val="center"/>
          </w:tcPr>
          <w:p w14:paraId="2312109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c>
          <w:tcPr>
            <w:tcW w:w="1070" w:type="pct"/>
            <w:tcBorders>
              <w:top w:val="single" w:color="FFFFFF" w:sz="4" w:space="0"/>
              <w:left w:val="single" w:color="FFFFFF" w:sz="4" w:space="0"/>
              <w:bottom w:val="single" w:color="FFFFFF" w:sz="4" w:space="0"/>
              <w:right w:val="single" w:color="FFFFFF" w:sz="4" w:space="0"/>
            </w:tcBorders>
            <w:shd w:val="clear" w:color="auto" w:fill="E3F2D9"/>
            <w:tcMar>
              <w:top w:w="120" w:type="dxa"/>
              <w:left w:w="192" w:type="dxa"/>
              <w:bottom w:w="120" w:type="dxa"/>
              <w:right w:w="0" w:type="dxa"/>
            </w:tcMar>
            <w:vAlign w:val="center"/>
          </w:tcPr>
          <w:p w14:paraId="1FE1ED2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不到农行1%</w:t>
            </w:r>
          </w:p>
        </w:tc>
      </w:tr>
      <w:tr w14:paraId="51F32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1" w:type="pct"/>
            <w:tcBorders>
              <w:top w:val="single" w:color="FFFFFF" w:sz="4" w:space="0"/>
              <w:left w:val="single" w:color="FFFFFF" w:sz="4" w:space="0"/>
              <w:bottom w:val="single" w:color="FFFFFF" w:sz="4" w:space="0"/>
              <w:right w:val="single" w:color="FFFFFF" w:sz="4" w:space="0"/>
            </w:tcBorders>
            <w:shd w:val="clear" w:color="auto" w:fill="C8E5B4"/>
            <w:tcMar>
              <w:top w:w="120" w:type="dxa"/>
              <w:left w:w="0" w:type="dxa"/>
              <w:bottom w:w="120" w:type="dxa"/>
              <w:right w:w="192" w:type="dxa"/>
            </w:tcMar>
            <w:vAlign w:val="center"/>
          </w:tcPr>
          <w:p w14:paraId="6C7078F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100万以下贷款户占比</w:t>
            </w:r>
          </w:p>
        </w:tc>
        <w:tc>
          <w:tcPr>
            <w:tcW w:w="1082"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73C9820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94.2%</w:t>
            </w:r>
          </w:p>
        </w:tc>
        <w:tc>
          <w:tcPr>
            <w:tcW w:w="1254"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192" w:type="dxa"/>
            </w:tcMar>
            <w:vAlign w:val="center"/>
          </w:tcPr>
          <w:p w14:paraId="58953F9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c>
          <w:tcPr>
            <w:tcW w:w="1070" w:type="pct"/>
            <w:tcBorders>
              <w:top w:val="single" w:color="FFFFFF" w:sz="4" w:space="0"/>
              <w:left w:val="single" w:color="FFFFFF" w:sz="4" w:space="0"/>
              <w:bottom w:val="single" w:color="FFFFFF" w:sz="4" w:space="0"/>
              <w:right w:val="single" w:color="FFFFFF" w:sz="4" w:space="0"/>
            </w:tcBorders>
            <w:shd w:val="clear" w:color="auto" w:fill="C8E5B4"/>
            <w:tcMar>
              <w:top w:w="120" w:type="dxa"/>
              <w:left w:w="192" w:type="dxa"/>
              <w:bottom w:w="120" w:type="dxa"/>
              <w:right w:w="0" w:type="dxa"/>
            </w:tcMar>
            <w:vAlign w:val="center"/>
          </w:tcPr>
          <w:p w14:paraId="777C86C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r>
    </w:tbl>
    <w:p w14:paraId="105CEAE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数据来源</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常熟农商银行2025年年报及2026年一季报。</w:t>
      </w:r>
    </w:p>
    <w:p w14:paraId="11694FA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10.65%的净利润增速，在2025年城商行阵营中处于中上水平，但考虑到常熟银行的主要贷款客户中94.2%是借款不足100万元的小微群体，这个增速含金量完全不同。0.76%的</w:t>
      </w:r>
      <w:bookmarkStart w:id="0" w:name="_GoBack"/>
      <w:r>
        <w:rPr>
          <w:rFonts w:hint="default" w:ascii="Segoe UI" w:hAnsi="Segoe UI" w:eastAsia="Segoe UI" w:cs="Segoe UI"/>
          <w:i w:val="0"/>
          <w:iCs w:val="0"/>
          <w:caps w:val="0"/>
          <w:color w:val="0F1115"/>
          <w:spacing w:val="0"/>
          <w:sz w:val="19"/>
          <w:szCs w:val="19"/>
          <w:shd w:val="clear" w:fill="FFFFFF"/>
        </w:rPr>
        <w:t>不良率</w:t>
      </w:r>
      <w:bookmarkEnd w:id="0"/>
      <w:r>
        <w:rPr>
          <w:rFonts w:hint="default" w:ascii="Segoe UI" w:hAnsi="Segoe UI" w:eastAsia="Segoe UI" w:cs="Segoe UI"/>
          <w:i w:val="0"/>
          <w:iCs w:val="0"/>
          <w:caps w:val="0"/>
          <w:color w:val="0F1115"/>
          <w:spacing w:val="0"/>
          <w:sz w:val="19"/>
          <w:szCs w:val="19"/>
          <w:shd w:val="clear" w:fill="FFFFFF"/>
        </w:rPr>
        <w:t>甚至优于大多数国内零售银行，说明常熟银行在小微业务领域建立的风控体系已经炉火纯青</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小不等于乱，分散不等于差。</w:t>
      </w:r>
    </w:p>
    <w:p w14:paraId="5A7ACEB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农商行阵营的整体分化在常熟银行的强劲表现衬托下更为明显。2025年末农商行全行业不良率2.72%，在已经披露年报的相关农商行中，常熟银行的0.76%是最低值，瑞丰银行0.99%、苏农银行0.88%、张家港行约0.9%左右</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头部农商行的资产质量明显优于行业均值，而常熟银行正是第一梯队中的领跑者。</w:t>
      </w:r>
    </w:p>
    <w:p w14:paraId="0FAA86C4">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农行的批量精准vs常熟的信用下沉，两种路径，同一个答案</w:t>
      </w:r>
    </w:p>
    <w:p w14:paraId="7A94C19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农行和常熟银行，在县域金融战场上走出了完全不同的两条路。</w:t>
      </w:r>
    </w:p>
    <w:p w14:paraId="394FDB6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农行走的是批发式下沉</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惠农e贷（1.84万亿元余额，同比增长22.9%）通过部署于多个县域的数字化审批系统，实现了对农户的规模化覆盖，同时通过遍布乡镇的物理网点完成最后一公里触达。在2025年业绩发布会上，农行管理层提到，该行在甘肃等地的160个重点帮扶县中，通过信用户、信用村、信用镇的评定体系，将金融服务渗透到了农业产业薄弱但信贷需求迫切的地区。</w:t>
      </w:r>
    </w:p>
    <w:p w14:paraId="732796C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农行的下沉，是用资本和品牌将标准化金融服务推送到每一个县域角落，追求的是广度和总量。</w:t>
      </w:r>
    </w:p>
    <w:p w14:paraId="39A400E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常熟走的则是精细化信用</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94.2%的贷款户借款不足100万元，户均贷款极小，这意味着几乎所有贷款都依赖于客户经理的一线调研和本地化的风控判断</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这是大型银行无法复制、不愿投入的苦活累活。常熟银行2025年年报披露的不良率仅为0.76%，背后是对每一笔几十万元小微贷款的精准信用评估。</w:t>
      </w:r>
    </w:p>
    <w:p w14:paraId="28144D8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两者在资产质量上的表现形成了有趣的对位。</w:t>
      </w:r>
    </w:p>
    <w:p w14:paraId="2ACCF12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农行全行不</w:t>
      </w:r>
      <w:r>
        <w:rPr>
          <w:rFonts w:hint="default" w:ascii="Segoe UI" w:hAnsi="Segoe UI" w:eastAsia="Segoe UI" w:cs="Segoe UI"/>
          <w:i w:val="0"/>
          <w:iCs w:val="0"/>
          <w:caps w:val="0"/>
          <w:color w:val="0F1115"/>
          <w:spacing w:val="0"/>
          <w:sz w:val="19"/>
          <w:szCs w:val="19"/>
          <w:highlight w:val="yellow"/>
          <w:shd w:val="clear" w:fill="FFFFFF"/>
        </w:rPr>
        <w:t>良率约为1.2</w:t>
      </w:r>
      <w:r>
        <w:rPr>
          <w:rFonts w:hint="eastAsia" w:ascii="Segoe UI" w:hAnsi="Segoe UI" w:eastAsia="宋体" w:cs="Segoe UI"/>
          <w:i w:val="0"/>
          <w:iCs w:val="0"/>
          <w:caps w:val="0"/>
          <w:color w:val="0F1115"/>
          <w:spacing w:val="0"/>
          <w:sz w:val="19"/>
          <w:szCs w:val="19"/>
          <w:highlight w:val="yellow"/>
          <w:shd w:val="clear" w:fill="FFFFFF"/>
          <w:lang w:val="en-US" w:eastAsia="zh-CN"/>
        </w:rPr>
        <w:t>7</w:t>
      </w:r>
      <w:r>
        <w:rPr>
          <w:rFonts w:hint="default" w:ascii="Segoe UI" w:hAnsi="Segoe UI" w:eastAsia="Segoe UI" w:cs="Segoe UI"/>
          <w:i w:val="0"/>
          <w:iCs w:val="0"/>
          <w:caps w:val="0"/>
          <w:color w:val="0F1115"/>
          <w:spacing w:val="0"/>
          <w:sz w:val="19"/>
          <w:szCs w:val="19"/>
          <w:highlight w:val="yellow"/>
          <w:shd w:val="clear" w:fill="FFFFFF"/>
        </w:rPr>
        <w:t>%</w:t>
      </w:r>
      <w:r>
        <w:rPr>
          <w:rFonts w:hint="default" w:ascii="Segoe UI" w:hAnsi="Segoe UI" w:eastAsia="Segoe UI" w:cs="Segoe UI"/>
          <w:i w:val="0"/>
          <w:iCs w:val="0"/>
          <w:caps w:val="0"/>
          <w:color w:val="0F1115"/>
          <w:spacing w:val="0"/>
          <w:sz w:val="19"/>
          <w:szCs w:val="19"/>
          <w:highlight w:val="none"/>
          <w:shd w:val="clear" w:fill="FFFFFF"/>
        </w:rPr>
        <w:t>（</w:t>
      </w:r>
      <w:r>
        <w:rPr>
          <w:rFonts w:hint="default" w:ascii="Segoe UI" w:hAnsi="Segoe UI" w:eastAsia="Segoe UI" w:cs="Segoe UI"/>
          <w:i w:val="0"/>
          <w:iCs w:val="0"/>
          <w:caps w:val="0"/>
          <w:color w:val="0F1115"/>
          <w:spacing w:val="0"/>
          <w:sz w:val="19"/>
          <w:szCs w:val="19"/>
          <w:shd w:val="clear" w:fill="FFFFFF"/>
        </w:rPr>
        <w:t>六大行年报未单独披露县域贷款不良率，但农行全行不良率在六大行中处于中游），而常熟银行不良率0.76%</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在农村信贷这个公认高风险的领域，常熟银行的风险控制反而比规模千倍的农行更优。</w:t>
      </w:r>
    </w:p>
    <w:p w14:paraId="5C5A894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究其原因，常熟银行的日常客户触达比农行更细，风控判断融入了本地化的熟人关系网络和产业上下游信息，这种软信息的掌握程度是任何大行都难以复制的。</w:t>
      </w:r>
    </w:p>
    <w:p w14:paraId="69B2A03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两条路径各自的规模效率也有显著差异。农行以10.9万亿县域贷款创造利息收入超3000亿元（农行全行利息净收入5802亿元，县域占比未披露口径但41%贷款占比可参考）；常熟银行以约2515亿元贷款总额创造营业收入超100亿元（2025年上半年营收60.62亿元，全年估算）。</w:t>
      </w:r>
    </w:p>
    <w:p w14:paraId="3161A82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从单位贷款产出看，常熟银行因其贷款利率更高、客户议价空间更小，某种程度上实现了比农行更高的资产端收益率</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这是小行灵活定价的天然优势。</w:t>
      </w:r>
    </w:p>
    <w:p w14:paraId="6B40BBC8">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谁是11万亿盘子里的真正赢家？</w:t>
      </w:r>
    </w:p>
    <w:p w14:paraId="7E51F15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农行之外，邮储银行凭借近4万个网点、覆盖全国99%县域的渠道优势，在涉农金融领域构建了一道独特的竞争壁垒。2025年末，邮储涉农贷款余额达2.51万亿元，较半年前增加700亿元（半年报披露涉农贷款2.44万亿元，三季末2.47万亿元，年末2.51万亿元）。</w:t>
      </w:r>
    </w:p>
    <w:p w14:paraId="11E4779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eastAsia" w:ascii="Segoe UI" w:hAnsi="Segoe UI" w:eastAsia="宋体" w:cs="Segoe UI"/>
          <w:i w:val="0"/>
          <w:iCs w:val="0"/>
          <w:caps w:val="0"/>
          <w:color w:val="0F1115"/>
          <w:spacing w:val="0"/>
          <w:sz w:val="19"/>
          <w:szCs w:val="19"/>
          <w:shd w:val="clear" w:fill="FFFFFF"/>
          <w:lang w:eastAsia="zh-CN"/>
        </w:rPr>
      </w:pPr>
      <w:r>
        <w:rPr>
          <w:rFonts w:hint="default" w:ascii="Segoe UI" w:hAnsi="Segoe UI" w:eastAsia="Segoe UI" w:cs="Segoe UI"/>
          <w:i w:val="0"/>
          <w:iCs w:val="0"/>
          <w:caps w:val="0"/>
          <w:color w:val="0F1115"/>
          <w:spacing w:val="0"/>
          <w:sz w:val="19"/>
          <w:szCs w:val="19"/>
          <w:shd w:val="clear" w:fill="FFFFFF"/>
        </w:rPr>
        <w:t>邮储的农商行对手们情况要严峻得多。2025年全年超310家村镇银行、160家农商行退出市场，四川6家市级农商行一口气吸收合并27家县级机构，宁夏黄河农商银行同步整合19家机构。这些区域的合并重组，一方面标志着无法独立生存的小行机构正在加速关停并转</w:t>
      </w:r>
      <w:r>
        <w:rPr>
          <w:rFonts w:hint="eastAsia" w:ascii="Segoe UI" w:hAnsi="Segoe UI" w:eastAsia="宋体" w:cs="Segoe UI"/>
          <w:i w:val="0"/>
          <w:iCs w:val="0"/>
          <w:caps w:val="0"/>
          <w:color w:val="0F1115"/>
          <w:spacing w:val="0"/>
          <w:sz w:val="19"/>
          <w:szCs w:val="19"/>
          <w:shd w:val="clear" w:fill="FFFFFF"/>
          <w:lang w:eastAsia="zh-CN"/>
        </w:rPr>
        <w:t>。</w:t>
      </w:r>
    </w:p>
    <w:p w14:paraId="0CA3424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另一方面也预示，改革后将以合并后更强的省级或市级法人机构身份，更有序地填补乡镇一级的金融服务真空。</w:t>
      </w:r>
    </w:p>
    <w:p w14:paraId="74B7451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最后回答一个根本问题</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在超过11万亿的县域金融战场上，不同体量的银行分别占据了哪些位置？</w:t>
      </w:r>
    </w:p>
    <w:p w14:paraId="67BD3CC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农行独占半壁江山以上。约10.9万亿的县域贷款占全国所有银行县域贷款的较大比重，遥遥领先第二梯队的邮储银行（涉农贷款约2.5万亿）。建设银行未披露整体县域贷款数据，但从各地分行报送的县域贷款信息来看，建行在部分区域增长十分迅速</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福建省分行2025年10月县域重点产业贷款余额已超1000亿元，永州市分行县域贷款余额212.2亿元、占各项贷款比重超50%，以圈链群模式深耕县域产业。</w:t>
      </w:r>
    </w:p>
    <w:p w14:paraId="118F6B5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农商行阵营则是局部超车。</w:t>
      </w:r>
      <w:r>
        <w:rPr>
          <w:rFonts w:hint="default" w:ascii="Segoe UI" w:hAnsi="Segoe UI" w:eastAsia="Segoe UI" w:cs="Segoe UI"/>
          <w:i w:val="0"/>
          <w:iCs w:val="0"/>
          <w:caps w:val="0"/>
          <w:color w:val="0F1115"/>
          <w:spacing w:val="0"/>
          <w:sz w:val="19"/>
          <w:szCs w:val="19"/>
          <w:shd w:val="clear" w:fill="FFFFFF"/>
        </w:rPr>
        <w:t>常熟银行以4300亿总资产撬动14%以上ROE和10.65%净利润增长，在效率层面实现了对农行的超越。瑞丰银行0.99%的不良率和326.51%的拨备覆盖率也属行业较高水平，净息差延续改善态势。苏农银行0.88%的不良率和370.19%的拨备覆盖率同样展现了稳健的资产质量控制能力。这些优质的农商行体量虽小，但在客户黏性、本地化风控上的优势足以使其在细分市场持续跑赢大行。</w:t>
      </w:r>
    </w:p>
    <w:p w14:paraId="646C188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邮储银行凭借近4万网点普惠覆盖、2025年年报中2.51万亿涉农贷款余额的数据，稳居第二大县域信贷供应机构的位置。但其近4万网点的渠道优势正面临着网点退出大规模涌现和农行加速迁建新网点的双重压力，密集的网点网络是资产还是负担，将取决于后续运营效率的提升能否跑赢成本增长。</w:t>
      </w:r>
    </w:p>
    <w:p w14:paraId="6B79CDB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Style w:val="26"/>
          <w:rFonts w:hint="default" w:ascii="Segoe UI" w:hAnsi="Segoe UI" w:eastAsia="Segoe UI" w:cs="Segoe UI"/>
          <w:b/>
          <w:bCs/>
          <w:i w:val="0"/>
          <w:iCs w:val="0"/>
          <w:caps w:val="0"/>
          <w:color w:val="0F1115"/>
          <w:spacing w:val="0"/>
          <w:sz w:val="19"/>
          <w:szCs w:val="19"/>
          <w:shd w:val="clear" w:fill="FFFFFF"/>
        </w:rPr>
        <w:t>终极考验不是规模之争，而是在11万亿盘子里，谁能持续为分散在农村和乡镇的6亿多农民、上千万小微经营主体，提供更低成本、更高效率、更可持续的金融服务。</w:t>
      </w:r>
      <w:r>
        <w:rPr>
          <w:rFonts w:hint="default" w:ascii="Segoe UI" w:hAnsi="Segoe UI" w:eastAsia="Segoe UI" w:cs="Segoe UI"/>
          <w:i w:val="0"/>
          <w:iCs w:val="0"/>
          <w:caps w:val="0"/>
          <w:color w:val="0F1115"/>
          <w:spacing w:val="0"/>
          <w:sz w:val="19"/>
          <w:szCs w:val="19"/>
          <w:shd w:val="clear" w:fill="FFFFFF"/>
        </w:rPr>
        <w:t> </w:t>
      </w:r>
    </w:p>
    <w:p w14:paraId="3E047A7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一个县域客户不会关心银行是国有大行还是农商行，他只关心两件事</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贷款利率够不够低，审批速度够不够快。比拼的不是招牌大小，而是谁在村口最近、响应最快。</w:t>
      </w:r>
    </w:p>
    <w:p w14:paraId="772AB7E8">
      <w:pPr>
        <w:keepNext w:val="0"/>
        <w:keepLines w:val="0"/>
        <w:pageBreakBefore w:val="0"/>
        <w:widowControl/>
        <w:kinsoku w:val="0"/>
        <w:wordWrap/>
        <w:overflowPunct/>
        <w:topLinePunct w:val="0"/>
        <w:autoSpaceDE w:val="0"/>
        <w:autoSpaceDN w:val="0"/>
        <w:bidi w:val="0"/>
        <w:adjustRightInd w:val="0"/>
        <w:snapToGrid w:val="0"/>
        <w:ind w:firstLine="0" w:firstLineChars="0"/>
        <w:textAlignment w:val="baseline"/>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5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B17FF"/>
    <w:multiLevelType w:val="singleLevel"/>
    <w:tmpl w:val="C78B17FF"/>
    <w:lvl w:ilvl="0" w:tentative="0">
      <w:start w:val="1"/>
      <w:numFmt w:val="decimal"/>
      <w:pStyle w:val="47"/>
      <w:suff w:val="space"/>
      <w:lvlText w:val="[%1]"/>
      <w:lvlJc w:val="left"/>
      <w:pPr>
        <w:tabs>
          <w:tab w:val="left" w:pos="0"/>
        </w:tabs>
      </w:pPr>
      <w:rPr>
        <w:rFonts w:hint="default"/>
      </w:rPr>
    </w:lvl>
  </w:abstractNum>
  <w:abstractNum w:abstractNumId="1">
    <w:nsid w:val="D4C22AF2"/>
    <w:multiLevelType w:val="multilevel"/>
    <w:tmpl w:val="D4C22AF2"/>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0"/>
        </w:tabs>
        <w:ind w:left="575" w:hanging="575"/>
      </w:pPr>
      <w:rPr>
        <w:rFonts w:hint="default" w:ascii="宋体" w:hAnsi="宋体" w:eastAsia="宋体" w:cs="宋体"/>
      </w:rPr>
    </w:lvl>
    <w:lvl w:ilvl="2" w:tentative="0">
      <w:start w:val="1"/>
      <w:numFmt w:val="decimal"/>
      <w:suff w:val="nothing"/>
      <w:lvlText w:val="%1.%2.%3 "/>
      <w:lvlJc w:val="left"/>
      <w:pPr>
        <w:tabs>
          <w:tab w:val="left" w:pos="0"/>
        </w:tabs>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EFE2F7AC"/>
    <w:multiLevelType w:val="multilevel"/>
    <w:tmpl w:val="EFE2F7AC"/>
    <w:lvl w:ilvl="0" w:tentative="0">
      <w:start w:val="1"/>
      <w:numFmt w:val="decimal"/>
      <w:pStyle w:val="46"/>
      <w:lvlText w:val="%1"/>
      <w:lvlJc w:val="left"/>
      <w:pPr>
        <w:ind w:left="425" w:hanging="425"/>
      </w:pPr>
      <w:rPr>
        <w:rFonts w:hint="default" w:ascii="微软雅黑" w:hAnsi="微软雅黑" w:eastAsia="微软雅黑"/>
      </w:rPr>
    </w:lvl>
    <w:lvl w:ilvl="1" w:tentative="0">
      <w:start w:val="1"/>
      <w:numFmt w:val="decimal"/>
      <w:lvlText w:val="%1.%2"/>
      <w:lvlJc w:val="left"/>
      <w:pPr>
        <w:ind w:left="567" w:hanging="567"/>
      </w:pPr>
      <w:rPr>
        <w:rFonts w:hint="default" w:ascii="微软雅黑" w:hAnsi="微软雅黑" w:eastAsia="宋体"/>
      </w:rPr>
    </w:lvl>
    <w:lvl w:ilvl="2" w:tentative="0">
      <w:start w:val="1"/>
      <w:numFmt w:val="decimal"/>
      <w:lvlText w:val="%1.%2.%3"/>
      <w:lvlJc w:val="left"/>
      <w:pPr>
        <w:ind w:left="709" w:hanging="709"/>
      </w:pPr>
      <w:rPr>
        <w:rFonts w:hint="default" w:ascii="微软雅黑" w:hAnsi="微软雅黑" w:eastAsia="微软雅黑"/>
      </w:rPr>
    </w:lvl>
    <w:lvl w:ilvl="3" w:tentative="0">
      <w:start w:val="1"/>
      <w:numFmt w:val="decimal"/>
      <w:lvlText w:val="%1.%2.%3.%4."/>
      <w:lvlJc w:val="left"/>
      <w:pPr>
        <w:ind w:left="850" w:hanging="850"/>
      </w:pPr>
      <w:rPr>
        <w:rFonts w:hint="default" w:ascii="微软雅黑" w:hAnsi="微软雅黑" w:eastAsia="微软雅黑"/>
      </w:rPr>
    </w:lvl>
    <w:lvl w:ilvl="4" w:tentative="0">
      <w:start w:val="1"/>
      <w:numFmt w:val="decimal"/>
      <w:lvlText w:val="%1.%2.%3.%4.%5."/>
      <w:lvlJc w:val="left"/>
      <w:pPr>
        <w:ind w:left="991" w:hanging="991"/>
      </w:pPr>
      <w:rPr>
        <w:rFonts w:hint="default" w:ascii="微软雅黑" w:hAnsi="微软雅黑" w:eastAsia="微软雅黑"/>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ACE2DB4"/>
    <w:multiLevelType w:val="singleLevel"/>
    <w:tmpl w:val="FACE2DB4"/>
    <w:lvl w:ilvl="0" w:tentative="0">
      <w:start w:val="1"/>
      <w:numFmt w:val="decimal"/>
      <w:pStyle w:val="55"/>
      <w:lvlText w:val="图4-%1"/>
      <w:lvlJc w:val="left"/>
      <w:pPr>
        <w:tabs>
          <w:tab w:val="left" w:pos="567"/>
        </w:tabs>
        <w:ind w:left="0" w:leftChars="0" w:firstLine="0"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29C"/>
    <w:rsid w:val="001F3403"/>
    <w:rsid w:val="002506FA"/>
    <w:rsid w:val="002B59D3"/>
    <w:rsid w:val="00CB3C44"/>
    <w:rsid w:val="00CD3778"/>
    <w:rsid w:val="00F275F0"/>
    <w:rsid w:val="015A69DF"/>
    <w:rsid w:val="01A43D9C"/>
    <w:rsid w:val="01A77B35"/>
    <w:rsid w:val="01D23333"/>
    <w:rsid w:val="01E67C51"/>
    <w:rsid w:val="020E1A24"/>
    <w:rsid w:val="02937356"/>
    <w:rsid w:val="02B60C69"/>
    <w:rsid w:val="02DB3572"/>
    <w:rsid w:val="03250E34"/>
    <w:rsid w:val="032B0EBC"/>
    <w:rsid w:val="039713C7"/>
    <w:rsid w:val="03A4723E"/>
    <w:rsid w:val="03CC7FEE"/>
    <w:rsid w:val="04106BDD"/>
    <w:rsid w:val="047E1B60"/>
    <w:rsid w:val="048D4B54"/>
    <w:rsid w:val="04C500CA"/>
    <w:rsid w:val="04E41CE1"/>
    <w:rsid w:val="05244516"/>
    <w:rsid w:val="057B460B"/>
    <w:rsid w:val="058B2A44"/>
    <w:rsid w:val="05A33BF0"/>
    <w:rsid w:val="05DA2561"/>
    <w:rsid w:val="062C5D5F"/>
    <w:rsid w:val="06752E14"/>
    <w:rsid w:val="068D7423"/>
    <w:rsid w:val="074946C8"/>
    <w:rsid w:val="07C713FA"/>
    <w:rsid w:val="08B017DE"/>
    <w:rsid w:val="09483977"/>
    <w:rsid w:val="099072AF"/>
    <w:rsid w:val="09A07101"/>
    <w:rsid w:val="09AF2E8B"/>
    <w:rsid w:val="0A4047F0"/>
    <w:rsid w:val="0A48594F"/>
    <w:rsid w:val="0AB47859"/>
    <w:rsid w:val="0B177CD5"/>
    <w:rsid w:val="0B2F2881"/>
    <w:rsid w:val="0BC72059"/>
    <w:rsid w:val="0BCB5B13"/>
    <w:rsid w:val="0BCF5FF3"/>
    <w:rsid w:val="0BD9123D"/>
    <w:rsid w:val="0BE37DF5"/>
    <w:rsid w:val="0C311396"/>
    <w:rsid w:val="0C5C5076"/>
    <w:rsid w:val="0C692CAD"/>
    <w:rsid w:val="0D681B8E"/>
    <w:rsid w:val="0D9F3011"/>
    <w:rsid w:val="0DE43478"/>
    <w:rsid w:val="0DEE56BA"/>
    <w:rsid w:val="0E306947"/>
    <w:rsid w:val="0E9F4874"/>
    <w:rsid w:val="0EAC08FD"/>
    <w:rsid w:val="0EE07D03"/>
    <w:rsid w:val="0F1F3A83"/>
    <w:rsid w:val="0F270982"/>
    <w:rsid w:val="0F2C385D"/>
    <w:rsid w:val="0F3B7E78"/>
    <w:rsid w:val="0F587B28"/>
    <w:rsid w:val="0FDB387C"/>
    <w:rsid w:val="10160593"/>
    <w:rsid w:val="10284EE7"/>
    <w:rsid w:val="103234C6"/>
    <w:rsid w:val="10790217"/>
    <w:rsid w:val="11366F3E"/>
    <w:rsid w:val="11420290"/>
    <w:rsid w:val="118424E6"/>
    <w:rsid w:val="11F80CB0"/>
    <w:rsid w:val="126C0647"/>
    <w:rsid w:val="127B49BD"/>
    <w:rsid w:val="128A65A2"/>
    <w:rsid w:val="12961468"/>
    <w:rsid w:val="130C45D2"/>
    <w:rsid w:val="134B7000"/>
    <w:rsid w:val="13511BBE"/>
    <w:rsid w:val="13EE7251"/>
    <w:rsid w:val="14185CAF"/>
    <w:rsid w:val="14454DAD"/>
    <w:rsid w:val="145B29CE"/>
    <w:rsid w:val="151D4243"/>
    <w:rsid w:val="151F5A1F"/>
    <w:rsid w:val="16650F55"/>
    <w:rsid w:val="169A3FAE"/>
    <w:rsid w:val="16A71FAA"/>
    <w:rsid w:val="17B108CB"/>
    <w:rsid w:val="17F964D3"/>
    <w:rsid w:val="17FE5D44"/>
    <w:rsid w:val="180D588B"/>
    <w:rsid w:val="18545193"/>
    <w:rsid w:val="185736BF"/>
    <w:rsid w:val="188F1F1C"/>
    <w:rsid w:val="18A3688F"/>
    <w:rsid w:val="18B90D7E"/>
    <w:rsid w:val="195B507D"/>
    <w:rsid w:val="19B90824"/>
    <w:rsid w:val="19BE7C49"/>
    <w:rsid w:val="19CD1D13"/>
    <w:rsid w:val="1AB142A0"/>
    <w:rsid w:val="1AE46932"/>
    <w:rsid w:val="1B120167"/>
    <w:rsid w:val="1B841991"/>
    <w:rsid w:val="1B9510AD"/>
    <w:rsid w:val="1BE428CB"/>
    <w:rsid w:val="1BE438B9"/>
    <w:rsid w:val="1C1E21F6"/>
    <w:rsid w:val="1C250273"/>
    <w:rsid w:val="1C2F0AC3"/>
    <w:rsid w:val="1C6C2094"/>
    <w:rsid w:val="1CA0747F"/>
    <w:rsid w:val="1CCC4063"/>
    <w:rsid w:val="1CF159FF"/>
    <w:rsid w:val="1D3F0444"/>
    <w:rsid w:val="1D547AAF"/>
    <w:rsid w:val="1DC91D6E"/>
    <w:rsid w:val="1E2A28EC"/>
    <w:rsid w:val="1E3836E8"/>
    <w:rsid w:val="1E5E09D7"/>
    <w:rsid w:val="1E7249D5"/>
    <w:rsid w:val="1E8258F9"/>
    <w:rsid w:val="1E8B65A8"/>
    <w:rsid w:val="1EC271F2"/>
    <w:rsid w:val="1EED04D9"/>
    <w:rsid w:val="1FA64B1C"/>
    <w:rsid w:val="1FB92215"/>
    <w:rsid w:val="2014438F"/>
    <w:rsid w:val="20193933"/>
    <w:rsid w:val="202B7144"/>
    <w:rsid w:val="203B6335"/>
    <w:rsid w:val="20971BD3"/>
    <w:rsid w:val="217A1B37"/>
    <w:rsid w:val="22025912"/>
    <w:rsid w:val="221423A4"/>
    <w:rsid w:val="2216237D"/>
    <w:rsid w:val="22437F2D"/>
    <w:rsid w:val="229A27C8"/>
    <w:rsid w:val="22CC1220"/>
    <w:rsid w:val="2376267A"/>
    <w:rsid w:val="24991786"/>
    <w:rsid w:val="249E68AC"/>
    <w:rsid w:val="24E011A6"/>
    <w:rsid w:val="252F1318"/>
    <w:rsid w:val="25391977"/>
    <w:rsid w:val="263A3D46"/>
    <w:rsid w:val="265A0F55"/>
    <w:rsid w:val="26995303"/>
    <w:rsid w:val="26A60E77"/>
    <w:rsid w:val="26A74667"/>
    <w:rsid w:val="26C24DA3"/>
    <w:rsid w:val="27440052"/>
    <w:rsid w:val="277F4129"/>
    <w:rsid w:val="278A1FD7"/>
    <w:rsid w:val="27A50527"/>
    <w:rsid w:val="27D42352"/>
    <w:rsid w:val="280200EF"/>
    <w:rsid w:val="28657B53"/>
    <w:rsid w:val="28894493"/>
    <w:rsid w:val="288D2228"/>
    <w:rsid w:val="28DD7CC7"/>
    <w:rsid w:val="2912123B"/>
    <w:rsid w:val="2985180D"/>
    <w:rsid w:val="29C84DF6"/>
    <w:rsid w:val="2A8146B4"/>
    <w:rsid w:val="2ABC352B"/>
    <w:rsid w:val="2B5602AA"/>
    <w:rsid w:val="2B681F2A"/>
    <w:rsid w:val="2B7037B2"/>
    <w:rsid w:val="2B785E5C"/>
    <w:rsid w:val="2BE41871"/>
    <w:rsid w:val="2BFD7535"/>
    <w:rsid w:val="2C78619D"/>
    <w:rsid w:val="2C836296"/>
    <w:rsid w:val="2CA42CDA"/>
    <w:rsid w:val="2CC97F56"/>
    <w:rsid w:val="2CD00241"/>
    <w:rsid w:val="2CD92B68"/>
    <w:rsid w:val="2D4C0A89"/>
    <w:rsid w:val="2D74468D"/>
    <w:rsid w:val="2D87193E"/>
    <w:rsid w:val="2EB74DCD"/>
    <w:rsid w:val="2ECB0E5F"/>
    <w:rsid w:val="2EE937AE"/>
    <w:rsid w:val="2EF602CE"/>
    <w:rsid w:val="2EF84F00"/>
    <w:rsid w:val="2F086617"/>
    <w:rsid w:val="2F7610DD"/>
    <w:rsid w:val="30130B79"/>
    <w:rsid w:val="304F65E2"/>
    <w:rsid w:val="30922B28"/>
    <w:rsid w:val="30D61664"/>
    <w:rsid w:val="3103797D"/>
    <w:rsid w:val="314459E3"/>
    <w:rsid w:val="320735BB"/>
    <w:rsid w:val="324F1E45"/>
    <w:rsid w:val="32916AD0"/>
    <w:rsid w:val="32942776"/>
    <w:rsid w:val="32D035E7"/>
    <w:rsid w:val="32E8568A"/>
    <w:rsid w:val="330D5210"/>
    <w:rsid w:val="33241CD7"/>
    <w:rsid w:val="33516380"/>
    <w:rsid w:val="337B3084"/>
    <w:rsid w:val="339E023F"/>
    <w:rsid w:val="33C5422D"/>
    <w:rsid w:val="3433272D"/>
    <w:rsid w:val="34427A31"/>
    <w:rsid w:val="34475B03"/>
    <w:rsid w:val="34545F5E"/>
    <w:rsid w:val="34635580"/>
    <w:rsid w:val="35354782"/>
    <w:rsid w:val="35490860"/>
    <w:rsid w:val="35E12C8E"/>
    <w:rsid w:val="360C4BAB"/>
    <w:rsid w:val="365F3090"/>
    <w:rsid w:val="36926BFA"/>
    <w:rsid w:val="369923B0"/>
    <w:rsid w:val="36BD386F"/>
    <w:rsid w:val="36F94157"/>
    <w:rsid w:val="373E7885"/>
    <w:rsid w:val="379E127C"/>
    <w:rsid w:val="37BB0EFF"/>
    <w:rsid w:val="38001ED1"/>
    <w:rsid w:val="385F1BB6"/>
    <w:rsid w:val="38BD549E"/>
    <w:rsid w:val="3A6213AD"/>
    <w:rsid w:val="3A872066"/>
    <w:rsid w:val="3B2E12D2"/>
    <w:rsid w:val="3B4267EB"/>
    <w:rsid w:val="3B7732A3"/>
    <w:rsid w:val="3BF67DB3"/>
    <w:rsid w:val="3C413199"/>
    <w:rsid w:val="3D043BDA"/>
    <w:rsid w:val="3D4845E5"/>
    <w:rsid w:val="3D954890"/>
    <w:rsid w:val="3DA41C67"/>
    <w:rsid w:val="3DBA2D6A"/>
    <w:rsid w:val="3DDD1B25"/>
    <w:rsid w:val="3E5A1BA6"/>
    <w:rsid w:val="3E6671CB"/>
    <w:rsid w:val="3E7C44C3"/>
    <w:rsid w:val="3EAF2378"/>
    <w:rsid w:val="3EC42F0D"/>
    <w:rsid w:val="3F162913"/>
    <w:rsid w:val="408A5219"/>
    <w:rsid w:val="40E4749D"/>
    <w:rsid w:val="41791BBD"/>
    <w:rsid w:val="41867134"/>
    <w:rsid w:val="41AB4010"/>
    <w:rsid w:val="41BF6404"/>
    <w:rsid w:val="41CC0BF5"/>
    <w:rsid w:val="422A026F"/>
    <w:rsid w:val="42884F34"/>
    <w:rsid w:val="4291098B"/>
    <w:rsid w:val="42B6747F"/>
    <w:rsid w:val="434902A0"/>
    <w:rsid w:val="43B600AD"/>
    <w:rsid w:val="44116024"/>
    <w:rsid w:val="4446233C"/>
    <w:rsid w:val="444A4106"/>
    <w:rsid w:val="45A91659"/>
    <w:rsid w:val="460F757E"/>
    <w:rsid w:val="462D6C1B"/>
    <w:rsid w:val="464553D9"/>
    <w:rsid w:val="464E783B"/>
    <w:rsid w:val="46B05D19"/>
    <w:rsid w:val="46F12854"/>
    <w:rsid w:val="46F336A8"/>
    <w:rsid w:val="473E7AE9"/>
    <w:rsid w:val="478916C5"/>
    <w:rsid w:val="47AC5A0E"/>
    <w:rsid w:val="47DE7B5D"/>
    <w:rsid w:val="48027576"/>
    <w:rsid w:val="480E4336"/>
    <w:rsid w:val="48197D55"/>
    <w:rsid w:val="482963CC"/>
    <w:rsid w:val="48567BBA"/>
    <w:rsid w:val="48C651E6"/>
    <w:rsid w:val="48D868DF"/>
    <w:rsid w:val="4911763B"/>
    <w:rsid w:val="493C4382"/>
    <w:rsid w:val="496156B3"/>
    <w:rsid w:val="4982662C"/>
    <w:rsid w:val="499C726F"/>
    <w:rsid w:val="49A800A8"/>
    <w:rsid w:val="49CC4E4A"/>
    <w:rsid w:val="49D36A6F"/>
    <w:rsid w:val="49DD6E6B"/>
    <w:rsid w:val="49F81268"/>
    <w:rsid w:val="4A5C02CB"/>
    <w:rsid w:val="4AB91025"/>
    <w:rsid w:val="4B3A65C3"/>
    <w:rsid w:val="4B4E12A3"/>
    <w:rsid w:val="4C1415C9"/>
    <w:rsid w:val="4C3C52A0"/>
    <w:rsid w:val="4CC2216C"/>
    <w:rsid w:val="4D29482B"/>
    <w:rsid w:val="4D5E0195"/>
    <w:rsid w:val="4DA8622E"/>
    <w:rsid w:val="4DDB2F6B"/>
    <w:rsid w:val="4E716E93"/>
    <w:rsid w:val="4EAA1EE0"/>
    <w:rsid w:val="4F556B17"/>
    <w:rsid w:val="50290A0F"/>
    <w:rsid w:val="503E0E60"/>
    <w:rsid w:val="50716043"/>
    <w:rsid w:val="50C647C0"/>
    <w:rsid w:val="50F42B5F"/>
    <w:rsid w:val="513244C6"/>
    <w:rsid w:val="5157600F"/>
    <w:rsid w:val="515F165B"/>
    <w:rsid w:val="52176C0D"/>
    <w:rsid w:val="521B2258"/>
    <w:rsid w:val="52D229F0"/>
    <w:rsid w:val="52E07598"/>
    <w:rsid w:val="531342F1"/>
    <w:rsid w:val="53165761"/>
    <w:rsid w:val="531A63DD"/>
    <w:rsid w:val="534C7C93"/>
    <w:rsid w:val="53A91B0A"/>
    <w:rsid w:val="53B447E3"/>
    <w:rsid w:val="53F57A7C"/>
    <w:rsid w:val="5414351A"/>
    <w:rsid w:val="54197E99"/>
    <w:rsid w:val="544016A4"/>
    <w:rsid w:val="54604C7D"/>
    <w:rsid w:val="5483286F"/>
    <w:rsid w:val="549C2042"/>
    <w:rsid w:val="549F5861"/>
    <w:rsid w:val="54EA154E"/>
    <w:rsid w:val="552F5A0A"/>
    <w:rsid w:val="555925CB"/>
    <w:rsid w:val="555E131C"/>
    <w:rsid w:val="555E7EC9"/>
    <w:rsid w:val="557A4846"/>
    <w:rsid w:val="55835CD9"/>
    <w:rsid w:val="55A92401"/>
    <w:rsid w:val="55CD5C05"/>
    <w:rsid w:val="55CF10F9"/>
    <w:rsid w:val="55E465DD"/>
    <w:rsid w:val="5622235F"/>
    <w:rsid w:val="56F94885"/>
    <w:rsid w:val="57225D22"/>
    <w:rsid w:val="57434EB8"/>
    <w:rsid w:val="5870380D"/>
    <w:rsid w:val="58BA2F3F"/>
    <w:rsid w:val="59335B42"/>
    <w:rsid w:val="594C23E9"/>
    <w:rsid w:val="5967213C"/>
    <w:rsid w:val="59A820C6"/>
    <w:rsid w:val="59C1539E"/>
    <w:rsid w:val="59DB3E06"/>
    <w:rsid w:val="59F2261A"/>
    <w:rsid w:val="5AE4556F"/>
    <w:rsid w:val="5AEA1C2E"/>
    <w:rsid w:val="5AFB2832"/>
    <w:rsid w:val="5B060359"/>
    <w:rsid w:val="5B2C66AB"/>
    <w:rsid w:val="5B9B4FF1"/>
    <w:rsid w:val="5BAA6E73"/>
    <w:rsid w:val="5BB75528"/>
    <w:rsid w:val="5BFE5405"/>
    <w:rsid w:val="5C7F2933"/>
    <w:rsid w:val="5C8C1C39"/>
    <w:rsid w:val="5CA37385"/>
    <w:rsid w:val="5D5C131E"/>
    <w:rsid w:val="5D834128"/>
    <w:rsid w:val="5DC66198"/>
    <w:rsid w:val="5E0A57D7"/>
    <w:rsid w:val="5E3B0611"/>
    <w:rsid w:val="5E4567B6"/>
    <w:rsid w:val="5E5341F0"/>
    <w:rsid w:val="5E845908"/>
    <w:rsid w:val="5E8A56FD"/>
    <w:rsid w:val="5EB500DD"/>
    <w:rsid w:val="5EB65AE3"/>
    <w:rsid w:val="5F026119"/>
    <w:rsid w:val="5F060EBB"/>
    <w:rsid w:val="5F4D7619"/>
    <w:rsid w:val="5F574DB8"/>
    <w:rsid w:val="5F5937B5"/>
    <w:rsid w:val="609A667C"/>
    <w:rsid w:val="60A206C0"/>
    <w:rsid w:val="60B0308E"/>
    <w:rsid w:val="60EC4890"/>
    <w:rsid w:val="614D2BB5"/>
    <w:rsid w:val="618D5C6B"/>
    <w:rsid w:val="61D61F3C"/>
    <w:rsid w:val="61F80635"/>
    <w:rsid w:val="623612A1"/>
    <w:rsid w:val="62364CF5"/>
    <w:rsid w:val="62407E9A"/>
    <w:rsid w:val="629249E2"/>
    <w:rsid w:val="637A5353"/>
    <w:rsid w:val="647C54E3"/>
    <w:rsid w:val="64A37553"/>
    <w:rsid w:val="64D23CFE"/>
    <w:rsid w:val="651D3ACA"/>
    <w:rsid w:val="65B913E7"/>
    <w:rsid w:val="65CD384B"/>
    <w:rsid w:val="65E25712"/>
    <w:rsid w:val="65F9319B"/>
    <w:rsid w:val="660065E3"/>
    <w:rsid w:val="66031C41"/>
    <w:rsid w:val="662369C9"/>
    <w:rsid w:val="663C0421"/>
    <w:rsid w:val="663F15CE"/>
    <w:rsid w:val="66457FCD"/>
    <w:rsid w:val="67243570"/>
    <w:rsid w:val="6728083A"/>
    <w:rsid w:val="672C6851"/>
    <w:rsid w:val="6795761D"/>
    <w:rsid w:val="681A6810"/>
    <w:rsid w:val="682E257A"/>
    <w:rsid w:val="68573C08"/>
    <w:rsid w:val="68A240DF"/>
    <w:rsid w:val="68F47BF7"/>
    <w:rsid w:val="68FE7928"/>
    <w:rsid w:val="699A59FC"/>
    <w:rsid w:val="6A072332"/>
    <w:rsid w:val="6A077D43"/>
    <w:rsid w:val="6A0C1AA2"/>
    <w:rsid w:val="6A266C5C"/>
    <w:rsid w:val="6A336057"/>
    <w:rsid w:val="6A401C7B"/>
    <w:rsid w:val="6A443CD9"/>
    <w:rsid w:val="6AAE7116"/>
    <w:rsid w:val="6BAE18B0"/>
    <w:rsid w:val="6BF33F5B"/>
    <w:rsid w:val="6C2C4C83"/>
    <w:rsid w:val="6C587129"/>
    <w:rsid w:val="6D404BA8"/>
    <w:rsid w:val="6D73789E"/>
    <w:rsid w:val="6DA1107A"/>
    <w:rsid w:val="6DD65992"/>
    <w:rsid w:val="6DE45640"/>
    <w:rsid w:val="6DE73CDD"/>
    <w:rsid w:val="6E1814A6"/>
    <w:rsid w:val="6E3A38F3"/>
    <w:rsid w:val="6E573394"/>
    <w:rsid w:val="6EA95512"/>
    <w:rsid w:val="6ED93AA3"/>
    <w:rsid w:val="6F011CC7"/>
    <w:rsid w:val="6F141745"/>
    <w:rsid w:val="6F2135B9"/>
    <w:rsid w:val="700F248B"/>
    <w:rsid w:val="701C1351"/>
    <w:rsid w:val="70270BF5"/>
    <w:rsid w:val="70273C3A"/>
    <w:rsid w:val="707539AD"/>
    <w:rsid w:val="70960DFB"/>
    <w:rsid w:val="70C426AE"/>
    <w:rsid w:val="70E502E8"/>
    <w:rsid w:val="70FC74A2"/>
    <w:rsid w:val="710B1931"/>
    <w:rsid w:val="7156451C"/>
    <w:rsid w:val="71AC5B4C"/>
    <w:rsid w:val="71B82D06"/>
    <w:rsid w:val="721169B3"/>
    <w:rsid w:val="723E4E4F"/>
    <w:rsid w:val="72F44A27"/>
    <w:rsid w:val="73033F5A"/>
    <w:rsid w:val="738B271B"/>
    <w:rsid w:val="73D46CB4"/>
    <w:rsid w:val="73D71451"/>
    <w:rsid w:val="7410466E"/>
    <w:rsid w:val="74104F53"/>
    <w:rsid w:val="746232DB"/>
    <w:rsid w:val="74CE7B18"/>
    <w:rsid w:val="74D63BBF"/>
    <w:rsid w:val="74F457F1"/>
    <w:rsid w:val="74F8544F"/>
    <w:rsid w:val="750B05EF"/>
    <w:rsid w:val="759A6034"/>
    <w:rsid w:val="75A632A4"/>
    <w:rsid w:val="75A83AFD"/>
    <w:rsid w:val="75DF1923"/>
    <w:rsid w:val="75EA6029"/>
    <w:rsid w:val="76EE1CCF"/>
    <w:rsid w:val="77935DDC"/>
    <w:rsid w:val="77CA2A48"/>
    <w:rsid w:val="77DF4F5D"/>
    <w:rsid w:val="78024BAC"/>
    <w:rsid w:val="78192717"/>
    <w:rsid w:val="7843265A"/>
    <w:rsid w:val="786106CA"/>
    <w:rsid w:val="78C837FD"/>
    <w:rsid w:val="78D93E53"/>
    <w:rsid w:val="78DC157F"/>
    <w:rsid w:val="79652624"/>
    <w:rsid w:val="798D6205"/>
    <w:rsid w:val="79A5003A"/>
    <w:rsid w:val="7A294D85"/>
    <w:rsid w:val="7A9A1DAD"/>
    <w:rsid w:val="7AB362CC"/>
    <w:rsid w:val="7B32448A"/>
    <w:rsid w:val="7B8557C4"/>
    <w:rsid w:val="7C096DF1"/>
    <w:rsid w:val="7CA8740A"/>
    <w:rsid w:val="7CF04147"/>
    <w:rsid w:val="7D3431E5"/>
    <w:rsid w:val="7D6F2271"/>
    <w:rsid w:val="7D974D3C"/>
    <w:rsid w:val="7DBF6A8F"/>
    <w:rsid w:val="7E531884"/>
    <w:rsid w:val="7E610FE3"/>
    <w:rsid w:val="7EAA65BE"/>
    <w:rsid w:val="7F0B1F34"/>
    <w:rsid w:val="7F9E155B"/>
    <w:rsid w:val="7FE43E0D"/>
    <w:rsid w:val="7FE8461C"/>
    <w:rsid w:val="7FF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420" w:firstLineChars="200"/>
      <w:jc w:val="both"/>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link w:val="34"/>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7"/>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8"/>
    <w:semiHidden/>
    <w:unhideWhenUsed/>
    <w:qFormat/>
    <w:uiPriority w:val="0"/>
    <w:pPr>
      <w:tabs>
        <w:tab w:val="left" w:pos="312"/>
      </w:tabs>
      <w:ind w:firstLine="0" w:firstLineChars="0"/>
      <w:jc w:val="left"/>
      <w:outlineLvl w:val="2"/>
    </w:pPr>
    <w:rPr>
      <w:rFonts w:ascii="Times New Roman" w:hAnsi="Times New Roman" w:eastAsia="黑体"/>
      <w:sz w:val="24"/>
      <w:szCs w:val="30"/>
    </w:rPr>
  </w:style>
  <w:style w:type="paragraph" w:styleId="5">
    <w:name w:val="heading 4"/>
    <w:basedOn w:val="1"/>
    <w:next w:val="6"/>
    <w:link w:val="48"/>
    <w:semiHidden/>
    <w:unhideWhenUsed/>
    <w:qFormat/>
    <w:uiPriority w:val="0"/>
    <w:pPr>
      <w:keepNext/>
      <w:keepLines/>
      <w:numPr>
        <w:ilvl w:val="3"/>
        <w:numId w:val="1"/>
      </w:numPr>
      <w:spacing w:before="10" w:beforeLines="0" w:beforeAutospacing="0" w:after="10" w:afterLines="0" w:afterAutospacing="0" w:line="360" w:lineRule="auto"/>
      <w:ind w:left="864" w:leftChars="0" w:hanging="864" w:firstLineChars="0"/>
      <w:jc w:val="left"/>
      <w:outlineLvl w:val="3"/>
    </w:pPr>
    <w:rPr>
      <w:rFonts w:ascii="Arial" w:hAnsi="Arial" w:eastAsia="黑体" w:cs="Times New Roman"/>
    </w:rPr>
  </w:style>
  <w:style w:type="paragraph" w:styleId="7">
    <w:name w:val="heading 5"/>
    <w:next w:val="6"/>
    <w:semiHidden/>
    <w:unhideWhenUsed/>
    <w:qFormat/>
    <w:uiPriority w:val="0"/>
    <w:pPr>
      <w:numPr>
        <w:ilvl w:val="4"/>
        <w:numId w:val="1"/>
      </w:numPr>
      <w:tabs>
        <w:tab w:val="left" w:pos="312"/>
      </w:tabs>
      <w:spacing w:line="360" w:lineRule="auto"/>
      <w:ind w:left="1008" w:hanging="1008"/>
      <w:outlineLvl w:val="4"/>
    </w:pPr>
    <w:rPr>
      <w:rFonts w:ascii="Arial" w:hAnsi="Arial" w:eastAsia="宋体" w:cstheme="minorBidi"/>
      <w:sz w:val="28"/>
      <w:szCs w:val="22"/>
      <w:lang w:val="en-US" w:eastAsia="zh-CN" w:bidi="ar-SA"/>
    </w:rPr>
  </w:style>
  <w:style w:type="paragraph" w:styleId="8">
    <w:name w:val="heading 6"/>
    <w:basedOn w:val="1"/>
    <w:next w:val="1"/>
    <w:semiHidden/>
    <w:unhideWhenUsed/>
    <w:qFormat/>
    <w:uiPriority w:val="0"/>
    <w:pPr>
      <w:keepNext/>
      <w:keepLines/>
      <w:numPr>
        <w:ilvl w:val="5"/>
        <w:numId w:val="1"/>
      </w:numPr>
      <w:tabs>
        <w:tab w:val="left" w:pos="0"/>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tabs>
        <w:tab w:val="left" w:pos="0"/>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ind w:firstLine="0" w:firstLineChars="0"/>
    </w:pPr>
    <w:rPr>
      <w:rFonts w:ascii="宋体" w:hAnsi="宋体" w:cs="宋体"/>
      <w:sz w:val="31"/>
      <w:szCs w:val="31"/>
    </w:rPr>
  </w:style>
  <w:style w:type="paragraph" w:styleId="12">
    <w:name w:val="Normal Indent"/>
    <w:basedOn w:val="1"/>
    <w:qFormat/>
    <w:uiPriority w:val="0"/>
    <w:pPr>
      <w:ind w:firstLine="420" w:firstLineChars="200"/>
    </w:pPr>
  </w:style>
  <w:style w:type="paragraph" w:styleId="13">
    <w:name w:val="caption"/>
    <w:basedOn w:val="1"/>
    <w:next w:val="1"/>
    <w:semiHidden/>
    <w:unhideWhenUsed/>
    <w:qFormat/>
    <w:uiPriority w:val="0"/>
    <w:pPr>
      <w:ind w:firstLine="0" w:firstLineChars="0"/>
      <w:jc w:val="center"/>
    </w:pPr>
    <w:rPr>
      <w:sz w:val="21"/>
      <w:szCs w:val="20"/>
    </w:rPr>
  </w:style>
  <w:style w:type="paragraph" w:styleId="14">
    <w:name w:val="toa heading"/>
    <w:basedOn w:val="1"/>
    <w:next w:val="1"/>
    <w:qFormat/>
    <w:uiPriority w:val="0"/>
    <w:pPr>
      <w:spacing w:before="120" w:beforeLines="0" w:beforeAutospacing="0"/>
    </w:pPr>
    <w:rPr>
      <w:rFonts w:ascii="Arial" w:hAnsi="Arial"/>
      <w:sz w:val="24"/>
    </w:rPr>
  </w:style>
  <w:style w:type="paragraph" w:styleId="15">
    <w:name w:val="Body Text Indent"/>
    <w:basedOn w:val="1"/>
    <w:qFormat/>
    <w:uiPriority w:val="0"/>
    <w:pPr>
      <w:spacing w:after="120" w:afterLines="0" w:afterAutospacing="0"/>
      <w:ind w:left="420" w:leftChars="200"/>
    </w:pPr>
  </w:style>
  <w:style w:type="paragraph" w:styleId="16">
    <w:name w:val="toc 3"/>
    <w:basedOn w:val="1"/>
    <w:next w:val="1"/>
    <w:qFormat/>
    <w:uiPriority w:val="0"/>
    <w:pPr>
      <w:ind w:left="840" w:leftChars="400" w:firstLine="0" w:firstLineChars="0"/>
    </w:pPr>
    <w:rPr>
      <w:rFonts w:ascii="等线" w:hAnsi="等线" w:eastAsia="宋体" w:cs="宋体"/>
      <w:sz w:val="28"/>
      <w:szCs w:val="22"/>
    </w:rPr>
  </w:style>
  <w:style w:type="paragraph" w:styleId="17">
    <w:name w:val="footer"/>
    <w:basedOn w:val="1"/>
    <w:link w:val="53"/>
    <w:qFormat/>
    <w:uiPriority w:val="0"/>
    <w:pPr>
      <w:tabs>
        <w:tab w:val="center" w:pos="4153"/>
        <w:tab w:val="right" w:pos="8306"/>
      </w:tabs>
      <w:snapToGrid w:val="0"/>
      <w:ind w:left="400" w:hanging="400" w:hangingChars="200"/>
      <w:jc w:val="left"/>
    </w:pPr>
    <w:rPr>
      <w:rFonts w:ascii="Times New Roman" w:hAnsi="Times New Roman" w:eastAsia="宋体"/>
      <w:sz w:val="18"/>
    </w:rPr>
  </w:style>
  <w:style w:type="paragraph" w:styleId="18">
    <w:name w:val="header"/>
    <w:basedOn w:val="1"/>
    <w:qFormat/>
    <w:uiPriority w:val="0"/>
    <w:pPr>
      <w:pBdr>
        <w:bottom w:val="thinThickSmallGap" w:color="auto" w:sz="18" w:space="1"/>
      </w:pBdr>
      <w:tabs>
        <w:tab w:val="center" w:pos="4153"/>
        <w:tab w:val="right" w:pos="8306"/>
      </w:tabs>
      <w:snapToGrid w:val="0"/>
      <w:ind w:firstLine="0" w:firstLineChars="0"/>
      <w:jc w:val="center"/>
    </w:pPr>
    <w:rPr>
      <w:sz w:val="18"/>
      <w:szCs w:val="18"/>
    </w:rPr>
  </w:style>
  <w:style w:type="paragraph" w:styleId="19">
    <w:name w:val="toc 1"/>
    <w:basedOn w:val="1"/>
    <w:next w:val="1"/>
    <w:qFormat/>
    <w:uiPriority w:val="0"/>
    <w:pPr>
      <w:ind w:firstLine="0" w:firstLineChars="0"/>
      <w:jc w:val="center"/>
    </w:pPr>
    <w:rPr>
      <w:rFonts w:ascii="等线" w:hAnsi="等线" w:eastAsia="宋体" w:cs="宋体"/>
      <w:sz w:val="30"/>
      <w:szCs w:val="22"/>
    </w:rPr>
  </w:style>
  <w:style w:type="paragraph" w:styleId="20">
    <w:name w:val="toc 2"/>
    <w:basedOn w:val="1"/>
    <w:next w:val="1"/>
    <w:qFormat/>
    <w:uiPriority w:val="0"/>
    <w:pPr>
      <w:ind w:left="420" w:leftChars="200" w:firstLine="0" w:firstLineChars="0"/>
    </w:pPr>
    <w:rPr>
      <w:rFonts w:ascii="等线" w:hAnsi="等线" w:eastAsia="宋体" w:cs="宋体"/>
      <w:sz w:val="28"/>
      <w:szCs w:val="22"/>
    </w:rPr>
  </w:style>
  <w:style w:type="paragraph" w:styleId="21">
    <w:name w:val="Normal (Web)"/>
    <w:basedOn w:val="1"/>
    <w:qFormat/>
    <w:uiPriority w:val="0"/>
    <w:rPr>
      <w:sz w:val="24"/>
    </w:rPr>
  </w:style>
  <w:style w:type="paragraph" w:styleId="22">
    <w:name w:val="Title"/>
    <w:basedOn w:val="1"/>
    <w:next w:val="1"/>
    <w:link w:val="54"/>
    <w:qFormat/>
    <w:uiPriority w:val="0"/>
    <w:pPr>
      <w:pageBreakBefore/>
      <w:spacing w:line="578" w:lineRule="auto"/>
      <w:ind w:firstLine="0" w:firstLineChars="0"/>
      <w:jc w:val="center"/>
      <w:outlineLvl w:val="0"/>
    </w:pPr>
    <w:rPr>
      <w:rFonts w:ascii="等线 Light" w:hAnsi="等线 Light" w:eastAsia="宋体"/>
      <w:b/>
      <w:bCs/>
      <w:sz w:val="32"/>
      <w:szCs w:val="32"/>
    </w:rPr>
  </w:style>
  <w:style w:type="paragraph" w:styleId="23">
    <w:name w:val="Body Text First Indent 2"/>
    <w:basedOn w:val="15"/>
    <w:qFormat/>
    <w:uiPriority w:val="0"/>
    <w:pPr>
      <w:ind w:firstLine="420" w:firstLineChars="200"/>
    </w:pPr>
  </w:style>
  <w:style w:type="character" w:styleId="26">
    <w:name w:val="Strong"/>
    <w:basedOn w:val="25"/>
    <w:qFormat/>
    <w:uiPriority w:val="0"/>
    <w:rPr>
      <w:b/>
    </w:rPr>
  </w:style>
  <w:style w:type="character" w:customStyle="1" w:styleId="27">
    <w:name w:val="标题 2 Char"/>
    <w:link w:val="3"/>
    <w:qFormat/>
    <w:uiPriority w:val="0"/>
    <w:rPr>
      <w:rFonts w:ascii="Times New Roman" w:hAnsi="Times New Roman" w:eastAsia="宋体" w:cs="宋体"/>
      <w:kern w:val="2"/>
      <w:sz w:val="28"/>
      <w:szCs w:val="22"/>
      <w:lang w:val="en-US" w:eastAsia="zh-CN" w:bidi="ar-SA"/>
    </w:rPr>
  </w:style>
  <w:style w:type="character" w:customStyle="1" w:styleId="28">
    <w:name w:val="标题 3 Char"/>
    <w:link w:val="4"/>
    <w:qFormat/>
    <w:uiPriority w:val="0"/>
    <w:rPr>
      <w:rFonts w:ascii="Times New Roman" w:hAnsi="Times New Roman" w:eastAsia="宋体" w:cs="宋体"/>
      <w:sz w:val="28"/>
    </w:rPr>
  </w:style>
  <w:style w:type="paragraph" w:customStyle="1" w:styleId="29">
    <w:name w:val="样式1"/>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30">
    <w:name w:val="样式2"/>
    <w:basedOn w:val="1"/>
    <w:qFormat/>
    <w:uiPriority w:val="0"/>
    <w:pPr>
      <w:widowControl/>
      <w:spacing w:line="440" w:lineRule="exact"/>
      <w:ind w:firstLine="0" w:firstLineChars="0"/>
      <w:jc w:val="left"/>
      <w:textAlignment w:val="center"/>
    </w:pPr>
    <w:rPr>
      <w:rFonts w:hint="eastAsia" w:ascii="宋体" w:hAnsi="宋体" w:eastAsia="宋体" w:cs="宋体"/>
      <w:b/>
      <w:bCs/>
      <w:color w:val="000000"/>
      <w:kern w:val="0"/>
      <w:sz w:val="18"/>
      <w:szCs w:val="18"/>
      <w:u w:val="none"/>
      <w:lang w:eastAsia="zh-CN" w:bidi="ar"/>
    </w:rPr>
  </w:style>
  <w:style w:type="paragraph" w:customStyle="1" w:styleId="31">
    <w:name w:val="样式3"/>
    <w:basedOn w:val="1"/>
    <w:qFormat/>
    <w:uiPriority w:val="0"/>
    <w:pPr>
      <w:ind w:firstLine="0" w:firstLineChars="0"/>
    </w:pPr>
    <w:rPr>
      <w:rFonts w:hint="eastAsia"/>
      <w:lang w:val="zh-CN"/>
    </w:rPr>
  </w:style>
  <w:style w:type="paragraph" w:customStyle="1" w:styleId="32">
    <w:name w:val="样式4"/>
    <w:basedOn w:val="1"/>
    <w:qFormat/>
    <w:uiPriority w:val="0"/>
    <w:pPr>
      <w:widowControl/>
      <w:spacing w:line="240" w:lineRule="auto"/>
      <w:ind w:firstLine="0" w:firstLineChars="0"/>
      <w:jc w:val="center"/>
      <w:textAlignment w:val="center"/>
    </w:pPr>
    <w:rPr>
      <w:rFonts w:hint="eastAsia" w:ascii="宋体" w:hAnsi="宋体" w:eastAsia="宋体" w:cs="宋体"/>
      <w:color w:val="000000"/>
      <w:kern w:val="0"/>
      <w:sz w:val="18"/>
      <w:szCs w:val="18"/>
      <w:u w:val="none"/>
      <w:lang w:bidi="ar"/>
    </w:rPr>
  </w:style>
  <w:style w:type="paragraph" w:customStyle="1" w:styleId="33">
    <w:name w:val="图序"/>
    <w:basedOn w:val="1"/>
    <w:qFormat/>
    <w:uiPriority w:val="0"/>
    <w:pPr>
      <w:spacing w:line="240" w:lineRule="auto"/>
      <w:jc w:val="center"/>
    </w:pPr>
    <w:rPr>
      <w:rFonts w:hint="default" w:ascii="Times New Roman" w:hAnsi="Times New Roman" w:eastAsia="黑体" w:cs="Times New Roman"/>
      <w:sz w:val="21"/>
    </w:rPr>
  </w:style>
  <w:style w:type="character" w:customStyle="1" w:styleId="34">
    <w:name w:val="标题 1 Char"/>
    <w:link w:val="2"/>
    <w:qFormat/>
    <w:uiPriority w:val="0"/>
    <w:rPr>
      <w:rFonts w:ascii="Times New Roman" w:hAnsi="Times New Roman" w:eastAsia="宋体" w:cs="宋体"/>
      <w:b/>
      <w:snapToGrid w:val="0"/>
      <w:color w:val="000000"/>
      <w:kern w:val="44"/>
      <w:sz w:val="36"/>
      <w:szCs w:val="21"/>
      <w:lang w:eastAsia="en-US"/>
    </w:rPr>
  </w:style>
  <w:style w:type="paragraph" w:customStyle="1" w:styleId="35">
    <w:name w:val="目录"/>
    <w:basedOn w:val="1"/>
    <w:next w:val="1"/>
    <w:link w:val="36"/>
    <w:qFormat/>
    <w:uiPriority w:val="0"/>
    <w:pPr>
      <w:keepNext/>
      <w:keepLines/>
      <w:spacing w:line="360" w:lineRule="auto"/>
      <w:ind w:firstLine="0" w:firstLineChars="0"/>
      <w:jc w:val="center"/>
      <w:outlineLvl w:val="0"/>
    </w:pPr>
    <w:rPr>
      <w:rFonts w:ascii="Times New Roman" w:hAnsi="Times New Roman" w:eastAsia="宋体"/>
      <w:b/>
      <w:bCs/>
      <w:sz w:val="36"/>
      <w:szCs w:val="44"/>
    </w:rPr>
  </w:style>
  <w:style w:type="character" w:customStyle="1" w:styleId="36">
    <w:name w:val="目录 Char"/>
    <w:link w:val="35"/>
    <w:qFormat/>
    <w:uiPriority w:val="0"/>
    <w:rPr>
      <w:rFonts w:ascii="Times New Roman" w:hAnsi="Times New Roman" w:eastAsia="宋体"/>
      <w:b/>
      <w:bCs/>
      <w:sz w:val="36"/>
      <w:szCs w:val="44"/>
    </w:rPr>
  </w:style>
  <w:style w:type="paragraph" w:customStyle="1" w:styleId="37">
    <w:name w:val="目录1"/>
    <w:basedOn w:val="14"/>
    <w:next w:val="35"/>
    <w:qFormat/>
    <w:uiPriority w:val="0"/>
    <w:pPr>
      <w:tabs>
        <w:tab w:val="right" w:leader="dot" w:pos="8336"/>
      </w:tabs>
      <w:autoSpaceDE/>
      <w:autoSpaceDN/>
      <w:spacing w:line="360" w:lineRule="auto"/>
    </w:pPr>
    <w:rPr>
      <w:rFonts w:ascii="Times New Roman" w:hAnsi="Times New Roman" w:eastAsia="宋体" w:cs="Times New Roman"/>
      <w:bCs/>
      <w:spacing w:val="4"/>
      <w:sz w:val="28"/>
      <w:szCs w:val="43"/>
    </w:rPr>
  </w:style>
  <w:style w:type="paragraph" w:customStyle="1" w:styleId="38">
    <w:name w:val="图序与图名"/>
    <w:basedOn w:val="1"/>
    <w:link w:val="59"/>
    <w:qFormat/>
    <w:uiPriority w:val="0"/>
    <w:pPr>
      <w:spacing w:before="100" w:beforeLines="100" w:line="240" w:lineRule="auto"/>
      <w:ind w:left="0" w:firstLine="0" w:firstLineChars="0"/>
      <w:jc w:val="center"/>
    </w:pPr>
    <w:rPr>
      <w:rFonts w:ascii="宋体" w:hAnsi="宋体" w:eastAsia="宋体" w:cs="宋体"/>
      <w:spacing w:val="-2"/>
      <w:sz w:val="21"/>
      <w:szCs w:val="20"/>
    </w:rPr>
  </w:style>
  <w:style w:type="paragraph" w:customStyle="1" w:styleId="39">
    <w:name w:val="样式7"/>
    <w:basedOn w:val="1"/>
    <w:qFormat/>
    <w:uiPriority w:val="0"/>
    <w:pPr>
      <w:ind w:firstLine="0" w:firstLineChars="0"/>
      <w:jc w:val="center"/>
    </w:pPr>
    <w:rPr>
      <w:rFonts w:hint="eastAsia" w:ascii="宋体" w:hAnsi="宋体" w:eastAsia="宋体"/>
      <w:szCs w:val="22"/>
    </w:rPr>
  </w:style>
  <w:style w:type="paragraph" w:customStyle="1" w:styleId="40">
    <w:name w:val="摘要目录"/>
    <w:basedOn w:val="1"/>
    <w:next w:val="1"/>
    <w:qFormat/>
    <w:uiPriority w:val="0"/>
    <w:pPr>
      <w:keepNext/>
      <w:keepLines/>
      <w:pageBreakBefore/>
      <w:spacing w:line="360" w:lineRule="auto"/>
      <w:ind w:left="0" w:leftChars="0" w:firstLine="482" w:firstLineChars="200"/>
      <w:jc w:val="both"/>
      <w:outlineLvl w:val="0"/>
    </w:pPr>
    <w:rPr>
      <w:rFonts w:ascii="Times New Roman" w:hAnsi="Times New Roman" w:eastAsia="宋体"/>
      <w:b/>
      <w:bCs/>
      <w:kern w:val="44"/>
      <w:szCs w:val="44"/>
    </w:rPr>
  </w:style>
  <w:style w:type="paragraph" w:customStyle="1" w:styleId="41">
    <w:name w:val="样式8"/>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42">
    <w:name w:val="目录摘要"/>
    <w:basedOn w:val="1"/>
    <w:qFormat/>
    <w:uiPriority w:val="0"/>
    <w:pPr>
      <w:spacing w:line="360" w:lineRule="auto"/>
      <w:ind w:left="0" w:right="0" w:firstLine="420" w:firstLineChars="200"/>
      <w:jc w:val="both"/>
      <w:outlineLvl w:val="0"/>
    </w:pPr>
    <w:rPr>
      <w:rFonts w:hint="eastAsia" w:ascii="微软雅黑" w:hAnsi="微软雅黑" w:eastAsia="宋体" w:cs="微软雅黑"/>
      <w:b/>
      <w:bCs/>
      <w:snapToGrid w:val="0"/>
      <w:color w:val="000000"/>
      <w:spacing w:val="9"/>
      <w:kern w:val="0"/>
      <w:sz w:val="24"/>
      <w:szCs w:val="29"/>
    </w:rPr>
  </w:style>
  <w:style w:type="paragraph" w:customStyle="1" w:styleId="43">
    <w:name w:val="样式9"/>
    <w:basedOn w:val="1"/>
    <w:qFormat/>
    <w:uiPriority w:val="0"/>
    <w:pPr>
      <w:widowControl/>
      <w:ind w:firstLine="0" w:firstLineChars="0"/>
      <w:jc w:val="center"/>
      <w:textAlignment w:val="center"/>
    </w:pPr>
    <w:rPr>
      <w:rFonts w:hint="eastAsia" w:ascii="宋体" w:hAnsi="宋体" w:eastAsia="宋体" w:cs="宋体"/>
      <w:color w:val="000000"/>
      <w:kern w:val="0"/>
      <w:sz w:val="16"/>
      <w:szCs w:val="20"/>
      <w:u w:val="none"/>
      <w:lang w:eastAsia="zh-CN" w:bidi="ar"/>
    </w:rPr>
  </w:style>
  <w:style w:type="paragraph" w:customStyle="1" w:styleId="44">
    <w:name w:val="样式10"/>
    <w:basedOn w:val="1"/>
    <w:qFormat/>
    <w:uiPriority w:val="0"/>
    <w:pPr>
      <w:widowControl/>
      <w:spacing w:line="240" w:lineRule="auto"/>
      <w:ind w:firstLine="0" w:firstLineChars="0"/>
      <w:jc w:val="center"/>
      <w:textAlignment w:val="center"/>
    </w:pPr>
    <w:rPr>
      <w:rFonts w:hint="eastAsia" w:ascii="宋体" w:hAnsi="宋体" w:eastAsia="宋体" w:cs="宋体"/>
      <w:b/>
      <w:bCs/>
      <w:color w:val="000000"/>
      <w:kern w:val="0"/>
      <w:sz w:val="15"/>
      <w:szCs w:val="18"/>
      <w:u w:val="none"/>
      <w:lang w:eastAsia="zh-CN" w:bidi="ar"/>
    </w:rPr>
  </w:style>
  <w:style w:type="paragraph" w:customStyle="1" w:styleId="45">
    <w:name w:val="图题"/>
    <w:basedOn w:val="1"/>
    <w:qFormat/>
    <w:uiPriority w:val="0"/>
    <w:rPr>
      <w:rFonts w:hint="default" w:ascii="Times New Roman" w:hAnsi="Times New Roman" w:eastAsia="宋体"/>
      <w:sz w:val="21"/>
    </w:rPr>
  </w:style>
  <w:style w:type="paragraph" w:customStyle="1" w:styleId="46">
    <w:name w:val="参考文献"/>
    <w:basedOn w:val="1"/>
    <w:next w:val="1"/>
    <w:qFormat/>
    <w:uiPriority w:val="0"/>
    <w:pPr>
      <w:numPr>
        <w:ilvl w:val="0"/>
        <w:numId w:val="2"/>
      </w:numPr>
      <w:tabs>
        <w:tab w:val="left" w:pos="0"/>
      </w:tabs>
      <w:spacing w:before="50" w:beforeLines="50" w:after="50" w:afterLines="50" w:line="240" w:lineRule="auto"/>
      <w:ind w:left="425" w:hanging="425"/>
      <w:jc w:val="center"/>
      <w:outlineLvl w:val="0"/>
    </w:pPr>
    <w:rPr>
      <w:rFonts w:hint="eastAsia" w:ascii="宋体" w:hAnsi="宋体" w:cs="宋体"/>
      <w:b/>
      <w:snapToGrid w:val="0"/>
      <w:color w:val="000000"/>
      <w:kern w:val="44"/>
      <w:sz w:val="28"/>
      <w:szCs w:val="32"/>
      <w:lang w:eastAsia="en-US"/>
    </w:rPr>
  </w:style>
  <w:style w:type="paragraph" w:customStyle="1" w:styleId="47">
    <w:name w:val="参考文献正文"/>
    <w:basedOn w:val="1"/>
    <w:qFormat/>
    <w:uiPriority w:val="0"/>
    <w:pPr>
      <w:numPr>
        <w:ilvl w:val="0"/>
        <w:numId w:val="3"/>
      </w:numPr>
      <w:spacing w:before="50" w:beforeLines="50" w:after="50" w:afterLines="50"/>
    </w:pPr>
    <w:rPr>
      <w:rFonts w:hint="eastAsia"/>
    </w:rPr>
  </w:style>
  <w:style w:type="character" w:customStyle="1" w:styleId="48">
    <w:name w:val="标题 4 Char"/>
    <w:link w:val="5"/>
    <w:qFormat/>
    <w:uiPriority w:val="0"/>
    <w:rPr>
      <w:rFonts w:ascii="Arial" w:hAnsi="Arial" w:eastAsia="宋体" w:cs="Times New Roman"/>
      <w:snapToGrid/>
      <w:sz w:val="24"/>
      <w:szCs w:val="24"/>
      <w:lang w:val="en-US" w:eastAsia="zh-CN" w:bidi="ar-SA"/>
    </w:rPr>
  </w:style>
  <w:style w:type="paragraph" w:customStyle="1" w:styleId="49">
    <w:name w:val="Table Text"/>
    <w:basedOn w:val="1"/>
    <w:semiHidden/>
    <w:qFormat/>
    <w:uiPriority w:val="0"/>
    <w:pPr>
      <w:snapToGrid w:val="0"/>
      <w:spacing w:line="360" w:lineRule="auto"/>
    </w:pPr>
    <w:rPr>
      <w:rFonts w:ascii="等线" w:hAnsi="等线" w:eastAsia="宋体" w:cs="等线"/>
      <w:sz w:val="20"/>
      <w:szCs w:val="20"/>
      <w:lang w:eastAsia="en-US"/>
    </w:rPr>
  </w:style>
  <w:style w:type="paragraph" w:customStyle="1" w:styleId="50">
    <w:name w:val="目录111"/>
    <w:basedOn w:val="1"/>
    <w:qFormat/>
    <w:uiPriority w:val="0"/>
    <w:pPr>
      <w:spacing w:before="80" w:beforeLines="80" w:after="50" w:afterLines="50" w:line="240" w:lineRule="auto"/>
      <w:ind w:firstLine="0" w:firstLineChars="0"/>
      <w:jc w:val="center"/>
    </w:pPr>
    <w:rPr>
      <w:rFonts w:ascii="宋体" w:hAnsi="宋体"/>
      <w:sz w:val="36"/>
    </w:rPr>
  </w:style>
  <w:style w:type="paragraph" w:customStyle="1" w:styleId="51">
    <w:name w:val="一级标题"/>
    <w:basedOn w:val="1"/>
    <w:link w:val="52"/>
    <w:autoRedefine/>
    <w:qFormat/>
    <w:uiPriority w:val="0"/>
    <w:pPr>
      <w:keepNext/>
      <w:keepLines/>
      <w:pageBreakBefore/>
      <w:spacing w:line="360" w:lineRule="auto"/>
      <w:jc w:val="center"/>
      <w:outlineLvl w:val="0"/>
    </w:pPr>
    <w:rPr>
      <w:rFonts w:ascii="黑体" w:hAnsi="黑体" w:eastAsia="黑体" w:cs="Times New Roman"/>
      <w:b/>
      <w:bCs/>
      <w:kern w:val="32"/>
      <w:sz w:val="36"/>
      <w:szCs w:val="36"/>
    </w:rPr>
  </w:style>
  <w:style w:type="character" w:customStyle="1" w:styleId="52">
    <w:name w:val="一级标题 Char"/>
    <w:link w:val="51"/>
    <w:autoRedefine/>
    <w:qFormat/>
    <w:uiPriority w:val="0"/>
    <w:rPr>
      <w:rFonts w:ascii="黑体" w:hAnsi="黑体" w:eastAsia="黑体" w:cs="Times New Roman"/>
      <w:b/>
      <w:bCs/>
      <w:kern w:val="32"/>
      <w:sz w:val="36"/>
      <w:szCs w:val="36"/>
    </w:rPr>
  </w:style>
  <w:style w:type="character" w:customStyle="1" w:styleId="53">
    <w:name w:val="页脚 字符"/>
    <w:link w:val="17"/>
    <w:qFormat/>
    <w:uiPriority w:val="99"/>
    <w:rPr>
      <w:rFonts w:ascii="Times New Roman" w:hAnsi="Times New Roman" w:eastAsia="宋体"/>
      <w:sz w:val="18"/>
    </w:rPr>
  </w:style>
  <w:style w:type="character" w:customStyle="1" w:styleId="54">
    <w:name w:val="标题 Char"/>
    <w:link w:val="22"/>
    <w:qFormat/>
    <w:uiPriority w:val="0"/>
    <w:rPr>
      <w:rFonts w:ascii="等线 Light" w:hAnsi="等线 Light" w:eastAsia="宋体"/>
      <w:b/>
      <w:bCs/>
      <w:kern w:val="2"/>
      <w:sz w:val="32"/>
      <w:szCs w:val="32"/>
    </w:rPr>
  </w:style>
  <w:style w:type="paragraph" w:customStyle="1" w:styleId="55">
    <w:name w:val="题标"/>
    <w:basedOn w:val="1"/>
    <w:next w:val="1"/>
    <w:qFormat/>
    <w:uiPriority w:val="0"/>
    <w:pPr>
      <w:keepNext/>
      <w:keepLines/>
      <w:numPr>
        <w:ilvl w:val="0"/>
        <w:numId w:val="4"/>
      </w:numPr>
      <w:spacing w:line="360" w:lineRule="auto"/>
      <w:ind w:firstLine="0" w:firstLineChars="0"/>
      <w:jc w:val="center"/>
      <w:outlineLvl w:val="9"/>
    </w:pPr>
    <w:rPr>
      <w:rFonts w:ascii="Times New Roman" w:hAnsi="Times New Roman" w:eastAsia="宋体" w:cs="Times New Roman"/>
      <w:bCs/>
      <w:sz w:val="21"/>
      <w:szCs w:val="32"/>
    </w:rPr>
  </w:style>
  <w:style w:type="paragraph" w:customStyle="1" w:styleId="56">
    <w:name w:val="表格"/>
    <w:basedOn w:val="1"/>
    <w:qFormat/>
    <w:uiPriority w:val="0"/>
    <w:pPr>
      <w:spacing w:line="240" w:lineRule="auto"/>
      <w:ind w:firstLine="0" w:firstLineChars="0"/>
      <w:jc w:val="center"/>
    </w:pPr>
    <w:rPr>
      <w:rFonts w:ascii="Times New Roman" w:hAnsi="Times New Roman" w:cs="宋体"/>
      <w:sz w:val="21"/>
      <w:szCs w:val="21"/>
    </w:rPr>
  </w:style>
  <w:style w:type="paragraph" w:customStyle="1" w:styleId="57">
    <w:name w:val="目录 题目"/>
    <w:basedOn w:val="1"/>
    <w:qFormat/>
    <w:uiPriority w:val="99"/>
    <w:pPr>
      <w:spacing w:line="300" w:lineRule="auto"/>
      <w:ind w:firstLine="0" w:firstLineChars="0"/>
      <w:jc w:val="center"/>
    </w:pPr>
    <w:rPr>
      <w:rFonts w:ascii="等线" w:hAnsi="等线" w:eastAsia="黑体" w:cs="宋体"/>
      <w:b/>
      <w:sz w:val="32"/>
      <w:szCs w:val="22"/>
    </w:rPr>
  </w:style>
  <w:style w:type="paragraph" w:customStyle="1" w:styleId="58">
    <w:name w:val="样式11"/>
    <w:basedOn w:val="1"/>
    <w:qFormat/>
    <w:uiPriority w:val="0"/>
    <w:pPr>
      <w:widowControl/>
      <w:ind w:firstLine="0" w:firstLineChars="0"/>
      <w:jc w:val="center"/>
      <w:textAlignment w:val="center"/>
    </w:pPr>
    <w:rPr>
      <w:rFonts w:hint="eastAsia" w:ascii="宋体" w:hAnsi="宋体" w:eastAsia="宋体" w:cs="宋体"/>
      <w:b/>
      <w:bCs/>
      <w:color w:val="000000"/>
      <w:kern w:val="0"/>
      <w:sz w:val="18"/>
      <w:szCs w:val="18"/>
      <w:u w:val="none"/>
      <w:lang w:bidi="ar"/>
    </w:rPr>
  </w:style>
  <w:style w:type="character" w:customStyle="1" w:styleId="59">
    <w:name w:val="图序与图名 Char"/>
    <w:link w:val="38"/>
    <w:qFormat/>
    <w:uiPriority w:val="0"/>
    <w:rPr>
      <w:rFonts w:ascii="宋体" w:hAnsi="宋体" w:eastAsia="宋体" w:cs="宋体"/>
      <w:spacing w:val="-2"/>
      <w:sz w:val="21"/>
      <w:szCs w:val="20"/>
    </w:rPr>
  </w:style>
  <w:style w:type="paragraph" w:customStyle="1" w:styleId="60">
    <w:name w:val="样式12"/>
    <w:basedOn w:val="1"/>
    <w:qFormat/>
    <w:uiPriority w:val="0"/>
    <w:pPr>
      <w:widowControl/>
      <w:ind w:firstLine="0" w:firstLineChars="0"/>
      <w:textAlignment w:val="center"/>
    </w:pPr>
    <w:rPr>
      <w:rFonts w:hint="eastAsia" w:ascii="宋体" w:hAnsi="宋体" w:eastAsia="宋体" w:cs="宋体"/>
      <w:b/>
      <w:bCs/>
      <w:color w:val="000000"/>
      <w:kern w:val="0"/>
      <w:sz w:val="18"/>
      <w:szCs w:val="18"/>
      <w:u w:val="none"/>
      <w:lang w:bidi="ar"/>
    </w:rPr>
  </w:style>
  <w:style w:type="paragraph" w:customStyle="1" w:styleId="61">
    <w:name w:val="样式13"/>
    <w:basedOn w:val="1"/>
    <w:qFormat/>
    <w:uiPriority w:val="0"/>
    <w:pPr>
      <w:spacing w:line="240" w:lineRule="auto"/>
      <w:ind w:firstLine="0" w:firstLineChars="0"/>
      <w:outlineLvl w:val="0"/>
    </w:pPr>
    <w:rPr>
      <w:rFonts w:hint="eastAsia" w:ascii="宋体" w:hAnsi="宋体" w:eastAsia="宋体" w:cs="宋体"/>
      <w:snapToGrid w:val="0"/>
      <w:color w:val="000000"/>
      <w:spacing w:val="-3"/>
      <w:kern w:val="0"/>
      <w:sz w:val="20"/>
      <w:szCs w:val="24"/>
      <w:lang w:eastAsia="en-US"/>
    </w:rPr>
  </w:style>
  <w:style w:type="paragraph" w:customStyle="1" w:styleId="62">
    <w:name w:val="序号"/>
    <w:basedOn w:val="1"/>
    <w:qFormat/>
    <w:uiPriority w:val="0"/>
    <w:pPr>
      <w:spacing w:line="360" w:lineRule="auto"/>
      <w:ind w:left="0" w:firstLine="0" w:firstLineChars="0"/>
      <w:jc w:val="center"/>
      <w:outlineLvl w:val="9"/>
    </w:pPr>
    <w:rPr>
      <w:rFonts w:ascii="Times New Roman" w:hAnsi="Times New Roman" w:cs="宋体"/>
      <w:spacing w:val="1"/>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1128</Words>
  <Characters>1329</Characters>
  <Lines>0</Lines>
  <Paragraphs>0</Paragraphs>
  <TotalTime>8</TotalTime>
  <ScaleCrop>false</ScaleCrop>
  <LinksUpToDate>false</LinksUpToDate>
  <CharactersWithSpaces>1332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2025-02-07T08:36:00Z</dcterms:created>
  <dc:creator>Administrator</dc:creator>
  <cp:lastModifiedBy>懂懂</cp:lastModifiedBy>
  <dcterms:modified xsi:type="dcterms:W3CDTF">2026-04-29T09:31:08Z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428300BB91F8420089D9AB687FCF2929_13</vt:lpwstr>
  </property>
  <property fmtid="{D5CDD505-2E9C-101B-9397-08002B2CF9AE}" pid="4" name="KSOTemplateDocerSaveRecord">
    <vt:lpwstr>eyJoZGlkIjoiYTk5M2VlNGFjMjM5YWExMzRjYmJmMzI4YTY3NDdhN2MiLCJ1c2VySWQiOiIxMDM2NjI3NDI0In0=</vt:lpwstr>
  </property>
</Properties>
</file>