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C8102E"/>
          <w:sz w:val="20"/>
        </w:rPr>
        <w:t>RMIT UNIVERSITY</w:t>
      </w:r>
    </w:p>
    <w:p>
      <w:pPr>
        <w:spacing w:after="40"/>
        <w:pBdr>
          <w:bottom w:val="single" w:sz="16" w:space="6" w:color="1B2A4A"/>
        </w:pBdr>
      </w:pPr>
      <w:r>
        <w:rPr>
          <w:b/>
          <w:color w:val="1B2A4A"/>
          <w:sz w:val="44"/>
        </w:rPr>
        <w:t>Master Document — Sprint 1 Closure</w:t>
      </w:r>
    </w:p>
    <w:p>
      <w:pPr>
        <w:spacing w:after="200"/>
      </w:pPr>
      <w:r>
        <w:rPr>
          <w:i/>
          <w:color w:val="333333"/>
          <w:sz w:val="22"/>
        </w:rPr>
        <w:t>Appendix to Master-Document-Sprint1  |  Sprint 2 Planner card: “Close Sprint 1 carry-over and lock the Sprint 2 goal”</w:t>
      </w:r>
    </w:p>
    <w:p>
      <w:pPr>
        <w:spacing w:after="120"/>
      </w:pPr>
      <w:r>
        <w:rPr>
          <w:b w:val="0"/>
          <w:i/>
          <w:sz w:val="19"/>
        </w:rPr>
        <w:t>This file is a standalone appendix prepared because only the PDF export of Master-Document-Sprint1 was supplied for this review, not the live Master-Document-Sprint1.docx held in SharePoint. The section below is formatted to match the existing Master Document's task-card layout (RMIT masthead, Role/Date table, Completion comment, Git URL block) so it can be pasted directly onto the end of the authoritative document.</w:t>
      </w:r>
    </w:p>
    <w:p>
      <w:pPr>
        <w:spacing w:after="120"/>
      </w:pPr>
      <w:r>
        <w:rPr>
          <w:b/>
          <w:i/>
          <w:color w:val="C8102E"/>
          <w:sz w:val="21"/>
        </w:rPr>
        <w:t>[PM INPUT REQUIRED: paste this appendix onto the end of the live Master-Document-Sprint1.docx in SharePoint, or supply that file so it can be appended directly next time]</w:t>
      </w:r>
    </w:p>
    <w:p>
      <w:pPr>
        <w:spacing w:before="320" w:after="120"/>
        <w:pBdr>
          <w:bottom w:val="single" w:sz="6" w:space="4" w:color="1B2A4A"/>
        </w:pBdr>
      </w:pPr>
      <w:r>
        <w:rPr>
          <w:b/>
          <w:color w:val="1B2A4A"/>
          <w:sz w:val="30"/>
        </w:rPr>
        <w:t>Week 3 — [Sprint 2: Interactive AI Hologram] Close Sprint 1 carry-over and lock the Sprint 2 goal</w:t>
      </w:r>
    </w:p>
    <w:tbl>
      <w:tblPr>
        <w:tblStyle w:val="TableGrid"/>
        <w:tblW w:type="auto" w:w="0"/>
        <w:tblLook w:firstColumn="1" w:firstRow="1" w:lastColumn="0" w:lastRow="0" w:noHBand="0" w:noVBand="1" w:val="04A0"/>
        <w:tblCellMar>
          <w:top w:w="60" w:type="dxa"/>
          <w:bottom w:w="60" w:type="dxa"/>
          <w:start w:w="90" w:type="dxa"/>
          <w:end w:w="90" w:type="dxa"/>
        </w:tblCellMar>
      </w:tblPr>
      <w:tblGrid>
        <w:gridCol w:w="2493"/>
        <w:gridCol w:w="2493"/>
        <w:gridCol w:w="2493"/>
        <w:gridCol w:w="2493"/>
      </w:tblGrid>
      <w:tr>
        <w:tc>
          <w:tcPr>
            <w:tcW w:type="dxa" w:w="1134"/>
            <w:shd w:val="clear" w:color="auto" w:fill="1B2A4A"/>
          </w:tcPr>
          <w:p>
            <w:r>
              <w:rPr>
                <w:b/>
                <w:color w:val="FFFFFF"/>
                <w:sz w:val="20"/>
              </w:rPr>
              <w:t>Role</w:t>
            </w:r>
          </w:p>
        </w:tc>
        <w:tc>
          <w:tcPr>
            <w:tcW w:type="dxa" w:w="3118"/>
            <w:shd w:val="clear" w:color="auto" w:fill="E8ECF3"/>
          </w:tcPr>
          <w:p>
            <w:r>
              <w:rPr>
                <w:sz w:val="20"/>
              </w:rPr>
              <w:t>PM — Ali Sina Sharifi</w:t>
            </w:r>
          </w:p>
        </w:tc>
        <w:tc>
          <w:tcPr>
            <w:tcW w:type="dxa" w:w="1134"/>
            <w:shd w:val="clear" w:color="auto" w:fill="1B2A4A"/>
          </w:tcPr>
          <w:p>
            <w:r>
              <w:rPr>
                <w:b/>
                <w:color w:val="FFFFFF"/>
                <w:sz w:val="20"/>
              </w:rPr>
              <w:t>Date</w:t>
            </w:r>
          </w:p>
        </w:tc>
        <w:tc>
          <w:tcPr>
            <w:tcW w:type="dxa" w:w="3118"/>
          </w:tcPr>
          <w:p>
            <w:r>
              <w:rPr>
                <w:sz w:val="20"/>
              </w:rPr>
              <w:t>Sunday, 13 September 2026</w:t>
            </w:r>
          </w:p>
        </w:tc>
      </w:tr>
    </w:tbl>
    <w:p>
      <w:pPr>
        <w:spacing w:after="40"/>
      </w:pPr>
    </w:p>
    <w:p>
      <w:pPr>
        <w:spacing w:before="160" w:after="60"/>
      </w:pPr>
      <w:r>
        <w:rPr>
          <w:b/>
          <w:color w:val="1B2A4A"/>
          <w:sz w:val="22"/>
        </w:rPr>
        <w:t>Completion comment</w:t>
      </w:r>
    </w:p>
    <w:p>
      <w:pPr>
        <w:spacing w:after="120"/>
      </w:pPr>
      <w:r>
        <w:rPr>
          <w:b/>
          <w:sz w:val="21"/>
        </w:rPr>
        <w:t xml:space="preserve">Done: </w:t>
      </w:r>
      <w:r>
        <w:rPr>
          <w:sz w:val="21"/>
        </w:rPr>
        <w:t>Recorded the client decision log for Friday 11 September 2026 (Use Case 1 removed; Use Cases 2 and 3 retained; final choice deferred); locked the Sprint 2 goal (demonstrate an interactive AI avatar on the physical Looking Glass by 2 October 2026); recorded the in-scope/out-of-scope boundary (live telepresence and real-time motion capture are explicitly out of scope); and recorded the owner map for the five Sprint 2 accountabilities. Confirmed that the Product Demonstrator and Employee Training Coach share one AI foundation, so Sprint 2 may proceed on the shared build.</w:t>
      </w:r>
    </w:p>
    <w:p>
      <w:pPr>
        <w:spacing w:after="120"/>
      </w:pPr>
      <w:r>
        <w:rPr>
          <w:b/>
          <w:sz w:val="21"/>
        </w:rPr>
        <w:t xml:space="preserve">Deliverable: </w:t>
      </w:r>
      <w:r>
        <w:rPr>
          <w:sz w:val="21"/>
        </w:rPr>
        <w:t>Team11-Sprint2-Governance-Pack.docx (decision log, carry-over register, scope, owner map, dependency map, risks); Team11-Project-Charter-v1.1-Sprint2.docx (updated objectives, scope, deliverables, assumptions, risk register, milestone schedule, decision log, roles and decision authority, stakeholder register, approval status); this Master Document closure appendix.</w:t>
      </w:r>
    </w:p>
    <w:p>
      <w:pPr>
        <w:spacing w:before="160" w:after="60"/>
      </w:pPr>
      <w:r>
        <w:rPr>
          <w:b/>
          <w:color w:val="1B2A4A"/>
          <w:sz w:val="22"/>
        </w:rPr>
        <w:t>Evidence supporting each acceptance criterion</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4252"/>
            <w:shd w:val="clear" w:color="auto" w:fill="1B2A4A"/>
            <w:vAlign w:val="center"/>
          </w:tcPr>
          <w:p>
            <w:r/>
            <w:r>
              <w:rPr>
                <w:b/>
                <w:color w:val="FFFFFF"/>
                <w:sz w:val="18"/>
              </w:rPr>
              <w:t>Acceptance criterion (source: Planner card)</w:t>
            </w:r>
          </w:p>
        </w:tc>
        <w:tc>
          <w:tcPr>
            <w:tcW w:type="dxa" w:w="1134"/>
            <w:shd w:val="clear" w:color="auto" w:fill="1B2A4A"/>
            <w:vAlign w:val="center"/>
          </w:tcPr>
          <w:p>
            <w:r/>
            <w:r>
              <w:rPr>
                <w:b/>
                <w:color w:val="FFFFFF"/>
                <w:sz w:val="18"/>
              </w:rPr>
              <w:t>Status</w:t>
            </w:r>
          </w:p>
        </w:tc>
        <w:tc>
          <w:tcPr>
            <w:tcW w:type="dxa" w:w="4535"/>
            <w:shd w:val="clear" w:color="auto" w:fill="1B2A4A"/>
            <w:vAlign w:val="center"/>
          </w:tcPr>
          <w:p>
            <w:r/>
            <w:r>
              <w:rPr>
                <w:b/>
                <w:color w:val="FFFFFF"/>
                <w:sz w:val="18"/>
              </w:rPr>
              <w:t>Evidence</w:t>
            </w:r>
          </w:p>
        </w:tc>
      </w:tr>
      <w:tr>
        <w:tc>
          <w:tcPr>
            <w:tcW w:type="dxa" w:w="4252"/>
            <w:vAlign w:val="center"/>
          </w:tcPr>
          <w:p>
            <w:r/>
            <w:r>
              <w:rPr>
                <w:sz w:val="18"/>
              </w:rPr>
              <w:t>Product Demo and Training Coach share one AI foundation.</w:t>
            </w:r>
          </w:p>
        </w:tc>
        <w:tc>
          <w:tcPr>
            <w:tcW w:type="dxa" w:w="1134"/>
            <w:vAlign w:val="center"/>
          </w:tcPr>
          <w:p>
            <w:r/>
            <w:r>
              <w:rPr>
                <w:sz w:val="18"/>
              </w:rPr>
              <w:t>Met</w:t>
            </w:r>
          </w:p>
        </w:tc>
        <w:tc>
          <w:tcPr>
            <w:tcW w:type="dxa" w:w="4535"/>
            <w:vAlign w:val="center"/>
          </w:tcPr>
          <w:p>
            <w:r/>
            <w:r>
              <w:rPr>
                <w:sz w:val="18"/>
              </w:rPr>
              <w:t>Client guidance of 11 Sept 2026 (Governance Pack §3, DEC-02); Sprint 2 goal and scope (Governance Pack §4–§5; Charter §2–§3)</w:t>
            </w:r>
          </w:p>
        </w:tc>
      </w:tr>
      <w:tr>
        <w:tc>
          <w:tcPr>
            <w:tcW w:type="dxa" w:w="4252"/>
            <w:vAlign w:val="center"/>
          </w:tcPr>
          <w:p>
            <w:r/>
            <w:r>
              <w:rPr>
                <w:sz w:val="18"/>
              </w:rPr>
              <w:t>The Sprint 2 goal, exclusions, owners and dependencies are recorded.</w:t>
            </w:r>
          </w:p>
        </w:tc>
        <w:tc>
          <w:tcPr>
            <w:tcW w:type="dxa" w:w="1134"/>
            <w:vAlign w:val="center"/>
          </w:tcPr>
          <w:p>
            <w:r/>
            <w:r>
              <w:rPr>
                <w:sz w:val="18"/>
              </w:rPr>
              <w:t>Met</w:t>
            </w:r>
          </w:p>
        </w:tc>
        <w:tc>
          <w:tcPr>
            <w:tcW w:type="dxa" w:w="4535"/>
            <w:vAlign w:val="center"/>
          </w:tcPr>
          <w:p>
            <w:r/>
            <w:r>
              <w:rPr>
                <w:sz w:val="18"/>
              </w:rPr>
              <w:t>Governance Pack §4 (goal), §5 (exclusions), §7 (owners), §8 (dependencies); Charter §2–§3, §9</w:t>
            </w:r>
          </w:p>
        </w:tc>
      </w:tr>
      <w:tr>
        <w:tc>
          <w:tcPr>
            <w:tcW w:type="dxa" w:w="4252"/>
            <w:vAlign w:val="center"/>
          </w:tcPr>
          <w:p>
            <w:r/>
            <w:r>
              <w:rPr>
                <w:sz w:val="18"/>
              </w:rPr>
              <w:t>Live telepresence and real-time motion capture are out of scope.</w:t>
            </w:r>
          </w:p>
        </w:tc>
        <w:tc>
          <w:tcPr>
            <w:tcW w:type="dxa" w:w="1134"/>
            <w:vAlign w:val="center"/>
          </w:tcPr>
          <w:p>
            <w:r/>
            <w:r>
              <w:rPr>
                <w:sz w:val="18"/>
              </w:rPr>
              <w:t>Met</w:t>
            </w:r>
          </w:p>
        </w:tc>
        <w:tc>
          <w:tcPr>
            <w:tcW w:type="dxa" w:w="4535"/>
            <w:vAlign w:val="center"/>
          </w:tcPr>
          <w:p>
            <w:r/>
            <w:r>
              <w:rPr>
                <w:sz w:val="18"/>
              </w:rPr>
              <w:t>Governance Pack §5 (out of scope list); Charter §3</w:t>
            </w:r>
          </w:p>
        </w:tc>
      </w:tr>
    </w:tbl>
    <w:p>
      <w:pPr>
        <w:spacing w:after="80"/>
      </w:pPr>
    </w:p>
    <w:p>
      <w:pPr>
        <w:spacing w:before="160" w:after="60"/>
      </w:pPr>
      <w:r>
        <w:rPr>
          <w:b/>
          <w:color w:val="1B2A4A"/>
          <w:sz w:val="22"/>
        </w:rPr>
        <w:t>The open client concept-selection carry-over</w:t>
      </w:r>
    </w:p>
    <w:p>
      <w:pPr>
        <w:spacing w:after="120"/>
      </w:pPr>
      <w:r>
        <w:rPr>
          <w:b w:val="0"/>
          <w:i w:val="0"/>
          <w:sz w:val="21"/>
        </w:rPr>
        <w:t>This card's own three acceptance criteria (above) are about recording the shared-foundation decision, the Sprint 2 goal and the scope boundary — they do not require the final use-case decision itself. That decision is tracked separately, remains open, and is not being reported as complete here.</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4986"/>
        <w:gridCol w:w="4986"/>
      </w:tblGrid>
      <w:tr>
        <w:trPr>
          <w:tblHeader w:val="true"/>
        </w:trPr>
        <w:tc>
          <w:tcPr>
            <w:tcW w:type="dxa" w:w="2551"/>
            <w:shd w:val="clear" w:color="auto" w:fill="1B2A4A"/>
            <w:vAlign w:val="center"/>
          </w:tcPr>
          <w:p>
            <w:r/>
            <w:r>
              <w:rPr>
                <w:b/>
                <w:color w:val="FFFFFF"/>
                <w:sz w:val="19"/>
              </w:rPr>
              <w:t>Field</w:t>
            </w:r>
          </w:p>
        </w:tc>
        <w:tc>
          <w:tcPr>
            <w:tcW w:type="dxa" w:w="6803"/>
            <w:shd w:val="clear" w:color="auto" w:fill="1B2A4A"/>
            <w:vAlign w:val="center"/>
          </w:tcPr>
          <w:p>
            <w:r/>
            <w:r>
              <w:rPr>
                <w:b/>
                <w:color w:val="FFFFFF"/>
                <w:sz w:val="19"/>
              </w:rPr>
              <w:t>Detail</w:t>
            </w:r>
          </w:p>
        </w:tc>
      </w:tr>
      <w:tr>
        <w:tc>
          <w:tcPr>
            <w:tcW w:type="dxa" w:w="2551"/>
            <w:vAlign w:val="center"/>
          </w:tcPr>
          <w:p>
            <w:r/>
            <w:r>
              <w:rPr>
                <w:sz w:val="19"/>
              </w:rPr>
              <w:t>Carry-over ID</w:t>
            </w:r>
          </w:p>
        </w:tc>
        <w:tc>
          <w:tcPr>
            <w:tcW w:type="dxa" w:w="6803"/>
            <w:vAlign w:val="center"/>
          </w:tcPr>
          <w:p>
            <w:r/>
            <w:r>
              <w:rPr>
                <w:sz w:val="19"/>
              </w:rPr>
              <w:t>CO-01 (Governance Pack §2)</w:t>
            </w:r>
          </w:p>
        </w:tc>
      </w:tr>
      <w:tr>
        <w:tc>
          <w:tcPr>
            <w:tcW w:type="dxa" w:w="2551"/>
            <w:vAlign w:val="center"/>
          </w:tcPr>
          <w:p>
            <w:r/>
            <w:r>
              <w:rPr>
                <w:sz w:val="19"/>
              </w:rPr>
              <w:t>Item</w:t>
            </w:r>
          </w:p>
        </w:tc>
        <w:tc>
          <w:tcPr>
            <w:tcW w:type="dxa" w:w="6803"/>
            <w:vAlign w:val="center"/>
          </w:tcPr>
          <w:p>
            <w:r/>
            <w:r>
              <w:rPr>
                <w:sz w:val="19"/>
              </w:rPr>
              <w:t>Final selection between Use Case 2 (Product Demonstrator) and Use Case 3 (Employee Training Coach)</w:t>
            </w:r>
          </w:p>
        </w:tc>
      </w:tr>
      <w:tr>
        <w:tc>
          <w:tcPr>
            <w:tcW w:type="dxa" w:w="2551"/>
            <w:vAlign w:val="center"/>
          </w:tcPr>
          <w:p>
            <w:r/>
            <w:r>
              <w:rPr>
                <w:sz w:val="19"/>
              </w:rPr>
              <w:t>Status</w:t>
            </w:r>
          </w:p>
        </w:tc>
        <w:tc>
          <w:tcPr>
            <w:tcW w:type="dxa" w:w="6803"/>
            <w:vAlign w:val="center"/>
          </w:tcPr>
          <w:p>
            <w:r/>
            <w:r>
              <w:rPr>
                <w:sz w:val="19"/>
              </w:rPr>
              <w:t>Open — awaiting client decision</w:t>
            </w:r>
          </w:p>
        </w:tc>
      </w:tr>
      <w:tr>
        <w:tc>
          <w:tcPr>
            <w:tcW w:type="dxa" w:w="2551"/>
            <w:vAlign w:val="center"/>
          </w:tcPr>
          <w:p>
            <w:r/>
            <w:r>
              <w:rPr>
                <w:sz w:val="19"/>
              </w:rPr>
              <w:t>Source Planner card</w:t>
            </w:r>
          </w:p>
        </w:tc>
        <w:tc>
          <w:tcPr>
            <w:tcW w:type="dxa" w:w="6803"/>
            <w:vAlign w:val="center"/>
          </w:tcPr>
          <w:p>
            <w:r/>
            <w:r>
              <w:rPr>
                <w:sz w:val="19"/>
              </w:rPr>
              <w:t>“[Sprint 1: AI Presence Demo] Record the Sprint 2 concept direction and client decision” — In progress, 2/4 checklist items complete</w:t>
            </w:r>
          </w:p>
        </w:tc>
      </w:tr>
      <w:tr>
        <w:tc>
          <w:tcPr>
            <w:tcW w:type="dxa" w:w="2551"/>
            <w:vAlign w:val="center"/>
          </w:tcPr>
          <w:p>
            <w:r/>
            <w:r>
              <w:rPr>
                <w:sz w:val="19"/>
              </w:rPr>
              <w:t>Decision date</w:t>
            </w:r>
          </w:p>
        </w:tc>
        <w:tc>
          <w:tcPr>
            <w:tcW w:type="dxa" w:w="6803"/>
            <w:vAlign w:val="center"/>
          </w:tcPr>
          <w:p>
            <w:r/>
            <w:r>
              <w:rPr>
                <w:sz w:val="19"/>
              </w:rPr>
              <w:t>[PM INPUT REQUIRED: confirmed meeting date]</w:t>
            </w:r>
          </w:p>
        </w:tc>
      </w:tr>
    </w:tbl>
    <w:p>
      <w:pPr>
        <w:spacing w:after="80"/>
      </w:pPr>
    </w:p>
    <w:p>
      <w:pPr>
        <w:spacing w:after="120"/>
      </w:pPr>
      <w:r>
        <w:rPr>
          <w:b w:val="0"/>
          <w:i/>
          <w:color w:val="C8102E"/>
          <w:sz w:val="19"/>
        </w:rPr>
        <w:t>Do not mark the concept-selection Planner card as complete on the strength of this appendix. Only this governance-lock card's own three acceptance criteria are addressed here.</w:t>
      </w:r>
    </w:p>
    <w:p>
      <w:pPr>
        <w:spacing w:before="160" w:after="60"/>
      </w:pPr>
      <w:r>
        <w:rPr>
          <w:b/>
          <w:color w:val="1B2A4A"/>
          <w:sz w:val="22"/>
        </w:rPr>
        <w:t>Note for next role</w:t>
      </w:r>
    </w:p>
    <w:p>
      <w:pPr>
        <w:spacing w:after="120"/>
      </w:pPr>
      <w:r>
        <w:rPr>
          <w:b w:val="0"/>
          <w:i w:val="0"/>
          <w:sz w:val="21"/>
        </w:rPr>
        <w:t>PM/BA (Anuji): the Sprint 2 acceptance-criteria review and approval card is a separate, still-open item (due 14 Sept 2026). Dev 1/Dev 2: the shared AI-foundation build (Ollama benchmarking, STT benchmarking, Unity interfaces/DTOs) can start against this governance lock; do not build use-case-specific content or behaviour until CO-01 is resolved. UX (Hiba): conversation-state mapping and gesture design can proceed on the shared foundation now locked in Section 5 of the Governance Pack.</w:t>
      </w:r>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9972"/>
      </w:tblGrid>
      <w:tr>
        <w:tc>
          <w:tcPr>
            <w:tcW w:type="dxa" w:w="9972"/>
            <w:shd w:val="clear" w:color="auto" w:fill="1B2A4A"/>
          </w:tcPr>
          <w:p>
            <w:r/>
            <w:r>
              <w:rPr>
                <w:b/>
                <w:color w:val="FFFFFF"/>
                <w:sz w:val="19"/>
              </w:rPr>
              <w:t xml:space="preserve">Governance Pack: </w:t>
            </w:r>
            <w:r>
              <w:rPr>
                <w:color w:val="AFD1FF"/>
                <w:sz w:val="19"/>
                <w:u w:val="single"/>
              </w:rPr>
              <w:t>Team11-Sprint2-Governance-Pack.docx (this submission)</w:t>
            </w:r>
          </w:p>
        </w:tc>
      </w:tr>
      <w:tr>
        <w:tc>
          <w:tcPr>
            <w:tcW w:type="dxa" w:w="9972"/>
            <w:shd w:val="clear" w:color="auto" w:fill="1B2A4A"/>
          </w:tcPr>
          <w:p>
            <w:r/>
            <w:r>
              <w:rPr>
                <w:b/>
                <w:color w:val="FFFFFF"/>
                <w:sz w:val="19"/>
              </w:rPr>
              <w:t xml:space="preserve">Project Charter v1.1: </w:t>
            </w:r>
            <w:r>
              <w:rPr>
                <w:color w:val="AFD1FF"/>
                <w:sz w:val="19"/>
                <w:u w:val="single"/>
              </w:rPr>
              <w:t>Team11-Project-Charter-v1.1-Sprint2.docx (this submission)</w:t>
            </w:r>
          </w:p>
        </w:tc>
      </w:tr>
      <w:tr>
        <w:tc>
          <w:tcPr>
            <w:tcW w:type="dxa" w:w="9972"/>
            <w:shd w:val="clear" w:color="auto" w:fill="1B2A4A"/>
          </w:tcPr>
          <w:p>
            <w:r/>
            <w:r>
              <w:rPr>
                <w:b/>
                <w:color w:val="FFFFFF"/>
                <w:sz w:val="19"/>
              </w:rPr>
              <w:t xml:space="preserve">Repository / document link: </w:t>
            </w:r>
            <w:r>
              <w:rPr>
                <w:color w:val="AFD1FF"/>
                <w:sz w:val="19"/>
                <w:u w:val="single"/>
              </w:rPr>
              <w:t>[PM INPUT REQUIRED: repository or shared-document link for this closure record]</w:t>
            </w:r>
          </w:p>
        </w:tc>
      </w:tr>
    </w:tbl>
    <w:p>
      <w:pPr>
        <w:spacing w:after="80"/>
      </w:pPr>
    </w:p>
    <w:p>
      <w:pPr>
        <w:spacing w:before="320" w:after="120"/>
        <w:pBdr>
          <w:bottom w:val="single" w:sz="6" w:space="4" w:color="1B2A4A"/>
        </w:pBdr>
      </w:pPr>
      <w:r>
        <w:rPr>
          <w:b/>
          <w:color w:val="1B2A4A"/>
          <w:sz w:val="30"/>
        </w:rPr>
        <w:t>Ready-to-paste Planner Completion Comment</w:t>
      </w:r>
    </w:p>
    <w:p>
      <w:pPr>
        <w:spacing w:after="120"/>
      </w:pPr>
      <w:r>
        <w:rPr>
          <w:b w:val="0"/>
          <w:i w:val="0"/>
          <w:sz w:val="21"/>
        </w:rPr>
        <w:t>Paste the block below into the Notes field of “[Sprint 2: Interactive AI Hologram] Close Sprint 1 carry-over and lock the Sprint 2 goal”.</w:t>
      </w:r>
    </w:p>
    <w:tbl>
      <w:tblPr>
        <w:tblStyle w:val="TableGrid"/>
        <w:tblW w:type="auto" w:w="0"/>
        <w:tblLook w:firstColumn="1" w:firstRow="1" w:lastColumn="0" w:lastRow="0" w:noHBand="0" w:noVBand="1" w:val="04A0"/>
        <w:tblCellMar>
          <w:top w:w="120" w:type="dxa"/>
          <w:bottom w:w="120" w:type="dxa"/>
          <w:start w:w="140" w:type="dxa"/>
          <w:end w:w="140" w:type="dxa"/>
        </w:tblCellMar>
      </w:tblPr>
      <w:tblGrid>
        <w:gridCol w:w="9972"/>
      </w:tblGrid>
      <w:tr>
        <w:tc>
          <w:tcPr>
            <w:tcW w:type="dxa" w:w="9972"/>
            <w:shd w:val="clear" w:color="auto" w:fill="F7F5EE"/>
          </w:tcPr>
          <w:p>
            <w:r/>
          </w:p>
          <w:p>
            <w:pPr>
              <w:spacing w:after="80"/>
            </w:pPr>
            <w:r>
              <w:rPr>
                <w:rFonts w:ascii="Consolas" w:hAnsi="Consolas"/>
                <w:b/>
                <w:sz w:val="19"/>
              </w:rPr>
              <w:t>Completion comment</w:t>
            </w:r>
          </w:p>
          <w:p>
            <w:pPr>
              <w:spacing w:after="80"/>
            </w:pPr>
            <w:r>
              <w:rPr>
                <w:rFonts w:ascii="Consolas" w:hAnsi="Consolas"/>
                <w:b w:val="0"/>
                <w:sz w:val="19"/>
              </w:rPr>
              <w:t>Done: Closed the Sprint 1 carry-over documentation obligations for this card. Recorded the Friday 11 September 2026 client decision (Use Case 1 removed for introducing real-time motion capture; Use Cases 2 and 3 retained; final choice deferred as both share the same AI, speech, RAG and avatar foundation). Locked the Sprint 2 goal: demonstrate an interactive AI avatar on the physical Looking Glass by 2 October 2026, using Unity 2022.3.40f1, Ultraleap pinch-to-talk, a localhost AI service (STT, Ollama, RAG), Azure Speech audio and facial timing, and coordinated facial/body animation, with menu input and uLipSync retained as tested fallbacks. Recorded the scope boundary (live telepresence and real-time motion capture are out of scope) and the five-person owner map for Sprint 2.</w:t>
            </w:r>
          </w:p>
          <w:p>
            <w:pPr>
              <w:spacing w:after="80"/>
            </w:pPr>
            <w:r>
              <w:rPr>
                <w:rFonts w:ascii="Consolas" w:hAnsi="Consolas"/>
                <w:b w:val="0"/>
                <w:sz w:val="19"/>
              </w:rPr>
              <w:t>Deliverable: Sprint 2 Governance Pack, updated Project Charter and updated Master Document.</w:t>
            </w:r>
          </w:p>
          <w:p>
            <w:pPr>
              <w:spacing w:after="80"/>
            </w:pPr>
            <w:r>
              <w:rPr>
                <w:rFonts w:ascii="Consolas" w:hAnsi="Consolas"/>
                <w:b w:val="0"/>
                <w:sz w:val="19"/>
              </w:rPr>
              <w:t>Note for next role: The shared AI foundation may proceed. Use-case-specific content remains dependent on Ian's final decision between the Product Demonstrator and Employee Training Coach.</w:t>
            </w:r>
          </w:p>
          <w:p>
            <w:pPr>
              <w:spacing w:after="80"/>
            </w:pPr>
            <w:r>
              <w:rPr>
                <w:rFonts w:ascii="Consolas" w:hAnsi="Consolas"/>
                <w:b w:val="0"/>
                <w:sz w:val="19"/>
              </w:rPr>
              <w:t>Git URL: [PM INPUT REQUIRED: repository or document link]</w:t>
            </w:r>
          </w:p>
        </w:tc>
      </w:tr>
    </w:tbl>
    <w:p>
      <w:pPr>
        <w:spacing w:after="120"/>
      </w:pPr>
    </w:p>
    <w:p>
      <w:pPr>
        <w:spacing w:before="320" w:after="120"/>
        <w:pBdr>
          <w:bottom w:val="single" w:sz="6" w:space="4" w:color="1B2A4A"/>
        </w:pBdr>
      </w:pPr>
      <w:r>
        <w:rPr>
          <w:b/>
          <w:color w:val="1B2A4A"/>
          <w:sz w:val="30"/>
        </w:rPr>
        <w:t>Final Action List for PM</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397"/>
            <w:shd w:val="clear" w:color="auto" w:fill="1B2A4A"/>
            <w:vAlign w:val="center"/>
          </w:tcPr>
          <w:p>
            <w:r/>
            <w:r>
              <w:rPr>
                <w:b/>
                <w:color w:val="FFFFFF"/>
                <w:sz w:val="17"/>
              </w:rPr>
              <w:t>#</w:t>
            </w:r>
          </w:p>
        </w:tc>
        <w:tc>
          <w:tcPr>
            <w:tcW w:type="dxa" w:w="4706"/>
            <w:shd w:val="clear" w:color="auto" w:fill="1B2A4A"/>
            <w:vAlign w:val="center"/>
          </w:tcPr>
          <w:p>
            <w:r/>
            <w:r>
              <w:rPr>
                <w:b/>
                <w:color w:val="FFFFFF"/>
                <w:sz w:val="17"/>
              </w:rPr>
              <w:t>Action</w:t>
            </w:r>
          </w:p>
        </w:tc>
        <w:tc>
          <w:tcPr>
            <w:tcW w:type="dxa" w:w="4819"/>
            <w:shd w:val="clear" w:color="auto" w:fill="1B2A4A"/>
            <w:vAlign w:val="center"/>
          </w:tcPr>
          <w:p>
            <w:r/>
            <w:r>
              <w:rPr>
                <w:b/>
                <w:color w:val="FFFFFF"/>
                <w:sz w:val="17"/>
              </w:rPr>
              <w:t>Why</w:t>
            </w:r>
          </w:p>
        </w:tc>
      </w:tr>
      <w:tr>
        <w:tc>
          <w:tcPr>
            <w:tcW w:type="dxa" w:w="397"/>
            <w:vAlign w:val="center"/>
          </w:tcPr>
          <w:p>
            <w:r/>
            <w:r>
              <w:rPr>
                <w:sz w:val="17"/>
              </w:rPr>
              <w:t>1</w:t>
            </w:r>
          </w:p>
        </w:tc>
        <w:tc>
          <w:tcPr>
            <w:tcW w:type="dxa" w:w="4706"/>
            <w:vAlign w:val="center"/>
          </w:tcPr>
          <w:p>
            <w:r/>
            <w:r>
              <w:rPr>
                <w:sz w:val="17"/>
              </w:rPr>
              <w:t>Correct this card's Planner dates — it currently shows a due date of 14 September 2026 but a start date of 15 September 2026 (starting after it is due).</w:t>
            </w:r>
          </w:p>
        </w:tc>
        <w:tc>
          <w:tcPr>
            <w:tcW w:type="dxa" w:w="4819"/>
            <w:vAlign w:val="center"/>
          </w:tcPr>
          <w:p>
            <w:r/>
            <w:r>
              <w:rPr>
                <w:sz w:val="17"/>
              </w:rPr>
              <w:t>The card cannot be tracked as on-time against an internally inconsistent schedule (date-quality check, per review instructions).</w:t>
            </w:r>
          </w:p>
        </w:tc>
      </w:tr>
      <w:tr>
        <w:tc>
          <w:tcPr>
            <w:tcW w:type="dxa" w:w="397"/>
            <w:vAlign w:val="center"/>
          </w:tcPr>
          <w:p>
            <w:r/>
            <w:r>
              <w:rPr>
                <w:sz w:val="17"/>
              </w:rPr>
              <w:t>2</w:t>
            </w:r>
          </w:p>
        </w:tc>
        <w:tc>
          <w:tcPr>
            <w:tcW w:type="dxa" w:w="4706"/>
            <w:vAlign w:val="center"/>
          </w:tcPr>
          <w:p>
            <w:r/>
            <w:r>
              <w:rPr>
                <w:sz w:val="17"/>
              </w:rPr>
              <w:t>Confirm the date of the next client meeting to resolve CO-01 (Product Demonstrator vs Employee Training Coach).</w:t>
            </w:r>
          </w:p>
        </w:tc>
        <w:tc>
          <w:tcPr>
            <w:tcW w:type="dxa" w:w="4819"/>
            <w:vAlign w:val="center"/>
          </w:tcPr>
          <w:p>
            <w:r/>
            <w:r>
              <w:rPr>
                <w:sz w:val="17"/>
              </w:rPr>
              <w:t>Required to close the open carry-over before Sprint 2 needs use-case-specific content (around Week 2, 25 Sept 2026).</w:t>
            </w:r>
          </w:p>
        </w:tc>
      </w:tr>
      <w:tr>
        <w:tc>
          <w:tcPr>
            <w:tcW w:type="dxa" w:w="397"/>
            <w:vAlign w:val="center"/>
          </w:tcPr>
          <w:p>
            <w:r/>
            <w:r>
              <w:rPr>
                <w:sz w:val="17"/>
              </w:rPr>
              <w:t>3</w:t>
            </w:r>
          </w:p>
        </w:tc>
        <w:tc>
          <w:tcPr>
            <w:tcW w:type="dxa" w:w="4706"/>
            <w:vAlign w:val="center"/>
          </w:tcPr>
          <w:p>
            <w:r/>
            <w:r>
              <w:rPr>
                <w:sz w:val="17"/>
              </w:rPr>
              <w:t>Resolve the dependency conflict on “Design the body-language and gesture behaviour map.” The Sprint 2 Gantt workbook lists its own Task ID (T09) as its dependency (a self-reference); the Planner card's own notes state the dependency as T05.</w:t>
            </w:r>
          </w:p>
        </w:tc>
        <w:tc>
          <w:tcPr>
            <w:tcW w:type="dxa" w:w="4819"/>
            <w:vAlign w:val="center"/>
          </w:tcPr>
          <w:p>
            <w:r/>
            <w:r>
              <w:rPr>
                <w:sz w:val="17"/>
              </w:rPr>
              <w:t>Not silently corrected in this review — needs a PM decision on which source is authoritative.</w:t>
            </w:r>
          </w:p>
        </w:tc>
      </w:tr>
      <w:tr>
        <w:tc>
          <w:tcPr>
            <w:tcW w:type="dxa" w:w="397"/>
            <w:vAlign w:val="center"/>
          </w:tcPr>
          <w:p>
            <w:r/>
            <w:r>
              <w:rPr>
                <w:sz w:val="17"/>
              </w:rPr>
              <w:t>4</w:t>
            </w:r>
          </w:p>
        </w:tc>
        <w:tc>
          <w:tcPr>
            <w:tcW w:type="dxa" w:w="4706"/>
            <w:vAlign w:val="center"/>
          </w:tcPr>
          <w:p>
            <w:r/>
            <w:r>
              <w:rPr>
                <w:sz w:val="17"/>
              </w:rPr>
              <w:t>Supply the authoritative v1.0 Project Charter file, or confirm none exists yet.</w:t>
            </w:r>
          </w:p>
        </w:tc>
        <w:tc>
          <w:tcPr>
            <w:tcW w:type="dxa" w:w="4819"/>
            <w:vAlign w:val="center"/>
          </w:tcPr>
          <w:p>
            <w:r/>
            <w:r>
              <w:rPr>
                <w:sz w:val="17"/>
              </w:rPr>
              <w:t>v1.1 was compiled without it; unaffected sections could not be reconciled against exact prior wording.</w:t>
            </w:r>
          </w:p>
        </w:tc>
      </w:tr>
      <w:tr>
        <w:tc>
          <w:tcPr>
            <w:tcW w:type="dxa" w:w="397"/>
            <w:vAlign w:val="center"/>
          </w:tcPr>
          <w:p>
            <w:r/>
            <w:r>
              <w:rPr>
                <w:sz w:val="17"/>
              </w:rPr>
              <w:t>5</w:t>
            </w:r>
          </w:p>
        </w:tc>
        <w:tc>
          <w:tcPr>
            <w:tcW w:type="dxa" w:w="4706"/>
            <w:vAlign w:val="center"/>
          </w:tcPr>
          <w:p>
            <w:r/>
            <w:r>
              <w:rPr>
                <w:sz w:val="17"/>
              </w:rPr>
              <w:t>Confirm whether “Ian” (recorded as client in the 11 September decision) and Ian Peake (recorded elsewhere as VXLab supervisor) are the same role, and confirm the current status of Nikhita Paul as Telstra client contact.</w:t>
            </w:r>
          </w:p>
        </w:tc>
        <w:tc>
          <w:tcPr>
            <w:tcW w:type="dxa" w:w="4819"/>
            <w:vAlign w:val="center"/>
          </w:tcPr>
          <w:p>
            <w:r/>
            <w:r>
              <w:rPr>
                <w:sz w:val="17"/>
              </w:rPr>
              <w:t>Charter §9 records a role-clarification note rather than silently merging or overwriting the stakeholder record.</w:t>
            </w:r>
          </w:p>
        </w:tc>
      </w:tr>
      <w:tr>
        <w:tc>
          <w:tcPr>
            <w:tcW w:type="dxa" w:w="397"/>
            <w:vAlign w:val="center"/>
          </w:tcPr>
          <w:p>
            <w:r/>
            <w:r>
              <w:rPr>
                <w:sz w:val="17"/>
              </w:rPr>
              <w:t>6</w:t>
            </w:r>
          </w:p>
        </w:tc>
        <w:tc>
          <w:tcPr>
            <w:tcW w:type="dxa" w:w="4706"/>
            <w:vAlign w:val="center"/>
          </w:tcPr>
          <w:p>
            <w:r/>
            <w:r>
              <w:rPr>
                <w:sz w:val="17"/>
              </w:rPr>
              <w:t>Supply a repository or shared-document link for the Planner completion comment and the Git URL block above.</w:t>
            </w:r>
          </w:p>
        </w:tc>
        <w:tc>
          <w:tcPr>
            <w:tcW w:type="dxa" w:w="4819"/>
            <w:vAlign w:val="center"/>
          </w:tcPr>
          <w:p>
            <w:r/>
            <w:r>
              <w:rPr>
                <w:sz w:val="17"/>
              </w:rPr>
              <w:t>Both currently carry a [PM INPUT REQUIRED] placeholder.</w:t>
            </w:r>
          </w:p>
        </w:tc>
      </w:tr>
      <w:tr>
        <w:tc>
          <w:tcPr>
            <w:tcW w:type="dxa" w:w="397"/>
            <w:vAlign w:val="center"/>
          </w:tcPr>
          <w:p>
            <w:r/>
            <w:r>
              <w:rPr>
                <w:sz w:val="17"/>
              </w:rPr>
              <w:t>7</w:t>
            </w:r>
          </w:p>
        </w:tc>
        <w:tc>
          <w:tcPr>
            <w:tcW w:type="dxa" w:w="4706"/>
            <w:vAlign w:val="center"/>
          </w:tcPr>
          <w:p>
            <w:r/>
            <w:r>
              <w:rPr>
                <w:sz w:val="17"/>
              </w:rPr>
              <w:t>Have the team review and approve this pack and the Charter update (tracked on “Review and approve all Sprint 2 acceptance criteria,” due 14 Sept 2026).</w:t>
            </w:r>
          </w:p>
        </w:tc>
        <w:tc>
          <w:tcPr>
            <w:tcW w:type="dxa" w:w="4819"/>
            <w:vAlign w:val="center"/>
          </w:tcPr>
          <w:p>
            <w:r/>
            <w:r>
              <w:rPr>
                <w:sz w:val="17"/>
              </w:rPr>
              <w:t>All three new documents are PM drafts pending team sign-off.</w:t>
            </w:r>
          </w:p>
        </w:tc>
      </w:tr>
    </w:tbl>
    <w:p>
      <w:pPr>
        <w:spacing w:after="8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777"/>
        <w:sz w:val="16"/>
      </w:rPr>
      <w:t>Team 11 — AI Hologram and Digital Presence  |  Master Document Sprint 1 Closure appendix  |  13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