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C8102E"/>
          <w:sz w:val="20"/>
        </w:rPr>
        <w:t>RMIT UNIVERSITY</w:t>
      </w:r>
    </w:p>
    <w:p>
      <w:pPr>
        <w:spacing w:after="40"/>
        <w:pBdr>
          <w:bottom w:val="single" w:sz="16" w:space="6" w:color="1B2A4A"/>
        </w:pBdr>
      </w:pPr>
      <w:r>
        <w:rPr>
          <w:b/>
          <w:color w:val="1B2A4A"/>
          <w:sz w:val="44"/>
        </w:rPr>
        <w:t>Team 11 — Project Charter</w:t>
      </w:r>
    </w:p>
    <w:p>
      <w:pPr>
        <w:spacing w:after="200"/>
      </w:pPr>
      <w:r>
        <w:rPr>
          <w:i/>
          <w:color w:val="333333"/>
          <w:sz w:val="22"/>
        </w:rPr>
        <w:t>Telstra AI Hologram and Digital Presence  |  Version 1.1 (Sprint 2 update)</w:t>
      </w:r>
    </w:p>
    <w:p>
      <w:pPr>
        <w:spacing w:before="320" w:after="120"/>
        <w:pBdr>
          <w:bottom w:val="single" w:sz="6" w:space="4" w:color="1B2A4A"/>
        </w:pBdr>
      </w:pPr>
      <w:r>
        <w:rPr>
          <w:b/>
          <w:color w:val="1B2A4A"/>
          <w:sz w:val="30"/>
        </w:rPr>
        <w:t>1. Document Control and Version History</w:t>
      </w:r>
    </w:p>
    <w:p>
      <w:pPr>
        <w:spacing w:after="120"/>
      </w:pPr>
      <w:r>
        <w:rPr>
          <w:b/>
          <w:i/>
          <w:color w:val="C8102E"/>
          <w:sz w:val="21"/>
        </w:rPr>
        <w:t>[PM INPUT REQUIRED: a v1.0 Project Charter file was not supplied with the source material for this update. Sections below have been compiled from the confirmed Sprint 1 project-context baseline (26 Aug 2026), the Master-Document-Sprint1 export and the S1W3 Planner/Gantt exports, restricted to the sections this Sprint 2 decision affects. Please attach the authoritative v1.0 file so exact prior wording for unaffected sections (e.g. any narrative not reproduced here) can be reconciled or carried across unchanged.]</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2493"/>
        <w:gridCol w:w="2493"/>
        <w:gridCol w:w="2493"/>
        <w:gridCol w:w="2493"/>
      </w:tblGrid>
      <w:tr>
        <w:trPr>
          <w:tblHeader w:val="true"/>
        </w:trPr>
        <w:tc>
          <w:tcPr>
            <w:tcW w:type="dxa" w:w="1020"/>
            <w:shd w:val="clear" w:color="auto" w:fill="1B2A4A"/>
            <w:vAlign w:val="center"/>
          </w:tcPr>
          <w:p>
            <w:r/>
            <w:r>
              <w:rPr>
                <w:b/>
                <w:color w:val="FFFFFF"/>
                <w:sz w:val="19"/>
              </w:rPr>
              <w:t>Version</w:t>
            </w:r>
          </w:p>
        </w:tc>
        <w:tc>
          <w:tcPr>
            <w:tcW w:type="dxa" w:w="1701"/>
            <w:shd w:val="clear" w:color="auto" w:fill="1B2A4A"/>
            <w:vAlign w:val="center"/>
          </w:tcPr>
          <w:p>
            <w:r/>
            <w:r>
              <w:rPr>
                <w:b/>
                <w:color w:val="FFFFFF"/>
                <w:sz w:val="19"/>
              </w:rPr>
              <w:t>Date</w:t>
            </w:r>
          </w:p>
        </w:tc>
        <w:tc>
          <w:tcPr>
            <w:tcW w:type="dxa" w:w="2551"/>
            <w:shd w:val="clear" w:color="auto" w:fill="1B2A4A"/>
            <w:vAlign w:val="center"/>
          </w:tcPr>
          <w:p>
            <w:r/>
            <w:r>
              <w:rPr>
                <w:b/>
                <w:color w:val="FFFFFF"/>
                <w:sz w:val="19"/>
              </w:rPr>
              <w:t>Author</w:t>
            </w:r>
          </w:p>
        </w:tc>
        <w:tc>
          <w:tcPr>
            <w:tcW w:type="dxa" w:w="4082"/>
            <w:shd w:val="clear" w:color="auto" w:fill="1B2A4A"/>
            <w:vAlign w:val="center"/>
          </w:tcPr>
          <w:p>
            <w:r/>
            <w:r>
              <w:rPr>
                <w:b/>
                <w:color w:val="FFFFFF"/>
                <w:sz w:val="19"/>
              </w:rPr>
              <w:t>Summary of change</w:t>
            </w:r>
          </w:p>
        </w:tc>
      </w:tr>
      <w:tr>
        <w:tc>
          <w:tcPr>
            <w:tcW w:type="dxa" w:w="1020"/>
            <w:vAlign w:val="center"/>
          </w:tcPr>
          <w:p>
            <w:r/>
            <w:r>
              <w:rPr>
                <w:sz w:val="19"/>
              </w:rPr>
              <w:t>1.0</w:t>
            </w:r>
          </w:p>
        </w:tc>
        <w:tc>
          <w:tcPr>
            <w:tcW w:type="dxa" w:w="1701"/>
            <w:vAlign w:val="center"/>
          </w:tcPr>
          <w:p>
            <w:r/>
            <w:r>
              <w:rPr>
                <w:sz w:val="19"/>
              </w:rPr>
              <w:t>[PM INPUT REQUIRED: confirm v1.0 issue date]</w:t>
            </w:r>
          </w:p>
        </w:tc>
        <w:tc>
          <w:tcPr>
            <w:tcW w:type="dxa" w:w="2551"/>
            <w:vAlign w:val="center"/>
          </w:tcPr>
          <w:p>
            <w:r/>
            <w:r>
              <w:rPr>
                <w:sz w:val="19"/>
              </w:rPr>
              <w:t>[PM INPUT REQUIRED: confirm v1.0 author]</w:t>
            </w:r>
          </w:p>
        </w:tc>
        <w:tc>
          <w:tcPr>
            <w:tcW w:type="dxa" w:w="4082"/>
            <w:vAlign w:val="center"/>
          </w:tcPr>
          <w:p>
            <w:r/>
            <w:r>
              <w:rPr>
                <w:sz w:val="19"/>
              </w:rPr>
              <w:t>Baseline charter established during Sprint 1 discovery (per the 26 Aug 2026 project-context snapshot: use case and primary user not yet selected).</w:t>
            </w:r>
          </w:p>
        </w:tc>
      </w:tr>
      <w:tr>
        <w:tc>
          <w:tcPr>
            <w:tcW w:type="dxa" w:w="1020"/>
            <w:vAlign w:val="center"/>
          </w:tcPr>
          <w:p>
            <w:r/>
            <w:r>
              <w:rPr>
                <w:sz w:val="19"/>
              </w:rPr>
              <w:t>1.1</w:t>
            </w:r>
          </w:p>
        </w:tc>
        <w:tc>
          <w:tcPr>
            <w:tcW w:type="dxa" w:w="1701"/>
            <w:vAlign w:val="center"/>
          </w:tcPr>
          <w:p>
            <w:r/>
            <w:r>
              <w:rPr>
                <w:sz w:val="19"/>
              </w:rPr>
              <w:t>13 September 2026</w:t>
            </w:r>
          </w:p>
        </w:tc>
        <w:tc>
          <w:tcPr>
            <w:tcW w:type="dxa" w:w="2551"/>
            <w:vAlign w:val="center"/>
          </w:tcPr>
          <w:p>
            <w:r/>
            <w:r>
              <w:rPr>
                <w:sz w:val="19"/>
              </w:rPr>
              <w:t>Ali Sina Sharifi, Project Manager</w:t>
            </w:r>
          </w:p>
        </w:tc>
        <w:tc>
          <w:tcPr>
            <w:tcW w:type="dxa" w:w="4082"/>
            <w:vAlign w:val="center"/>
          </w:tcPr>
          <w:p>
            <w:r/>
            <w:r>
              <w:rPr>
                <w:sz w:val="19"/>
              </w:rPr>
              <w:t>Updates the sections affected by the Friday 11 September 2026 client decision: Use Case 1 removed; Use Cases 2 and 3 retained with final choice deferred; Sprint 2 goal, scope, deliverables, assumptions, risk register, milestone schedule, decision log, roles/decision authority, stakeholder register and approval status revised accordingly. No revision date has been backdated and no signature has been inserted.</w:t>
            </w:r>
          </w:p>
        </w:tc>
      </w:tr>
    </w:tbl>
    <w:p>
      <w:pPr>
        <w:spacing w:after="80"/>
      </w:pPr>
    </w:p>
    <w:p>
      <w:pPr>
        <w:spacing w:before="320" w:after="120"/>
        <w:pBdr>
          <w:bottom w:val="single" w:sz="6" w:space="4" w:color="1B2A4A"/>
        </w:pBdr>
      </w:pPr>
      <w:r>
        <w:rPr>
          <w:b/>
          <w:color w:val="1B2A4A"/>
          <w:sz w:val="30"/>
        </w:rPr>
        <w:t>2. Objectives and Success Criteria</w:t>
      </w:r>
    </w:p>
    <w:p>
      <w:pPr>
        <w:spacing w:after="120"/>
      </w:pPr>
      <w:r>
        <w:rPr>
          <w:b w:val="0"/>
          <w:i w:val="0"/>
          <w:sz w:val="21"/>
        </w:rPr>
        <w:t>Sprint 2 objective (supersedes the Sprint 1 objective for active planning purposes; one Sprint 1 carry-over, CO-01, remains open and is tracked below — see Master-Document-Sprint1-Closure.docx):</w:t>
      </w:r>
    </w:p>
    <w:p>
      <w:pPr>
        <w:spacing w:after="160"/>
      </w:pPr>
      <w:r>
        <w:rPr>
          <w:i/>
        </w:rPr>
        <w:t>By 2 October 2026, demonstrate an interactive AI avatar on the physical Looking Glass using Unity 2022.3.40f1. The avatar will accept Ultraleap pinch-to-talk input, use a localhost service for speech recognition, Ollama and grounded document retrieval, return Azure-generated speech and facial timing, and coordinate facial and body animation. Menu input and uLipSync will remain available as tested fallbacks. The demonstration will support the shared foundation for the Product Demonstrator and Employee Training Coach while the final use case remains under client review.</w:t>
      </w:r>
    </w:p>
    <w:p>
      <w:pPr>
        <w:spacing w:before="160" w:after="60"/>
      </w:pPr>
      <w:r>
        <w:rPr>
          <w:b/>
          <w:color w:val="1B2A4A"/>
          <w:sz w:val="22"/>
        </w:rPr>
        <w:t>Success criteria</w:t>
      </w:r>
    </w:p>
    <w:p>
      <w:pPr>
        <w:pStyle w:val="ListBullet"/>
        <w:spacing w:after="60"/>
      </w:pPr>
      <w:r>
        <w:rPr>
          <w:sz w:val="21"/>
        </w:rPr>
        <w:t>The avatar demonstration runs on the physical Looking Glass, not only in the Unity Editor, by 2 October 2026.</w:t>
      </w:r>
    </w:p>
    <w:p>
      <w:pPr>
        <w:pStyle w:val="ListBullet"/>
        <w:spacing w:after="60"/>
      </w:pPr>
      <w:r>
        <w:rPr>
          <w:sz w:val="21"/>
        </w:rPr>
        <w:t>Pinch-to-talk, localhost STT, Ollama inference and RAG retrieval are all exercised in a single end-to-end turn, with menu input available as a tested fallback.</w:t>
      </w:r>
    </w:p>
    <w:p>
      <w:pPr>
        <w:pStyle w:val="ListBullet"/>
        <w:spacing w:after="60"/>
      </w:pPr>
      <w:r>
        <w:rPr>
          <w:sz w:val="21"/>
        </w:rPr>
        <w:t>Azure Speech drives answer audio and facial timing as the primary facial driver, with uLipSync verified as a working fallback.</w:t>
      </w:r>
    </w:p>
    <w:p>
      <w:pPr>
        <w:pStyle w:val="ListBullet"/>
        <w:spacing w:after="60"/>
      </w:pPr>
      <w:r>
        <w:rPr>
          <w:sz w:val="21"/>
        </w:rPr>
        <w:t>Body-language and gesture output uses only the approved gesture-tag whitelist; no direct bone manipulation by the AI.</w:t>
      </w:r>
    </w:p>
    <w:p>
      <w:pPr>
        <w:pStyle w:val="ListBullet"/>
        <w:spacing w:after="60"/>
      </w:pPr>
      <w:r>
        <w:rPr>
          <w:sz w:val="21"/>
        </w:rPr>
        <w:t>The AI service remains bound to localhost by default throughout.</w:t>
      </w:r>
    </w:p>
    <w:p>
      <w:pPr>
        <w:pStyle w:val="ListBullet"/>
        <w:spacing w:after="60"/>
      </w:pPr>
      <w:r>
        <w:rPr>
          <w:sz w:val="21"/>
        </w:rPr>
        <w:t>The client checkpoint records a decision (or an explicit continuation of the open status) between the Product Demonstrator and Employee Training Coach.</w:t>
      </w:r>
    </w:p>
    <w:p>
      <w:pPr>
        <w:spacing w:before="320" w:after="120"/>
        <w:pBdr>
          <w:bottom w:val="single" w:sz="6" w:space="4" w:color="1B2A4A"/>
        </w:pBdr>
      </w:pPr>
      <w:r>
        <w:rPr>
          <w:b/>
          <w:color w:val="1B2A4A"/>
          <w:sz w:val="30"/>
        </w:rPr>
        <w:t>3. Scope</w:t>
      </w:r>
    </w:p>
    <w:p>
      <w:pPr>
        <w:spacing w:before="160" w:after="60"/>
      </w:pPr>
      <w:r>
        <w:rPr>
          <w:b/>
          <w:color w:val="1B2A4A"/>
          <w:sz w:val="22"/>
        </w:rPr>
        <w:t>In scope for Sprint 2</w:t>
      </w:r>
    </w:p>
    <w:p>
      <w:pPr>
        <w:pStyle w:val="ListBullet"/>
        <w:spacing w:after="60"/>
      </w:pPr>
      <w:r>
        <w:rPr>
          <w:sz w:val="21"/>
        </w:rPr>
        <w:t>Unity 2022.3.40f1 and the Looking Glass display</w:t>
      </w:r>
    </w:p>
    <w:p>
      <w:pPr>
        <w:pStyle w:val="ListBullet"/>
        <w:spacing w:after="60"/>
      </w:pPr>
      <w:r>
        <w:rPr>
          <w:sz w:val="21"/>
        </w:rPr>
        <w:t>Ultraleap pinch-to-talk input and microphone recording</w:t>
      </w:r>
    </w:p>
    <w:p>
      <w:pPr>
        <w:pStyle w:val="ListBullet"/>
        <w:spacing w:after="60"/>
      </w:pPr>
      <w:r>
        <w:rPr>
          <w:sz w:val="21"/>
        </w:rPr>
        <w:t>Local speech-to-text, Ollama and RAG behind a localhost AI service</w:t>
      </w:r>
    </w:p>
    <w:p>
      <w:pPr>
        <w:pStyle w:val="ListBullet"/>
        <w:spacing w:after="60"/>
      </w:pPr>
      <w:r>
        <w:rPr>
          <w:sz w:val="21"/>
        </w:rPr>
        <w:t>Azure Speech-generated answer audio and facial-animation timing</w:t>
      </w:r>
    </w:p>
    <w:p>
      <w:pPr>
        <w:pStyle w:val="ListBullet"/>
        <w:spacing w:after="60"/>
      </w:pPr>
      <w:r>
        <w:rPr>
          <w:sz w:val="21"/>
        </w:rPr>
        <w:t>Azure-driven blend shapes as the primary facial driver, with uLipSync as the tested fallback</w:t>
      </w:r>
    </w:p>
    <w:p>
      <w:pPr>
        <w:pStyle w:val="ListBullet"/>
        <w:spacing w:after="60"/>
      </w:pPr>
      <w:r>
        <w:rPr>
          <w:sz w:val="21"/>
        </w:rPr>
        <w:t>Unity Animator body-language states and approved gesture tags</w:t>
      </w:r>
    </w:p>
    <w:p>
      <w:pPr>
        <w:pStyle w:val="ListBullet"/>
        <w:spacing w:after="60"/>
      </w:pPr>
      <w:r>
        <w:rPr>
          <w:sz w:val="21"/>
        </w:rPr>
        <w:t>Localhost-only Unity ↔ AI-service integration</w:t>
      </w:r>
    </w:p>
    <w:p>
      <w:pPr>
        <w:pStyle w:val="ListBullet"/>
        <w:spacing w:after="60"/>
      </w:pPr>
      <w:r>
        <w:rPr>
          <w:sz w:val="21"/>
        </w:rPr>
        <w:t>Packaging, testing, recovery instructions and physical-hardware evidence</w:t>
      </w:r>
    </w:p>
    <w:p>
      <w:pPr>
        <w:pStyle w:val="ListBullet"/>
        <w:spacing w:after="60"/>
      </w:pPr>
      <w:r>
        <w:rPr>
          <w:sz w:val="21"/>
        </w:rPr>
        <w:t>A client checkpoint for the final use-case decision</w:t>
      </w:r>
    </w:p>
    <w:p>
      <w:pPr>
        <w:spacing w:before="160" w:after="60"/>
      </w:pPr>
      <w:r>
        <w:rPr>
          <w:b/>
          <w:color w:val="1B2A4A"/>
          <w:sz w:val="22"/>
        </w:rPr>
        <w:t>Out of scope for Sprint 2</w:t>
      </w:r>
    </w:p>
    <w:p>
      <w:pPr>
        <w:pStyle w:val="ListBullet"/>
        <w:spacing w:after="60"/>
      </w:pPr>
      <w:r>
        <w:rPr>
          <w:sz w:val="21"/>
        </w:rPr>
        <w:t>Live telepresence</w:t>
      </w:r>
    </w:p>
    <w:p>
      <w:pPr>
        <w:pStyle w:val="ListBullet"/>
        <w:spacing w:after="60"/>
      </w:pPr>
      <w:r>
        <w:rPr>
          <w:sz w:val="21"/>
        </w:rPr>
        <w:t>Real-time human motion capture or body tracking</w:t>
      </w:r>
    </w:p>
    <w:p>
      <w:pPr>
        <w:pStyle w:val="ListBullet"/>
        <w:spacing w:after="60"/>
      </w:pPr>
      <w:r>
        <w:rPr>
          <w:sz w:val="21"/>
        </w:rPr>
        <w:t>Voice or video cloning</w:t>
      </w:r>
    </w:p>
    <w:p>
      <w:pPr>
        <w:pStyle w:val="ListBullet"/>
        <w:spacing w:after="60"/>
      </w:pPr>
      <w:r>
        <w:rPr>
          <w:sz w:val="21"/>
        </w:rPr>
        <w:t>Production deployment at a Telstra location</w:t>
      </w:r>
    </w:p>
    <w:p>
      <w:pPr>
        <w:pStyle w:val="ListBullet"/>
        <w:spacing w:after="60"/>
      </w:pPr>
      <w:r>
        <w:rPr>
          <w:sz w:val="21"/>
        </w:rPr>
        <w:t>Mid-air haptics as a required dependency</w:t>
      </w:r>
    </w:p>
    <w:p>
      <w:pPr>
        <w:pStyle w:val="ListBullet"/>
        <w:spacing w:after="60"/>
      </w:pPr>
      <w:r>
        <w:rPr>
          <w:sz w:val="21"/>
        </w:rPr>
        <w:t>AI-generated bone rotations or arbitrary animation commands</w:t>
      </w:r>
    </w:p>
    <w:p>
      <w:pPr>
        <w:pStyle w:val="ListBullet"/>
        <w:spacing w:after="60"/>
      </w:pPr>
      <w:r>
        <w:rPr>
          <w:sz w:val="21"/>
        </w:rPr>
        <w:t>Exposing the AI service outside localhost by default</w:t>
      </w:r>
    </w:p>
    <w:p>
      <w:pPr>
        <w:spacing w:after="120"/>
      </w:pPr>
      <w:r>
        <w:rPr>
          <w:b w:val="0"/>
          <w:i/>
          <w:sz w:val="19"/>
        </w:rPr>
        <w:t>Use Case 1 (live presentation with real-time motion capture) is removed from scope entirely, on client instruction of 11 September 2026 (see Section 8, DEC-02). Use Cases 2 and 3 remain in scope at the shared-foundation level only; use-case-specific content and behaviour is out of scope until CO-01 (Section 6) is resolved.</w:t>
      </w:r>
    </w:p>
    <w:p>
      <w:pPr>
        <w:spacing w:before="320" w:after="120"/>
        <w:pBdr>
          <w:bottom w:val="single" w:sz="6" w:space="4" w:color="1B2A4A"/>
        </w:pBdr>
      </w:pPr>
      <w:r>
        <w:rPr>
          <w:b/>
          <w:color w:val="1B2A4A"/>
          <w:sz w:val="30"/>
        </w:rPr>
        <w:t>4. Deliverables</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5102"/>
            <w:shd w:val="clear" w:color="auto" w:fill="1B2A4A"/>
            <w:vAlign w:val="center"/>
          </w:tcPr>
          <w:p>
            <w:r/>
            <w:r>
              <w:rPr>
                <w:b/>
                <w:color w:val="FFFFFF"/>
                <w:sz w:val="19"/>
              </w:rPr>
              <w:t>Deliverable</w:t>
            </w:r>
          </w:p>
        </w:tc>
        <w:tc>
          <w:tcPr>
            <w:tcW w:type="dxa" w:w="1701"/>
            <w:shd w:val="clear" w:color="auto" w:fill="1B2A4A"/>
            <w:vAlign w:val="center"/>
          </w:tcPr>
          <w:p>
            <w:r/>
            <w:r>
              <w:rPr>
                <w:b/>
                <w:color w:val="FFFFFF"/>
                <w:sz w:val="19"/>
              </w:rPr>
              <w:t>Type</w:t>
            </w:r>
          </w:p>
        </w:tc>
        <w:tc>
          <w:tcPr>
            <w:tcW w:type="dxa" w:w="2551"/>
            <w:shd w:val="clear" w:color="auto" w:fill="1B2A4A"/>
            <w:vAlign w:val="center"/>
          </w:tcPr>
          <w:p>
            <w:r/>
            <w:r>
              <w:rPr>
                <w:b/>
                <w:color w:val="FFFFFF"/>
                <w:sz w:val="19"/>
              </w:rPr>
              <w:t>Due</w:t>
            </w:r>
          </w:p>
        </w:tc>
      </w:tr>
      <w:tr>
        <w:tc>
          <w:tcPr>
            <w:tcW w:type="dxa" w:w="5102"/>
            <w:vAlign w:val="center"/>
          </w:tcPr>
          <w:p>
            <w:r/>
            <w:r>
              <w:rPr>
                <w:sz w:val="19"/>
              </w:rPr>
              <w:t>Team11-Sprint2-Governance-Pack.docx</w:t>
            </w:r>
          </w:p>
        </w:tc>
        <w:tc>
          <w:tcPr>
            <w:tcW w:type="dxa" w:w="1701"/>
            <w:vAlign w:val="center"/>
          </w:tcPr>
          <w:p>
            <w:r/>
            <w:r>
              <w:rPr>
                <w:sz w:val="19"/>
              </w:rPr>
              <w:t>Governance</w:t>
            </w:r>
          </w:p>
        </w:tc>
        <w:tc>
          <w:tcPr>
            <w:tcW w:type="dxa" w:w="2551"/>
            <w:vAlign w:val="center"/>
          </w:tcPr>
          <w:p>
            <w:r/>
            <w:r>
              <w:rPr>
                <w:sz w:val="19"/>
              </w:rPr>
              <w:t>13 September 2026</w:t>
            </w:r>
          </w:p>
        </w:tc>
      </w:tr>
      <w:tr>
        <w:tc>
          <w:tcPr>
            <w:tcW w:type="dxa" w:w="5102"/>
            <w:vAlign w:val="center"/>
          </w:tcPr>
          <w:p>
            <w:r/>
            <w:r>
              <w:rPr>
                <w:sz w:val="19"/>
              </w:rPr>
              <w:t>Team11-Project-Charter-v1.1-Sprint2.docx (this document)</w:t>
            </w:r>
          </w:p>
        </w:tc>
        <w:tc>
          <w:tcPr>
            <w:tcW w:type="dxa" w:w="1701"/>
            <w:vAlign w:val="center"/>
          </w:tcPr>
          <w:p>
            <w:r/>
            <w:r>
              <w:rPr>
                <w:sz w:val="19"/>
              </w:rPr>
              <w:t>Governance</w:t>
            </w:r>
          </w:p>
        </w:tc>
        <w:tc>
          <w:tcPr>
            <w:tcW w:type="dxa" w:w="2551"/>
            <w:vAlign w:val="center"/>
          </w:tcPr>
          <w:p>
            <w:r/>
            <w:r>
              <w:rPr>
                <w:sz w:val="19"/>
              </w:rPr>
              <w:t>13 September 2026</w:t>
            </w:r>
          </w:p>
        </w:tc>
      </w:tr>
      <w:tr>
        <w:tc>
          <w:tcPr>
            <w:tcW w:type="dxa" w:w="5102"/>
            <w:vAlign w:val="center"/>
          </w:tcPr>
          <w:p>
            <w:r/>
            <w:r>
              <w:rPr>
                <w:sz w:val="19"/>
              </w:rPr>
              <w:t>Master-Document-Sprint1-Closure.docx (append to Master Document)</w:t>
            </w:r>
          </w:p>
        </w:tc>
        <w:tc>
          <w:tcPr>
            <w:tcW w:type="dxa" w:w="1701"/>
            <w:vAlign w:val="center"/>
          </w:tcPr>
          <w:p>
            <w:r/>
            <w:r>
              <w:rPr>
                <w:sz w:val="19"/>
              </w:rPr>
              <w:t>Governance</w:t>
            </w:r>
          </w:p>
        </w:tc>
        <w:tc>
          <w:tcPr>
            <w:tcW w:type="dxa" w:w="2551"/>
            <w:vAlign w:val="center"/>
          </w:tcPr>
          <w:p>
            <w:r/>
            <w:r>
              <w:rPr>
                <w:sz w:val="19"/>
              </w:rPr>
              <w:t>13 September 2026</w:t>
            </w:r>
          </w:p>
        </w:tc>
      </w:tr>
      <w:tr>
        <w:tc>
          <w:tcPr>
            <w:tcW w:type="dxa" w:w="5102"/>
            <w:vAlign w:val="center"/>
          </w:tcPr>
          <w:p>
            <w:r/>
            <w:r>
              <w:rPr>
                <w:sz w:val="19"/>
              </w:rPr>
              <w:t>Local AI service: STT adapter, Ollama orchestration, RAG retrieval, localhost API</w:t>
            </w:r>
          </w:p>
        </w:tc>
        <w:tc>
          <w:tcPr>
            <w:tcW w:type="dxa" w:w="1701"/>
            <w:vAlign w:val="center"/>
          </w:tcPr>
          <w:p>
            <w:r/>
            <w:r>
              <w:rPr>
                <w:sz w:val="19"/>
              </w:rPr>
              <w:t>Technical</w:t>
            </w:r>
          </w:p>
        </w:tc>
        <w:tc>
          <w:tcPr>
            <w:tcW w:type="dxa" w:w="2551"/>
            <w:vAlign w:val="center"/>
          </w:tcPr>
          <w:p>
            <w:r/>
            <w:r>
              <w:rPr>
                <w:sz w:val="19"/>
              </w:rPr>
              <w:t>By 24 September 2026 (Week 2)</w:t>
            </w:r>
          </w:p>
        </w:tc>
      </w:tr>
      <w:tr>
        <w:tc>
          <w:tcPr>
            <w:tcW w:type="dxa" w:w="5102"/>
            <w:vAlign w:val="center"/>
          </w:tcPr>
          <w:p>
            <w:r/>
            <w:r>
              <w:rPr>
                <w:sz w:val="19"/>
              </w:rPr>
              <w:t>Unity integration: pinch-to-talk capture, UnityWebRequest client, AudioClip playback/turn control</w:t>
            </w:r>
          </w:p>
        </w:tc>
        <w:tc>
          <w:tcPr>
            <w:tcW w:type="dxa" w:w="1701"/>
            <w:vAlign w:val="center"/>
          </w:tcPr>
          <w:p>
            <w:r/>
            <w:r>
              <w:rPr>
                <w:sz w:val="19"/>
              </w:rPr>
              <w:t>Technical</w:t>
            </w:r>
          </w:p>
        </w:tc>
        <w:tc>
          <w:tcPr>
            <w:tcW w:type="dxa" w:w="2551"/>
            <w:vAlign w:val="center"/>
          </w:tcPr>
          <w:p>
            <w:r/>
            <w:r>
              <w:rPr>
                <w:sz w:val="19"/>
              </w:rPr>
              <w:t>By 24 September 2026 (Week 2)</w:t>
            </w:r>
          </w:p>
        </w:tc>
      </w:tr>
      <w:tr>
        <w:tc>
          <w:tcPr>
            <w:tcW w:type="dxa" w:w="5102"/>
            <w:vAlign w:val="center"/>
          </w:tcPr>
          <w:p>
            <w:r/>
            <w:r>
              <w:rPr>
                <w:sz w:val="19"/>
              </w:rPr>
              <w:t>Azure Speech integration: answer audio and facial-animation payload</w:t>
            </w:r>
          </w:p>
        </w:tc>
        <w:tc>
          <w:tcPr>
            <w:tcW w:type="dxa" w:w="1701"/>
            <w:vAlign w:val="center"/>
          </w:tcPr>
          <w:p>
            <w:r/>
            <w:r>
              <w:rPr>
                <w:sz w:val="19"/>
              </w:rPr>
              <w:t>Technical</w:t>
            </w:r>
          </w:p>
        </w:tc>
        <w:tc>
          <w:tcPr>
            <w:tcW w:type="dxa" w:w="2551"/>
            <w:vAlign w:val="center"/>
          </w:tcPr>
          <w:p>
            <w:r/>
            <w:r>
              <w:rPr>
                <w:sz w:val="19"/>
              </w:rPr>
              <w:t>By 28 September 2026 (Week 3)</w:t>
            </w:r>
          </w:p>
        </w:tc>
      </w:tr>
      <w:tr>
        <w:tc>
          <w:tcPr>
            <w:tcW w:type="dxa" w:w="5102"/>
            <w:vAlign w:val="center"/>
          </w:tcPr>
          <w:p>
            <w:r/>
            <w:r>
              <w:rPr>
                <w:sz w:val="19"/>
              </w:rPr>
              <w:t>Body-animation controller, Azure blend-shape driver, uLipSync fallback</w:t>
            </w:r>
          </w:p>
        </w:tc>
        <w:tc>
          <w:tcPr>
            <w:tcW w:type="dxa" w:w="1701"/>
            <w:vAlign w:val="center"/>
          </w:tcPr>
          <w:p>
            <w:r/>
            <w:r>
              <w:rPr>
                <w:sz w:val="19"/>
              </w:rPr>
              <w:t>Technical</w:t>
            </w:r>
          </w:p>
        </w:tc>
        <w:tc>
          <w:tcPr>
            <w:tcW w:type="dxa" w:w="2551"/>
            <w:vAlign w:val="center"/>
          </w:tcPr>
          <w:p>
            <w:r/>
            <w:r>
              <w:rPr>
                <w:sz w:val="19"/>
              </w:rPr>
              <w:t>By 30 September 2026 (Week 3)</w:t>
            </w:r>
          </w:p>
        </w:tc>
      </w:tr>
      <w:tr>
        <w:tc>
          <w:tcPr>
            <w:tcW w:type="dxa" w:w="5102"/>
            <w:vAlign w:val="center"/>
          </w:tcPr>
          <w:p>
            <w:r/>
            <w:r>
              <w:rPr>
                <w:sz w:val="19"/>
              </w:rPr>
              <w:t>Packaged AI service, model, index and configuration with start/stop/recovery steps</w:t>
            </w:r>
          </w:p>
        </w:tc>
        <w:tc>
          <w:tcPr>
            <w:tcW w:type="dxa" w:w="1701"/>
            <w:vAlign w:val="center"/>
          </w:tcPr>
          <w:p>
            <w:r/>
            <w:r>
              <w:rPr>
                <w:sz w:val="19"/>
              </w:rPr>
              <w:t>Technical</w:t>
            </w:r>
          </w:p>
        </w:tc>
        <w:tc>
          <w:tcPr>
            <w:tcW w:type="dxa" w:w="2551"/>
            <w:vAlign w:val="center"/>
          </w:tcPr>
          <w:p>
            <w:r/>
            <w:r>
              <w:rPr>
                <w:sz w:val="19"/>
              </w:rPr>
              <w:t>By 30 September 2026 (Week 3)</w:t>
            </w:r>
          </w:p>
        </w:tc>
      </w:tr>
      <w:tr>
        <w:tc>
          <w:tcPr>
            <w:tcW w:type="dxa" w:w="5102"/>
            <w:vAlign w:val="center"/>
          </w:tcPr>
          <w:p>
            <w:r/>
            <w:r>
              <w:rPr>
                <w:sz w:val="19"/>
              </w:rPr>
              <w:t>Physical Looking Glass demonstration, client checkpoint record, final UAT and residual backlog</w:t>
            </w:r>
          </w:p>
        </w:tc>
        <w:tc>
          <w:tcPr>
            <w:tcW w:type="dxa" w:w="1701"/>
            <w:vAlign w:val="center"/>
          </w:tcPr>
          <w:p>
            <w:r/>
            <w:r>
              <w:rPr>
                <w:sz w:val="19"/>
              </w:rPr>
              <w:t>Demonstration / governance</w:t>
            </w:r>
          </w:p>
        </w:tc>
        <w:tc>
          <w:tcPr>
            <w:tcW w:type="dxa" w:w="2551"/>
            <w:vAlign w:val="center"/>
          </w:tcPr>
          <w:p>
            <w:r/>
            <w:r>
              <w:rPr>
                <w:sz w:val="19"/>
              </w:rPr>
              <w:t>2 October 2026</w:t>
            </w:r>
          </w:p>
        </w:tc>
      </w:tr>
    </w:tbl>
    <w:p>
      <w:pPr>
        <w:spacing w:after="80"/>
      </w:pPr>
    </w:p>
    <w:p>
      <w:pPr>
        <w:spacing w:before="320" w:after="120"/>
        <w:pBdr>
          <w:bottom w:val="single" w:sz="6" w:space="4" w:color="1B2A4A"/>
        </w:pBdr>
      </w:pPr>
      <w:r>
        <w:rPr>
          <w:b/>
          <w:color w:val="1B2A4A"/>
          <w:sz w:val="30"/>
        </w:rPr>
        <w:t>5. Assumptions and Constraints</w:t>
      </w:r>
    </w:p>
    <w:p>
      <w:pPr>
        <w:spacing w:before="160" w:after="60"/>
      </w:pPr>
      <w:r>
        <w:rPr>
          <w:b/>
          <w:color w:val="1B2A4A"/>
          <w:sz w:val="22"/>
        </w:rPr>
        <w:t>Constraints (confirmed)</w:t>
      </w:r>
    </w:p>
    <w:p>
      <w:pPr>
        <w:pStyle w:val="ListBullet"/>
        <w:spacing w:after="60"/>
      </w:pPr>
      <w:r>
        <w:rPr>
          <w:sz w:val="21"/>
        </w:rPr>
        <w:t>All Unity work must remain compatible with Unity 2022.3.40f1.</w:t>
      </w:r>
    </w:p>
    <w:p>
      <w:pPr>
        <w:pStyle w:val="ListBullet"/>
        <w:spacing w:after="60"/>
      </w:pPr>
      <w:r>
        <w:rPr>
          <w:sz w:val="21"/>
        </w:rPr>
        <w:t>The AI service communicates with Unity over HTTP on localhost only; it is not exposed externally by default.</w:t>
      </w:r>
    </w:p>
    <w:p>
      <w:pPr>
        <w:pStyle w:val="ListBullet"/>
        <w:spacing w:after="60"/>
      </w:pPr>
      <w:r>
        <w:rPr>
          <w:sz w:val="21"/>
        </w:rPr>
        <w:t>Azure facial animation is the primary facial driver; uLipSync is the fallback. The AI may select approved gesture tags only — never direct bone rotations.</w:t>
      </w:r>
    </w:p>
    <w:p>
      <w:pPr>
        <w:pStyle w:val="ListBullet"/>
        <w:spacing w:after="60"/>
      </w:pPr>
      <w:r>
        <w:rPr>
          <w:sz w:val="21"/>
        </w:rPr>
        <w:t>A same-day Sprint 2 dependency may start only after the card it depends on is signed off.</w:t>
      </w:r>
    </w:p>
    <w:p>
      <w:pPr>
        <w:pStyle w:val="ListBullet"/>
        <w:spacing w:after="60"/>
      </w:pPr>
      <w:r>
        <w:rPr>
          <w:sz w:val="21"/>
        </w:rPr>
        <w:t>RAG sources must be approved, public, or clearly labelled synthetic documents.</w:t>
      </w:r>
    </w:p>
    <w:p>
      <w:pPr>
        <w:spacing w:before="160" w:after="60"/>
      </w:pPr>
      <w:r>
        <w:rPr>
          <w:b/>
          <w:color w:val="1B2A4A"/>
          <w:sz w:val="22"/>
        </w:rPr>
        <w:t>Assumptions</w:t>
      </w:r>
    </w:p>
    <w:p>
      <w:pPr>
        <w:pStyle w:val="ListBullet"/>
        <w:spacing w:after="60"/>
      </w:pPr>
      <w:r>
        <w:rPr>
          <w:sz w:val="21"/>
        </w:rPr>
        <w:t>The Sprint 1 build continues to run without console errors as the Sprint 2 starting point.</w:t>
      </w:r>
    </w:p>
    <w:p>
      <w:pPr>
        <w:pStyle w:val="ListBullet"/>
        <w:spacing w:after="60"/>
      </w:pPr>
      <w:r>
        <w:rPr>
          <w:sz w:val="21"/>
        </w:rPr>
        <w:t>Looking Glass remains configured on the VXLab computer and required project software may continue to be installed there.</w:t>
      </w:r>
    </w:p>
    <w:p>
      <w:pPr>
        <w:pStyle w:val="ListBullet"/>
        <w:spacing w:after="60"/>
      </w:pPr>
      <w:r>
        <w:rPr>
          <w:sz w:val="21"/>
        </w:rPr>
        <w:t>The VXLab computer's internet access and Bluetooth (for an external speaker) remain available.</w:t>
      </w:r>
    </w:p>
    <w:p>
      <w:pPr>
        <w:pStyle w:val="ListBullet"/>
        <w:spacing w:after="60"/>
      </w:pPr>
      <w:r>
        <w:rPr>
          <w:sz w:val="21"/>
        </w:rPr>
        <w:t>Both Use Case 2 and Use Case 3 can be supported by the same initial AI, speech, RAG and avatar foundation, as advised by the client on 11 September 2026.</w:t>
      </w:r>
    </w:p>
    <w:p>
      <w:pPr>
        <w:pStyle w:val="ListBullet"/>
        <w:spacing w:after="60"/>
      </w:pPr>
      <w:r>
        <w:rPr>
          <w:sz w:val="21"/>
        </w:rPr>
        <w:t>A further client meeting to resolve CO-01 (Section 6) will occur before Sprint 2 requires use-case-specific content or behaviour.</w:t>
      </w:r>
    </w:p>
    <w:p>
      <w:pPr>
        <w:spacing w:before="320" w:after="120"/>
        <w:pBdr>
          <w:bottom w:val="single" w:sz="6" w:space="4" w:color="1B2A4A"/>
        </w:pBdr>
      </w:pPr>
      <w:r>
        <w:rPr>
          <w:b/>
          <w:color w:val="1B2A4A"/>
          <w:sz w:val="30"/>
        </w:rPr>
        <w:t>6. Risk Register</w:t>
      </w:r>
    </w:p>
    <w:p>
      <w:pPr>
        <w:spacing w:after="120"/>
      </w:pPr>
      <w:r>
        <w:rPr>
          <w:b w:val="0"/>
          <w:i w:val="0"/>
          <w:sz w:val="21"/>
        </w:rPr>
        <w:t>Charter-level risks only; the full working risk/control table with escalation owners and review points is maintained in Team11-Sprint2-Governance-Pack.docx, Section 9.</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907"/>
            <w:shd w:val="clear" w:color="auto" w:fill="1B2A4A"/>
            <w:vAlign w:val="center"/>
          </w:tcPr>
          <w:p>
            <w:r/>
            <w:r>
              <w:rPr>
                <w:b/>
                <w:color w:val="FFFFFF"/>
                <w:sz w:val="19"/>
              </w:rPr>
              <w:t>ID</w:t>
            </w:r>
          </w:p>
        </w:tc>
        <w:tc>
          <w:tcPr>
            <w:tcW w:type="dxa" w:w="7030"/>
            <w:shd w:val="clear" w:color="auto" w:fill="1B2A4A"/>
            <w:vAlign w:val="center"/>
          </w:tcPr>
          <w:p>
            <w:r/>
            <w:r>
              <w:rPr>
                <w:b/>
                <w:color w:val="FFFFFF"/>
                <w:sz w:val="19"/>
              </w:rPr>
              <w:t>Risk</w:t>
            </w:r>
          </w:p>
        </w:tc>
        <w:tc>
          <w:tcPr>
            <w:tcW w:type="dxa" w:w="1417"/>
            <w:shd w:val="clear" w:color="auto" w:fill="1B2A4A"/>
            <w:vAlign w:val="center"/>
          </w:tcPr>
          <w:p>
            <w:r/>
            <w:r>
              <w:rPr>
                <w:b/>
                <w:color w:val="FFFFFF"/>
                <w:sz w:val="19"/>
              </w:rPr>
              <w:t>Level</w:t>
            </w:r>
          </w:p>
        </w:tc>
      </w:tr>
      <w:tr>
        <w:tc>
          <w:tcPr>
            <w:tcW w:type="dxa" w:w="907"/>
            <w:vAlign w:val="center"/>
          </w:tcPr>
          <w:p>
            <w:r/>
            <w:r>
              <w:rPr>
                <w:sz w:val="19"/>
              </w:rPr>
              <w:t>CO-01</w:t>
            </w:r>
          </w:p>
        </w:tc>
        <w:tc>
          <w:tcPr>
            <w:tcW w:type="dxa" w:w="7030"/>
            <w:vAlign w:val="center"/>
          </w:tcPr>
          <w:p>
            <w:r/>
            <w:r>
              <w:rPr>
                <w:sz w:val="19"/>
              </w:rPr>
              <w:t>Final use-case decision (Product Demonstrator vs Employee Training Coach) remains open and could delay use-case-specific work.</w:t>
            </w:r>
          </w:p>
        </w:tc>
        <w:tc>
          <w:tcPr>
            <w:tcW w:type="dxa" w:w="1417"/>
            <w:vAlign w:val="center"/>
          </w:tcPr>
          <w:p>
            <w:r/>
            <w:r>
              <w:rPr>
                <w:sz w:val="19"/>
              </w:rPr>
              <w:t>Medium</w:t>
            </w:r>
          </w:p>
        </w:tc>
      </w:tr>
      <w:tr>
        <w:tc>
          <w:tcPr>
            <w:tcW w:type="dxa" w:w="907"/>
            <w:vAlign w:val="center"/>
          </w:tcPr>
          <w:p>
            <w:r/>
            <w:r>
              <w:rPr>
                <w:sz w:val="19"/>
              </w:rPr>
              <w:t>R-03</w:t>
            </w:r>
          </w:p>
        </w:tc>
        <w:tc>
          <w:tcPr>
            <w:tcW w:type="dxa" w:w="7030"/>
            <w:vAlign w:val="center"/>
          </w:tcPr>
          <w:p>
            <w:r/>
            <w:r>
              <w:rPr>
                <w:sz w:val="19"/>
              </w:rPr>
              <w:t>Unity-version mismatch between the VXLab baseline and individual machines/guides could produce a build that only runs on one machine.</w:t>
            </w:r>
          </w:p>
        </w:tc>
        <w:tc>
          <w:tcPr>
            <w:tcW w:type="dxa" w:w="1417"/>
            <w:vAlign w:val="center"/>
          </w:tcPr>
          <w:p>
            <w:r/>
            <w:r>
              <w:rPr>
                <w:sz w:val="19"/>
              </w:rPr>
              <w:t>Medium</w:t>
            </w:r>
          </w:p>
        </w:tc>
      </w:tr>
      <w:tr>
        <w:tc>
          <w:tcPr>
            <w:tcW w:type="dxa" w:w="907"/>
            <w:vAlign w:val="center"/>
          </w:tcPr>
          <w:p>
            <w:r/>
            <w:r>
              <w:rPr>
                <w:sz w:val="19"/>
              </w:rPr>
              <w:t>R-04</w:t>
            </w:r>
          </w:p>
        </w:tc>
        <w:tc>
          <w:tcPr>
            <w:tcW w:type="dxa" w:w="7030"/>
            <w:vAlign w:val="center"/>
          </w:tcPr>
          <w:p>
            <w:r/>
            <w:r>
              <w:rPr>
                <w:sz w:val="19"/>
              </w:rPr>
              <w:t>PM workload is concentrated on the AI-service critical path (24 of the sprint's highest-loaded hours across all roles).</w:t>
            </w:r>
          </w:p>
        </w:tc>
        <w:tc>
          <w:tcPr>
            <w:tcW w:type="dxa" w:w="1417"/>
            <w:vAlign w:val="center"/>
          </w:tcPr>
          <w:p>
            <w:r/>
            <w:r>
              <w:rPr>
                <w:sz w:val="19"/>
              </w:rPr>
              <w:t>Medium</w:t>
            </w:r>
          </w:p>
        </w:tc>
      </w:tr>
      <w:tr>
        <w:tc>
          <w:tcPr>
            <w:tcW w:type="dxa" w:w="907"/>
            <w:vAlign w:val="center"/>
          </w:tcPr>
          <w:p>
            <w:r/>
            <w:r>
              <w:rPr>
                <w:sz w:val="19"/>
              </w:rPr>
              <w:t>R-06</w:t>
            </w:r>
          </w:p>
        </w:tc>
        <w:tc>
          <w:tcPr>
            <w:tcW w:type="dxa" w:w="7030"/>
            <w:vAlign w:val="center"/>
          </w:tcPr>
          <w:p>
            <w:r/>
            <w:r>
              <w:rPr>
                <w:sz w:val="19"/>
              </w:rPr>
              <w:t>Hardware-in-the-loop verification of the Sprint 1 baseline was not independently reproduced by Dev 2 before Sprint 2 began.</w:t>
            </w:r>
          </w:p>
        </w:tc>
        <w:tc>
          <w:tcPr>
            <w:tcW w:type="dxa" w:w="1417"/>
            <w:vAlign w:val="center"/>
          </w:tcPr>
          <w:p>
            <w:r/>
            <w:r>
              <w:rPr>
                <w:sz w:val="19"/>
              </w:rPr>
              <w:t>Low–Medium</w:t>
            </w:r>
          </w:p>
        </w:tc>
      </w:tr>
    </w:tbl>
    <w:p>
      <w:pPr>
        <w:spacing w:after="80"/>
      </w:pPr>
    </w:p>
    <w:p>
      <w:pPr>
        <w:spacing w:before="320" w:after="120"/>
        <w:pBdr>
          <w:bottom w:val="single" w:sz="6" w:space="4" w:color="1B2A4A"/>
        </w:pBdr>
      </w:pPr>
      <w:r>
        <w:rPr>
          <w:b/>
          <w:color w:val="1B2A4A"/>
          <w:sz w:val="30"/>
        </w:rPr>
        <w:t>7. Milestone Schedule</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1134"/>
            <w:shd w:val="clear" w:color="auto" w:fill="1B2A4A"/>
            <w:vAlign w:val="center"/>
          </w:tcPr>
          <w:p>
            <w:r/>
            <w:r>
              <w:rPr>
                <w:b/>
                <w:color w:val="FFFFFF"/>
                <w:sz w:val="18"/>
              </w:rPr>
              <w:t>Week</w:t>
            </w:r>
          </w:p>
        </w:tc>
        <w:tc>
          <w:tcPr>
            <w:tcW w:type="dxa" w:w="1701"/>
            <w:shd w:val="clear" w:color="auto" w:fill="1B2A4A"/>
            <w:vAlign w:val="center"/>
          </w:tcPr>
          <w:p>
            <w:r/>
            <w:r>
              <w:rPr>
                <w:b/>
                <w:color w:val="FFFFFF"/>
                <w:sz w:val="18"/>
              </w:rPr>
              <w:t>Ends</w:t>
            </w:r>
          </w:p>
        </w:tc>
        <w:tc>
          <w:tcPr>
            <w:tcW w:type="dxa" w:w="6520"/>
            <w:shd w:val="clear" w:color="auto" w:fill="1B2A4A"/>
            <w:vAlign w:val="center"/>
          </w:tcPr>
          <w:p>
            <w:r/>
            <w:r>
              <w:rPr>
                <w:b/>
                <w:color w:val="FFFFFF"/>
                <w:sz w:val="18"/>
              </w:rPr>
              <w:t>Key milestones</w:t>
            </w:r>
          </w:p>
        </w:tc>
      </w:tr>
      <w:tr>
        <w:tc>
          <w:tcPr>
            <w:tcW w:type="dxa" w:w="1134"/>
            <w:vAlign w:val="center"/>
          </w:tcPr>
          <w:p>
            <w:r/>
            <w:r>
              <w:rPr>
                <w:sz w:val="18"/>
              </w:rPr>
              <w:t>Week 1</w:t>
            </w:r>
          </w:p>
        </w:tc>
        <w:tc>
          <w:tcPr>
            <w:tcW w:type="dxa" w:w="1701"/>
            <w:vAlign w:val="center"/>
          </w:tcPr>
          <w:p>
            <w:r/>
            <w:r>
              <w:rPr>
                <w:sz w:val="18"/>
              </w:rPr>
              <w:t>18 September 2026</w:t>
            </w:r>
          </w:p>
        </w:tc>
        <w:tc>
          <w:tcPr>
            <w:tcW w:type="dxa" w:w="6520"/>
            <w:vAlign w:val="center"/>
          </w:tcPr>
          <w:p>
            <w:r/>
            <w:r>
              <w:rPr>
                <w:sz w:val="18"/>
              </w:rPr>
              <w:t>Sprint 1 carry-over closed and Sprint 2 goal locked; Ollama and local-STT benchmarking; knowledge corpus and evaluation set curated; Unity interfaces/DTOs/feature flags defined; localhost AI service scaffolded; Week 2 feature requirements drafted; body-language/gesture map designed; test plan drafted.</w:t>
            </w:r>
          </w:p>
        </w:tc>
      </w:tr>
      <w:tr>
        <w:tc>
          <w:tcPr>
            <w:tcW w:type="dxa" w:w="1134"/>
            <w:vAlign w:val="center"/>
          </w:tcPr>
          <w:p>
            <w:r/>
            <w:r>
              <w:rPr>
                <w:sz w:val="18"/>
              </w:rPr>
              <w:t>Week 2</w:t>
            </w:r>
          </w:p>
        </w:tc>
        <w:tc>
          <w:tcPr>
            <w:tcW w:type="dxa" w:w="1701"/>
            <w:vAlign w:val="center"/>
          </w:tcPr>
          <w:p>
            <w:r/>
            <w:r>
              <w:rPr>
                <w:sz w:val="18"/>
              </w:rPr>
              <w:t>25 September 2026</w:t>
            </w:r>
          </w:p>
        </w:tc>
        <w:tc>
          <w:tcPr>
            <w:tcW w:type="dxa" w:w="6520"/>
            <w:vAlign w:val="center"/>
          </w:tcPr>
          <w:p>
            <w:r/>
            <w:r>
              <w:rPr>
                <w:sz w:val="18"/>
              </w:rPr>
              <w:t>STT adapter and Ollama orchestration implemented; RAG ingestion/retrieval/citations implemented; pinch-to-talk capture, UnityWebRequest client and AudioClip playback/turn control built in Unity; backend contract/security/recovery testing; Windows build reproduced on the physical VX setup; mid-sprint grounded-answer evaluation run; licensed body clips and prompts/captions prepared; Week 3 feature requirements drafted.</w:t>
            </w:r>
          </w:p>
        </w:tc>
      </w:tr>
      <w:tr>
        <w:tc>
          <w:tcPr>
            <w:tcW w:type="dxa" w:w="1134"/>
            <w:vAlign w:val="center"/>
          </w:tcPr>
          <w:p>
            <w:r/>
            <w:r>
              <w:rPr>
                <w:sz w:val="18"/>
              </w:rPr>
              <w:t>Week 3</w:t>
            </w:r>
          </w:p>
        </w:tc>
        <w:tc>
          <w:tcPr>
            <w:tcW w:type="dxa" w:w="1701"/>
            <w:vAlign w:val="center"/>
          </w:tcPr>
          <w:p>
            <w:r/>
            <w:r>
              <w:rPr>
                <w:sz w:val="18"/>
              </w:rPr>
              <w:t>2 October 2026</w:t>
            </w:r>
          </w:p>
        </w:tc>
        <w:tc>
          <w:tcPr>
            <w:tcW w:type="dxa" w:w="6520"/>
            <w:vAlign w:val="center"/>
          </w:tcPr>
          <w:p>
            <w:r/>
            <w:r>
              <w:rPr>
                <w:sz w:val="18"/>
              </w:rPr>
              <w:t>Azure TTS/facial-animation integration; layered body-animation controller; Azure blend-shape driver; uLipSync fallback wired; AI service packaged; end-to-end latency tuned; demo flow and camera-pan script prepared; Looking Glass calibration/parallax verified; facial/body/caption/turn-taking experience tuned; end-to-end tests and clean-restart/recovery rehearsal run; client checkpoint held and decisions recorded; final UAT and residual backlog closed out (Sprint 2 goal date).</w:t>
            </w:r>
          </w:p>
        </w:tc>
      </w:tr>
    </w:tbl>
    <w:p>
      <w:pPr>
        <w:spacing w:after="80"/>
      </w:pPr>
    </w:p>
    <w:p>
      <w:pPr>
        <w:spacing w:before="320" w:after="120"/>
        <w:pBdr>
          <w:bottom w:val="single" w:sz="6" w:space="4" w:color="1B2A4A"/>
        </w:pBdr>
      </w:pPr>
      <w:r>
        <w:rPr>
          <w:b/>
          <w:color w:val="1B2A4A"/>
          <w:sz w:val="30"/>
        </w:rPr>
        <w:t>8. Decision Log</w:t>
      </w:r>
    </w:p>
    <w:p>
      <w:pPr>
        <w:spacing w:after="120"/>
      </w:pPr>
      <w:r>
        <w:rPr>
          <w:b w:val="0"/>
          <w:i w:val="0"/>
          <w:sz w:val="21"/>
        </w:rPr>
        <w:t>Condensed for the Charter; the full evidenced log is Team11-Sprint2-Governance-Pack.docx, Section 3.</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907"/>
            <w:shd w:val="clear" w:color="auto" w:fill="1B2A4A"/>
            <w:vAlign w:val="center"/>
          </w:tcPr>
          <w:p>
            <w:r/>
            <w:r>
              <w:rPr>
                <w:b/>
                <w:color w:val="FFFFFF"/>
                <w:sz w:val="19"/>
              </w:rPr>
              <w:t>ID</w:t>
            </w:r>
          </w:p>
        </w:tc>
        <w:tc>
          <w:tcPr>
            <w:tcW w:type="dxa" w:w="1361"/>
            <w:shd w:val="clear" w:color="auto" w:fill="1B2A4A"/>
            <w:vAlign w:val="center"/>
          </w:tcPr>
          <w:p>
            <w:r/>
            <w:r>
              <w:rPr>
                <w:b/>
                <w:color w:val="FFFFFF"/>
                <w:sz w:val="19"/>
              </w:rPr>
              <w:t>Date</w:t>
            </w:r>
          </w:p>
        </w:tc>
        <w:tc>
          <w:tcPr>
            <w:tcW w:type="dxa" w:w="7087"/>
            <w:shd w:val="clear" w:color="auto" w:fill="1B2A4A"/>
            <w:vAlign w:val="center"/>
          </w:tcPr>
          <w:p>
            <w:r/>
            <w:r>
              <w:rPr>
                <w:b/>
                <w:color w:val="FFFFFF"/>
                <w:sz w:val="19"/>
              </w:rPr>
              <w:t>Decision</w:t>
            </w:r>
          </w:p>
        </w:tc>
      </w:tr>
      <w:tr>
        <w:tc>
          <w:tcPr>
            <w:tcW w:type="dxa" w:w="907"/>
            <w:vAlign w:val="center"/>
          </w:tcPr>
          <w:p>
            <w:r/>
            <w:r>
              <w:rPr>
                <w:sz w:val="19"/>
              </w:rPr>
              <w:t>DEC-00</w:t>
            </w:r>
          </w:p>
        </w:tc>
        <w:tc>
          <w:tcPr>
            <w:tcW w:type="dxa" w:w="1361"/>
            <w:vAlign w:val="center"/>
          </w:tcPr>
          <w:p>
            <w:r/>
            <w:r>
              <w:rPr>
                <w:sz w:val="19"/>
              </w:rPr>
              <w:t>Week 1</w:t>
            </w:r>
          </w:p>
        </w:tc>
        <w:tc>
          <w:tcPr>
            <w:tcW w:type="dxa" w:w="7087"/>
            <w:vAlign w:val="center"/>
          </w:tcPr>
          <w:p>
            <w:r/>
            <w:r>
              <w:rPr>
                <w:sz w:val="19"/>
              </w:rPr>
              <w:t>Technical direction pivoted from the Nova device to the Looking Glass (Unity, Looking Glass Bridge, Ultraleap; haptics optional).</w:t>
            </w:r>
          </w:p>
        </w:tc>
      </w:tr>
      <w:tr>
        <w:tc>
          <w:tcPr>
            <w:tcW w:type="dxa" w:w="907"/>
            <w:vAlign w:val="center"/>
          </w:tcPr>
          <w:p>
            <w:r/>
            <w:r>
              <w:rPr>
                <w:sz w:val="19"/>
              </w:rPr>
              <w:t>DEC-01</w:t>
            </w:r>
          </w:p>
        </w:tc>
        <w:tc>
          <w:tcPr>
            <w:tcW w:type="dxa" w:w="1361"/>
            <w:vAlign w:val="center"/>
          </w:tcPr>
          <w:p>
            <w:r/>
            <w:r>
              <w:rPr>
                <w:sz w:val="19"/>
              </w:rPr>
              <w:t>29 Aug 2026</w:t>
            </w:r>
          </w:p>
        </w:tc>
        <w:tc>
          <w:tcPr>
            <w:tcW w:type="dxa" w:w="7087"/>
            <w:vAlign w:val="center"/>
          </w:tcPr>
          <w:p>
            <w:r/>
            <w:r>
              <w:rPr>
                <w:sz w:val="19"/>
              </w:rPr>
              <w:t>Team shortlist narrowed to three candidate concepts (not a client decision).</w:t>
            </w:r>
          </w:p>
        </w:tc>
      </w:tr>
      <w:tr>
        <w:tc>
          <w:tcPr>
            <w:tcW w:type="dxa" w:w="907"/>
            <w:vAlign w:val="center"/>
          </w:tcPr>
          <w:p>
            <w:r/>
            <w:r>
              <w:rPr>
                <w:sz w:val="19"/>
              </w:rPr>
              <w:t>DEC-02</w:t>
            </w:r>
          </w:p>
        </w:tc>
        <w:tc>
          <w:tcPr>
            <w:tcW w:type="dxa" w:w="1361"/>
            <w:vAlign w:val="center"/>
          </w:tcPr>
          <w:p>
            <w:r/>
            <w:r>
              <w:rPr>
                <w:sz w:val="19"/>
              </w:rPr>
              <w:t>11 Sept 2026</w:t>
            </w:r>
          </w:p>
        </w:tc>
        <w:tc>
          <w:tcPr>
            <w:tcW w:type="dxa" w:w="7087"/>
            <w:vAlign w:val="center"/>
          </w:tcPr>
          <w:p>
            <w:r/>
            <w:r>
              <w:rPr>
                <w:sz w:val="19"/>
              </w:rPr>
              <w:t>Client removed Use Case 1; retained Use Cases 2 and 3; final choice deferred to a further client meeting.</w:t>
            </w:r>
          </w:p>
        </w:tc>
      </w:tr>
      <w:tr>
        <w:tc>
          <w:tcPr>
            <w:tcW w:type="dxa" w:w="907"/>
            <w:vAlign w:val="center"/>
          </w:tcPr>
          <w:p>
            <w:r/>
            <w:r>
              <w:rPr>
                <w:sz w:val="19"/>
              </w:rPr>
              <w:t>DEC-03</w:t>
            </w:r>
          </w:p>
        </w:tc>
        <w:tc>
          <w:tcPr>
            <w:tcW w:type="dxa" w:w="1361"/>
            <w:vAlign w:val="center"/>
          </w:tcPr>
          <w:p>
            <w:r/>
            <w:r>
              <w:rPr>
                <w:sz w:val="19"/>
              </w:rPr>
              <w:t>11 Sept 2026</w:t>
            </w:r>
          </w:p>
        </w:tc>
        <w:tc>
          <w:tcPr>
            <w:tcW w:type="dxa" w:w="7087"/>
            <w:vAlign w:val="center"/>
          </w:tcPr>
          <w:p>
            <w:r/>
            <w:r>
              <w:rPr>
                <w:sz w:val="19"/>
              </w:rPr>
              <w:t>Client technical and presentation guidance for Sprint 2 (local Ollama, installable software, named project account, Looking Glass camera verification, lateral camera panning, RAG/agent retrieval, body-language/pointing).</w:t>
            </w:r>
          </w:p>
        </w:tc>
      </w:tr>
    </w:tbl>
    <w:p>
      <w:pPr>
        <w:spacing w:after="80"/>
      </w:pPr>
    </w:p>
    <w:p>
      <w:pPr>
        <w:spacing w:before="320" w:after="120"/>
        <w:pBdr>
          <w:bottom w:val="single" w:sz="6" w:space="4" w:color="1B2A4A"/>
        </w:pBdr>
      </w:pPr>
      <w:r>
        <w:rPr>
          <w:b/>
          <w:color w:val="1B2A4A"/>
          <w:sz w:val="30"/>
        </w:rPr>
        <w:t>9. Roles and Decision Authority</w:t>
      </w:r>
    </w:p>
    <w:p>
      <w:pPr>
        <w:spacing w:after="120"/>
      </w:pPr>
      <w:r>
        <w:rPr>
          <w:b w:val="0"/>
          <w:i w:val="0"/>
          <w:sz w:val="21"/>
        </w:rPr>
        <w:t>Full Sprint 2 accountabilities per owner are set out in Team11-Sprint2-Governance-Pack.docx, Section 7 and are not repeated here. This section records only the roles and where decision authority sits.</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3402"/>
            <w:shd w:val="clear" w:color="auto" w:fill="1B2A4A"/>
            <w:vAlign w:val="center"/>
          </w:tcPr>
          <w:p>
            <w:r/>
            <w:r>
              <w:rPr>
                <w:b/>
                <w:color w:val="FFFFFF"/>
                <w:sz w:val="19"/>
              </w:rPr>
              <w:t>Owner</w:t>
            </w:r>
          </w:p>
        </w:tc>
        <w:tc>
          <w:tcPr>
            <w:tcW w:type="dxa" w:w="6236"/>
            <w:shd w:val="clear" w:color="auto" w:fill="1B2A4A"/>
            <w:vAlign w:val="center"/>
          </w:tcPr>
          <w:p>
            <w:r/>
            <w:r>
              <w:rPr>
                <w:b/>
                <w:color w:val="FFFFFF"/>
                <w:sz w:val="19"/>
              </w:rPr>
              <w:t>Role</w:t>
            </w:r>
          </w:p>
        </w:tc>
      </w:tr>
      <w:tr>
        <w:tc>
          <w:tcPr>
            <w:tcW w:type="dxa" w:w="3402"/>
            <w:vAlign w:val="center"/>
          </w:tcPr>
          <w:p>
            <w:r/>
            <w:r>
              <w:rPr>
                <w:sz w:val="19"/>
              </w:rPr>
              <w:t>Ali Sina Sharifi</w:t>
            </w:r>
          </w:p>
        </w:tc>
        <w:tc>
          <w:tcPr>
            <w:tcW w:type="dxa" w:w="6236"/>
            <w:vAlign w:val="center"/>
          </w:tcPr>
          <w:p>
            <w:r/>
            <w:r>
              <w:rPr>
                <w:sz w:val="19"/>
              </w:rPr>
              <w:t>PM and AI developer</w:t>
            </w:r>
          </w:p>
        </w:tc>
      </w:tr>
      <w:tr>
        <w:tc>
          <w:tcPr>
            <w:tcW w:type="dxa" w:w="3402"/>
            <w:vAlign w:val="center"/>
          </w:tcPr>
          <w:p>
            <w:r/>
            <w:r>
              <w:rPr>
                <w:sz w:val="19"/>
              </w:rPr>
              <w:t>Anuji Peiris</w:t>
            </w:r>
          </w:p>
        </w:tc>
        <w:tc>
          <w:tcPr>
            <w:tcW w:type="dxa" w:w="6236"/>
            <w:vAlign w:val="center"/>
          </w:tcPr>
          <w:p>
            <w:r/>
            <w:r>
              <w:rPr>
                <w:sz w:val="19"/>
              </w:rPr>
              <w:t>Business Analyst</w:t>
            </w:r>
          </w:p>
        </w:tc>
      </w:tr>
      <w:tr>
        <w:tc>
          <w:tcPr>
            <w:tcW w:type="dxa" w:w="3402"/>
            <w:vAlign w:val="center"/>
          </w:tcPr>
          <w:p>
            <w:r/>
            <w:r>
              <w:rPr>
                <w:sz w:val="19"/>
              </w:rPr>
              <w:t>Hiba Ansari</w:t>
            </w:r>
          </w:p>
        </w:tc>
        <w:tc>
          <w:tcPr>
            <w:tcW w:type="dxa" w:w="6236"/>
            <w:vAlign w:val="center"/>
          </w:tcPr>
          <w:p>
            <w:r/>
            <w:r>
              <w:rPr>
                <w:sz w:val="19"/>
              </w:rPr>
              <w:t>UX Designer</w:t>
            </w:r>
          </w:p>
        </w:tc>
      </w:tr>
      <w:tr>
        <w:tc>
          <w:tcPr>
            <w:tcW w:type="dxa" w:w="3402"/>
            <w:vAlign w:val="center"/>
          </w:tcPr>
          <w:p>
            <w:r/>
            <w:r>
              <w:rPr>
                <w:sz w:val="19"/>
              </w:rPr>
              <w:t>Lilandavaradan Arunkumar</w:t>
            </w:r>
          </w:p>
        </w:tc>
        <w:tc>
          <w:tcPr>
            <w:tcW w:type="dxa" w:w="6236"/>
            <w:vAlign w:val="center"/>
          </w:tcPr>
          <w:p>
            <w:r/>
            <w:r>
              <w:rPr>
                <w:sz w:val="19"/>
              </w:rPr>
              <w:t>Unity Developer (Dev 1)</w:t>
            </w:r>
          </w:p>
        </w:tc>
      </w:tr>
      <w:tr>
        <w:tc>
          <w:tcPr>
            <w:tcW w:type="dxa" w:w="3402"/>
            <w:vAlign w:val="center"/>
          </w:tcPr>
          <w:p>
            <w:r/>
            <w:r>
              <w:rPr>
                <w:sz w:val="19"/>
              </w:rPr>
              <w:t>Dinesh Premanath</w:t>
            </w:r>
          </w:p>
        </w:tc>
        <w:tc>
          <w:tcPr>
            <w:tcW w:type="dxa" w:w="6236"/>
            <w:vAlign w:val="center"/>
          </w:tcPr>
          <w:p>
            <w:r/>
            <w:r>
              <w:rPr>
                <w:sz w:val="19"/>
              </w:rPr>
              <w:t>Developer 2 and Tester</w:t>
            </w:r>
          </w:p>
        </w:tc>
      </w:tr>
    </w:tbl>
    <w:p>
      <w:pPr>
        <w:spacing w:after="80"/>
      </w:pPr>
    </w:p>
    <w:p>
      <w:pPr>
        <w:spacing w:before="160" w:after="60"/>
      </w:pPr>
      <w:r>
        <w:rPr>
          <w:b/>
          <w:color w:val="1B2A4A"/>
          <w:sz w:val="22"/>
        </w:rPr>
        <w:t>Decision authority</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4819"/>
            <w:shd w:val="clear" w:color="auto" w:fill="1B2A4A"/>
            <w:vAlign w:val="center"/>
          </w:tcPr>
          <w:p>
            <w:r/>
            <w:r>
              <w:rPr>
                <w:b/>
                <w:color w:val="FFFFFF"/>
                <w:sz w:val="19"/>
              </w:rPr>
              <w:t>Decision type</w:t>
            </w:r>
          </w:p>
        </w:tc>
        <w:tc>
          <w:tcPr>
            <w:tcW w:type="dxa" w:w="4535"/>
            <w:shd w:val="clear" w:color="auto" w:fill="1B2A4A"/>
            <w:vAlign w:val="center"/>
          </w:tcPr>
          <w:p>
            <w:r/>
            <w:r>
              <w:rPr>
                <w:b/>
                <w:color w:val="FFFFFF"/>
                <w:sz w:val="19"/>
              </w:rPr>
              <w:t>Authority</w:t>
            </w:r>
          </w:p>
        </w:tc>
      </w:tr>
      <w:tr>
        <w:tc>
          <w:tcPr>
            <w:tcW w:type="dxa" w:w="4819"/>
            <w:vAlign w:val="center"/>
          </w:tcPr>
          <w:p>
            <w:r/>
            <w:r>
              <w:rPr>
                <w:sz w:val="19"/>
              </w:rPr>
              <w:t>Final use-case selection (Product Demonstrator vs Employee Training Coach)</w:t>
            </w:r>
          </w:p>
        </w:tc>
        <w:tc>
          <w:tcPr>
            <w:tcW w:type="dxa" w:w="4535"/>
            <w:vAlign w:val="center"/>
          </w:tcPr>
          <w:p>
            <w:r/>
            <w:r>
              <w:rPr>
                <w:sz w:val="19"/>
              </w:rPr>
              <w:t>Ian (client)</w:t>
            </w:r>
          </w:p>
        </w:tc>
      </w:tr>
      <w:tr>
        <w:tc>
          <w:tcPr>
            <w:tcW w:type="dxa" w:w="4819"/>
            <w:vAlign w:val="center"/>
          </w:tcPr>
          <w:p>
            <w:r/>
            <w:r>
              <w:rPr>
                <w:sz w:val="19"/>
              </w:rPr>
              <w:t>Sprint 2 goal, scope, owner map and internal task sequencing</w:t>
            </w:r>
          </w:p>
        </w:tc>
        <w:tc>
          <w:tcPr>
            <w:tcW w:type="dxa" w:w="4535"/>
            <w:vAlign w:val="center"/>
          </w:tcPr>
          <w:p>
            <w:r/>
            <w:r>
              <w:rPr>
                <w:sz w:val="19"/>
              </w:rPr>
              <w:t>Ali Sina Sharifi (PM), with team review</w:t>
            </w:r>
          </w:p>
        </w:tc>
      </w:tr>
      <w:tr>
        <w:tc>
          <w:tcPr>
            <w:tcW w:type="dxa" w:w="4819"/>
            <w:vAlign w:val="center"/>
          </w:tcPr>
          <w:p>
            <w:r/>
            <w:r>
              <w:rPr>
                <w:sz w:val="19"/>
              </w:rPr>
              <w:t>Technical architecture within the approved Sprint 2 stack</w:t>
            </w:r>
          </w:p>
        </w:tc>
        <w:tc>
          <w:tcPr>
            <w:tcW w:type="dxa" w:w="4535"/>
            <w:vAlign w:val="center"/>
          </w:tcPr>
          <w:p>
            <w:r/>
            <w:r>
              <w:rPr>
                <w:sz w:val="19"/>
              </w:rPr>
              <w:t>Ali Sina Sharifi (PM/AI developer) and Lilandavaradan Arunkumar (Unity Developer)</w:t>
            </w:r>
          </w:p>
        </w:tc>
      </w:tr>
      <w:tr>
        <w:tc>
          <w:tcPr>
            <w:tcW w:type="dxa" w:w="4819"/>
            <w:vAlign w:val="center"/>
          </w:tcPr>
          <w:p>
            <w:r/>
            <w:r>
              <w:rPr>
                <w:sz w:val="19"/>
              </w:rPr>
              <w:t>Acceptance-criteria approval for active Sprint 2 cards</w:t>
            </w:r>
          </w:p>
        </w:tc>
        <w:tc>
          <w:tcPr>
            <w:tcW w:type="dxa" w:w="4535"/>
            <w:vAlign w:val="center"/>
          </w:tcPr>
          <w:p>
            <w:r/>
            <w:r>
              <w:rPr>
                <w:sz w:val="19"/>
              </w:rPr>
              <w:t>Anuji Peiris (BA), per Planner card “Review and approve all Sprint 2 acceptance criteria”</w:t>
            </w:r>
          </w:p>
        </w:tc>
      </w:tr>
    </w:tbl>
    <w:p>
      <w:pPr>
        <w:spacing w:after="80"/>
      </w:pPr>
    </w:p>
    <w:p>
      <w:pPr>
        <w:spacing w:before="160" w:after="60"/>
      </w:pPr>
      <w:r>
        <w:rPr>
          <w:b/>
          <w:color w:val="1B2A4A"/>
          <w:sz w:val="22"/>
        </w:rPr>
        <w:t>Role-clarification note — Ian</w:t>
      </w:r>
    </w:p>
    <w:p>
      <w:pPr>
        <w:spacing w:after="120"/>
      </w:pPr>
      <w:r>
        <w:rPr>
          <w:b w:val="0"/>
          <w:i w:val="0"/>
          <w:sz w:val="21"/>
        </w:rPr>
        <w:t>Sprint 2 Planner records (the concept-direction decision card and the demo-handover card) refer to Ian in the role of client for the purpose of the 11 September 2026 decision — he is recorded making the Use Case 1 removal decision and giving Sprint 2 technical/presentation guidance in that capacity. This charter records that self-identification as instructed. It is flagged rather than silently written into the stakeholder register as an unqualified fact: prior project records available to this team (outside the three files supplied for this update) describe Ian Peake as the RMIT VXLab supervisor, distinct from the Telstra client-side contact, and name Nikhita Paul as the Telstra client contact who had stopped responding to the team's emails as of the last available record. The two roles are not necessarily in conflict — VXLab supervision and acting as the team's effective client point of contact can coexist — but the register below keeps both entries visible rather than overwriting one with the other.</w:t>
      </w:r>
    </w:p>
    <w:p>
      <w:pPr>
        <w:spacing w:after="120"/>
      </w:pPr>
      <w:r>
        <w:rPr>
          <w:b/>
          <w:i/>
          <w:color w:val="C8102E"/>
          <w:sz w:val="21"/>
        </w:rPr>
        <w:t>[PM INPUT REQUIRED: confirm whether Ian Peake and the “client” referred to in the 11 September decision are the same person in the same capacity, and whether Nikhita Paul remains the Telstra-side client contact of record]</w:t>
      </w:r>
    </w:p>
    <w:p>
      <w:pPr>
        <w:spacing w:before="320" w:after="120"/>
        <w:pBdr>
          <w:bottom w:val="single" w:sz="6" w:space="4" w:color="1B2A4A"/>
        </w:pBdr>
      </w:pPr>
      <w:r>
        <w:rPr>
          <w:b/>
          <w:color w:val="1B2A4A"/>
          <w:sz w:val="30"/>
        </w:rPr>
        <w:t>10. Stakeholder Register</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3324"/>
        <w:gridCol w:w="3324"/>
        <w:gridCol w:w="3324"/>
      </w:tblGrid>
      <w:tr>
        <w:trPr>
          <w:tblHeader w:val="true"/>
        </w:trPr>
        <w:tc>
          <w:tcPr>
            <w:tcW w:type="dxa" w:w="3685"/>
            <w:shd w:val="clear" w:color="auto" w:fill="1B2A4A"/>
            <w:vAlign w:val="center"/>
          </w:tcPr>
          <w:p>
            <w:r/>
            <w:r>
              <w:rPr>
                <w:b/>
                <w:color w:val="FFFFFF"/>
                <w:sz w:val="18"/>
              </w:rPr>
              <w:t>Stakeholder</w:t>
            </w:r>
          </w:p>
        </w:tc>
        <w:tc>
          <w:tcPr>
            <w:tcW w:type="dxa" w:w="3685"/>
            <w:shd w:val="clear" w:color="auto" w:fill="1B2A4A"/>
            <w:vAlign w:val="center"/>
          </w:tcPr>
          <w:p>
            <w:r/>
            <w:r>
              <w:rPr>
                <w:b/>
                <w:color w:val="FFFFFF"/>
                <w:sz w:val="18"/>
              </w:rPr>
              <w:t>Recorded role</w:t>
            </w:r>
          </w:p>
        </w:tc>
        <w:tc>
          <w:tcPr>
            <w:tcW w:type="dxa" w:w="2268"/>
            <w:shd w:val="clear" w:color="auto" w:fill="1B2A4A"/>
            <w:vAlign w:val="center"/>
          </w:tcPr>
          <w:p>
            <w:r/>
            <w:r>
              <w:rPr>
                <w:b/>
                <w:color w:val="FFFFFF"/>
                <w:sz w:val="18"/>
              </w:rPr>
              <w:t>Status</w:t>
            </w:r>
          </w:p>
        </w:tc>
      </w:tr>
      <w:tr>
        <w:tc>
          <w:tcPr>
            <w:tcW w:type="dxa" w:w="3685"/>
            <w:vAlign w:val="center"/>
          </w:tcPr>
          <w:p>
            <w:r/>
            <w:r>
              <w:rPr>
                <w:sz w:val="18"/>
              </w:rPr>
              <w:t>Ian</w:t>
            </w:r>
          </w:p>
        </w:tc>
        <w:tc>
          <w:tcPr>
            <w:tcW w:type="dxa" w:w="3685"/>
            <w:vAlign w:val="center"/>
          </w:tcPr>
          <w:p>
            <w:r/>
            <w:r>
              <w:rPr>
                <w:sz w:val="18"/>
              </w:rPr>
              <w:t>Client — self-identified; decision authority for final use-case selection (see role-clarification note above)</w:t>
            </w:r>
          </w:p>
        </w:tc>
        <w:tc>
          <w:tcPr>
            <w:tcW w:type="dxa" w:w="2268"/>
            <w:vAlign w:val="center"/>
          </w:tcPr>
          <w:p>
            <w:r/>
            <w:r>
              <w:rPr>
                <w:sz w:val="18"/>
              </w:rPr>
              <w:t>Active — met with team 11 Sept 2026</w:t>
            </w:r>
          </w:p>
        </w:tc>
      </w:tr>
      <w:tr>
        <w:tc>
          <w:tcPr>
            <w:tcW w:type="dxa" w:w="3685"/>
            <w:vAlign w:val="center"/>
          </w:tcPr>
          <w:p>
            <w:r/>
            <w:r>
              <w:rPr>
                <w:sz w:val="18"/>
              </w:rPr>
              <w:t>Milindi Kodikara</w:t>
            </w:r>
          </w:p>
        </w:tc>
        <w:tc>
          <w:tcPr>
            <w:tcW w:type="dxa" w:w="3685"/>
            <w:vAlign w:val="center"/>
          </w:tcPr>
          <w:p>
            <w:r/>
            <w:r>
              <w:rPr>
                <w:sz w:val="18"/>
              </w:rPr>
              <w:t>Technical supervisor</w:t>
            </w:r>
          </w:p>
        </w:tc>
        <w:tc>
          <w:tcPr>
            <w:tcW w:type="dxa" w:w="2268"/>
            <w:vAlign w:val="center"/>
          </w:tcPr>
          <w:p>
            <w:r/>
            <w:r>
              <w:rPr>
                <w:sz w:val="18"/>
              </w:rPr>
              <w:t>[PM INPUT REQUIRED: confirm current engagement status for Sprint 2]</w:t>
            </w:r>
          </w:p>
        </w:tc>
      </w:tr>
      <w:tr>
        <w:tc>
          <w:tcPr>
            <w:tcW w:type="dxa" w:w="3685"/>
            <w:vAlign w:val="center"/>
          </w:tcPr>
          <w:p>
            <w:r/>
            <w:r>
              <w:rPr>
                <w:sz w:val="18"/>
              </w:rPr>
              <w:t>Nikhita Paul</w:t>
            </w:r>
          </w:p>
        </w:tc>
        <w:tc>
          <w:tcPr>
            <w:tcW w:type="dxa" w:w="3685"/>
            <w:vAlign w:val="center"/>
          </w:tcPr>
          <w:p>
            <w:r/>
            <w:r>
              <w:rPr>
                <w:sz w:val="18"/>
              </w:rPr>
              <w:t>Previously recorded Telstra client-side contact</w:t>
            </w:r>
          </w:p>
        </w:tc>
        <w:tc>
          <w:tcPr>
            <w:tcW w:type="dxa" w:w="2268"/>
            <w:vAlign w:val="center"/>
          </w:tcPr>
          <w:p>
            <w:r/>
            <w:r>
              <w:rPr>
                <w:sz w:val="18"/>
              </w:rPr>
              <w:t>[PM INPUT REQUIRED: confirm current status — not referenced in the Sprint 2 source material supplied for this update]</w:t>
            </w:r>
          </w:p>
        </w:tc>
      </w:tr>
      <w:tr>
        <w:tc>
          <w:tcPr>
            <w:tcW w:type="dxa" w:w="3685"/>
            <w:vAlign w:val="center"/>
          </w:tcPr>
          <w:p>
            <w:r/>
            <w:r>
              <w:rPr>
                <w:sz w:val="18"/>
              </w:rPr>
              <w:t>Team 11 (Ali Sina Sharifi, Anuji Peiris, Hiba Ansari, Lilandavaradan Arunkumar, Dinesh Premanath)</w:t>
            </w:r>
          </w:p>
        </w:tc>
        <w:tc>
          <w:tcPr>
            <w:tcW w:type="dxa" w:w="3685"/>
            <w:vAlign w:val="center"/>
          </w:tcPr>
          <w:p>
            <w:r/>
            <w:r>
              <w:rPr>
                <w:sz w:val="18"/>
              </w:rPr>
              <w:t>Delivery team</w:t>
            </w:r>
          </w:p>
        </w:tc>
        <w:tc>
          <w:tcPr>
            <w:tcW w:type="dxa" w:w="2268"/>
            <w:vAlign w:val="center"/>
          </w:tcPr>
          <w:p>
            <w:r/>
            <w:r>
              <w:rPr>
                <w:sz w:val="18"/>
              </w:rPr>
              <w:t>Active</w:t>
            </w:r>
          </w:p>
        </w:tc>
      </w:tr>
    </w:tbl>
    <w:p>
      <w:pPr>
        <w:spacing w:after="80"/>
      </w:pPr>
    </w:p>
    <w:p>
      <w:pPr>
        <w:spacing w:before="320" w:after="120"/>
        <w:pBdr>
          <w:bottom w:val="single" w:sz="6" w:space="4" w:color="1B2A4A"/>
        </w:pBdr>
      </w:pPr>
      <w:r>
        <w:rPr>
          <w:b/>
          <w:color w:val="1B2A4A"/>
          <w:sz w:val="30"/>
        </w:rPr>
        <w:t>11. Approval Status</w:t>
      </w:r>
    </w:p>
    <w:tbl>
      <w:tblPr>
        <w:tblStyle w:val="TableGrid"/>
        <w:tblW w:type="auto" w:w="0"/>
        <w:jc w:val="center"/>
        <w:tblLook w:firstColumn="1" w:firstRow="1" w:lastColumn="0" w:lastRow="0" w:noHBand="0" w:noVBand="1" w:val="04A0"/>
        <w:tblCellMar>
          <w:top w:w="60" w:type="dxa"/>
          <w:bottom w:w="60" w:type="dxa"/>
          <w:start w:w="90" w:type="dxa"/>
          <w:end w:w="90" w:type="dxa"/>
        </w:tblCellMar>
      </w:tblPr>
      <w:tblGrid>
        <w:gridCol w:w="4986"/>
        <w:gridCol w:w="4986"/>
      </w:tblGrid>
      <w:tr>
        <w:trPr>
          <w:tblHeader w:val="true"/>
        </w:trPr>
        <w:tc>
          <w:tcPr>
            <w:tcW w:type="dxa" w:w="3402"/>
            <w:shd w:val="clear" w:color="auto" w:fill="1B2A4A"/>
            <w:vAlign w:val="center"/>
          </w:tcPr>
          <w:p>
            <w:r/>
            <w:r>
              <w:rPr>
                <w:b/>
                <w:color w:val="FFFFFF"/>
                <w:sz w:val="19"/>
              </w:rPr>
              <w:t>Item</w:t>
            </w:r>
          </w:p>
        </w:tc>
        <w:tc>
          <w:tcPr>
            <w:tcW w:type="dxa" w:w="6236"/>
            <w:shd w:val="clear" w:color="auto" w:fill="1B2A4A"/>
            <w:vAlign w:val="center"/>
          </w:tcPr>
          <w:p>
            <w:r/>
            <w:r>
              <w:rPr>
                <w:b/>
                <w:color w:val="FFFFFF"/>
                <w:sz w:val="19"/>
              </w:rPr>
              <w:t>Status</w:t>
            </w:r>
          </w:p>
        </w:tc>
      </w:tr>
      <w:tr>
        <w:tc>
          <w:tcPr>
            <w:tcW w:type="dxa" w:w="3402"/>
            <w:vAlign w:val="center"/>
          </w:tcPr>
          <w:p>
            <w:r/>
            <w:r>
              <w:rPr>
                <w:sz w:val="19"/>
              </w:rPr>
              <w:t>Charter v1.1 content</w:t>
            </w:r>
          </w:p>
        </w:tc>
        <w:tc>
          <w:tcPr>
            <w:tcW w:type="dxa" w:w="6236"/>
            <w:vAlign w:val="center"/>
          </w:tcPr>
          <w:p>
            <w:r/>
            <w:r>
              <w:rPr>
                <w:sz w:val="19"/>
              </w:rPr>
              <w:t>PM draft — not yet reviewed by the team</w:t>
            </w:r>
          </w:p>
        </w:tc>
      </w:tr>
      <w:tr>
        <w:tc>
          <w:tcPr>
            <w:tcW w:type="dxa" w:w="3402"/>
            <w:vAlign w:val="center"/>
          </w:tcPr>
          <w:p>
            <w:r/>
            <w:r>
              <w:rPr>
                <w:sz w:val="19"/>
              </w:rPr>
              <w:t>Sprint 2 goal, scope and owner map</w:t>
            </w:r>
          </w:p>
        </w:tc>
        <w:tc>
          <w:tcPr>
            <w:tcW w:type="dxa" w:w="6236"/>
            <w:vAlign w:val="center"/>
          </w:tcPr>
          <w:p>
            <w:r/>
            <w:r>
              <w:rPr>
                <w:sz w:val="19"/>
              </w:rPr>
              <w:t>Drafted; team review tracked on “Review and approve all Sprint 2 acceptance criteria” (due 14 Sept 2026)</w:t>
            </w:r>
          </w:p>
        </w:tc>
      </w:tr>
      <w:tr>
        <w:tc>
          <w:tcPr>
            <w:tcW w:type="dxa" w:w="3402"/>
            <w:vAlign w:val="center"/>
          </w:tcPr>
          <w:p>
            <w:r/>
            <w:r>
              <w:rPr>
                <w:sz w:val="19"/>
              </w:rPr>
              <w:t>Final use-case selection (CO-01)</w:t>
            </w:r>
          </w:p>
        </w:tc>
        <w:tc>
          <w:tcPr>
            <w:tcW w:type="dxa" w:w="6236"/>
            <w:vAlign w:val="center"/>
          </w:tcPr>
          <w:p>
            <w:r/>
            <w:r>
              <w:rPr>
                <w:sz w:val="19"/>
              </w:rPr>
              <w:t>Not approved — open, awaiting client decision</w:t>
            </w:r>
          </w:p>
        </w:tc>
      </w:tr>
      <w:tr>
        <w:tc>
          <w:tcPr>
            <w:tcW w:type="dxa" w:w="3402"/>
            <w:vAlign w:val="center"/>
          </w:tcPr>
          <w:p>
            <w:r/>
            <w:r>
              <w:rPr>
                <w:sz w:val="19"/>
              </w:rPr>
              <w:t>Signature</w:t>
            </w:r>
          </w:p>
        </w:tc>
        <w:tc>
          <w:tcPr>
            <w:tcW w:type="dxa" w:w="6236"/>
            <w:vAlign w:val="center"/>
          </w:tcPr>
          <w:p>
            <w:r/>
            <w:r>
              <w:rPr>
                <w:sz w:val="19"/>
              </w:rPr>
              <w:t>None inserted. No revision has been backdated.</w:t>
            </w:r>
          </w:p>
        </w:tc>
      </w:tr>
    </w:tbl>
    <w:p>
      <w:pPr>
        <w:spacing w:after="8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777"/>
        <w:sz w:val="16"/>
      </w:rPr>
      <w:t>Team 11 — AI Hologram and Digital Presence  |  Project Charter v1.1 (Sprint 2 update)  |  13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