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C8102E"/>
          <w:sz w:val="20"/>
        </w:rPr>
        <w:t>RMIT UNIVERSITY</w:t>
      </w:r>
    </w:p>
    <w:p>
      <w:pPr>
        <w:spacing w:after="40"/>
        <w:pBdr>
          <w:bottom w:val="single" w:sz="16" w:space="6" w:color="1B2A4A"/>
        </w:pBdr>
      </w:pPr>
      <w:r>
        <w:rPr>
          <w:b/>
          <w:color w:val="1B2A4A"/>
          <w:sz w:val="44"/>
        </w:rPr>
        <w:t>Team 11 — Sprint 2 Governance Pack</w:t>
      </w:r>
    </w:p>
    <w:p>
      <w:pPr>
        <w:spacing w:after="200"/>
      </w:pPr>
      <w:r>
        <w:rPr>
          <w:i/>
          <w:color w:val="333333"/>
          <w:sz w:val="22"/>
        </w:rPr>
        <w:t>Telstra AI Hologram and Digital Presence  |  Sprint 2, Week 1</w:t>
      </w:r>
    </w:p>
    <w:p>
      <w:pPr>
        <w:spacing w:before="320" w:after="120"/>
        <w:pBdr>
          <w:bottom w:val="single" w:sz="6" w:space="4" w:color="1B2A4A"/>
        </w:pBdr>
      </w:pPr>
      <w:r>
        <w:rPr>
          <w:b/>
          <w:color w:val="1B2A4A"/>
          <w:sz w:val="30"/>
        </w:rPr>
        <w:t>1. Document Control</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4986"/>
        <w:gridCol w:w="4986"/>
      </w:tblGrid>
      <w:tr>
        <w:trPr>
          <w:tblHeader w:val="true"/>
        </w:trPr>
        <w:tc>
          <w:tcPr>
            <w:tcW w:type="dxa" w:w="2835"/>
            <w:shd w:val="clear" w:color="auto" w:fill="1B2A4A"/>
            <w:vAlign w:val="center"/>
          </w:tcPr>
          <w:p>
            <w:r/>
            <w:r>
              <w:rPr>
                <w:b/>
                <w:color w:val="FFFFFF"/>
                <w:sz w:val="19"/>
              </w:rPr>
              <w:t>Field</w:t>
            </w:r>
          </w:p>
        </w:tc>
        <w:tc>
          <w:tcPr>
            <w:tcW w:type="dxa" w:w="6520"/>
            <w:shd w:val="clear" w:color="auto" w:fill="1B2A4A"/>
            <w:vAlign w:val="center"/>
          </w:tcPr>
          <w:p>
            <w:r/>
            <w:r>
              <w:rPr>
                <w:b/>
                <w:color w:val="FFFFFF"/>
                <w:sz w:val="19"/>
              </w:rPr>
              <w:t>Detail</w:t>
            </w:r>
          </w:p>
        </w:tc>
      </w:tr>
      <w:tr>
        <w:tc>
          <w:tcPr>
            <w:tcW w:type="dxa" w:w="2835"/>
            <w:vAlign w:val="center"/>
          </w:tcPr>
          <w:p>
            <w:r/>
            <w:r>
              <w:rPr>
                <w:sz w:val="19"/>
              </w:rPr>
              <w:t>Document title</w:t>
            </w:r>
          </w:p>
        </w:tc>
        <w:tc>
          <w:tcPr>
            <w:tcW w:type="dxa" w:w="6520"/>
            <w:vAlign w:val="center"/>
          </w:tcPr>
          <w:p>
            <w:r/>
            <w:r>
              <w:rPr>
                <w:sz w:val="19"/>
              </w:rPr>
              <w:t>Team11-Sprint2-Governance-Pack</w:t>
            </w:r>
          </w:p>
        </w:tc>
      </w:tr>
      <w:tr>
        <w:tc>
          <w:tcPr>
            <w:tcW w:type="dxa" w:w="2835"/>
            <w:vAlign w:val="center"/>
          </w:tcPr>
          <w:p>
            <w:r/>
            <w:r>
              <w:rPr>
                <w:sz w:val="19"/>
              </w:rPr>
              <w:t>Version</w:t>
            </w:r>
          </w:p>
        </w:tc>
        <w:tc>
          <w:tcPr>
            <w:tcW w:type="dxa" w:w="6520"/>
            <w:vAlign w:val="center"/>
          </w:tcPr>
          <w:p>
            <w:r/>
            <w:r>
              <w:rPr>
                <w:sz w:val="19"/>
              </w:rPr>
              <w:t>1.0</w:t>
            </w:r>
          </w:p>
        </w:tc>
      </w:tr>
      <w:tr>
        <w:tc>
          <w:tcPr>
            <w:tcW w:type="dxa" w:w="2835"/>
            <w:vAlign w:val="center"/>
          </w:tcPr>
          <w:p>
            <w:r/>
            <w:r>
              <w:rPr>
                <w:sz w:val="19"/>
              </w:rPr>
              <w:t>Status</w:t>
            </w:r>
          </w:p>
        </w:tc>
        <w:tc>
          <w:tcPr>
            <w:tcW w:type="dxa" w:w="6520"/>
            <w:vAlign w:val="center"/>
          </w:tcPr>
          <w:p>
            <w:r/>
            <w:r>
              <w:rPr>
                <w:sz w:val="19"/>
              </w:rPr>
              <w:t>Draft — pending team review under [Sprint 2: Sprint Goal] Review and approve all Sprint 2 acceptance criteria (due 14 Sept 2026)</w:t>
            </w:r>
          </w:p>
        </w:tc>
      </w:tr>
      <w:tr>
        <w:tc>
          <w:tcPr>
            <w:tcW w:type="dxa" w:w="2835"/>
            <w:vAlign w:val="center"/>
          </w:tcPr>
          <w:p>
            <w:r/>
            <w:r>
              <w:rPr>
                <w:sz w:val="19"/>
              </w:rPr>
              <w:t>Prepared by</w:t>
            </w:r>
          </w:p>
        </w:tc>
        <w:tc>
          <w:tcPr>
            <w:tcW w:type="dxa" w:w="6520"/>
            <w:vAlign w:val="center"/>
          </w:tcPr>
          <w:p>
            <w:r/>
            <w:r>
              <w:rPr>
                <w:sz w:val="19"/>
              </w:rPr>
              <w:t>Ali Sina Sharifi, Project Manager</w:t>
            </w:r>
          </w:p>
        </w:tc>
      </w:tr>
      <w:tr>
        <w:tc>
          <w:tcPr>
            <w:tcW w:type="dxa" w:w="2835"/>
            <w:vAlign w:val="center"/>
          </w:tcPr>
          <w:p>
            <w:r/>
            <w:r>
              <w:rPr>
                <w:sz w:val="19"/>
              </w:rPr>
              <w:t>Date issued</w:t>
            </w:r>
          </w:p>
        </w:tc>
        <w:tc>
          <w:tcPr>
            <w:tcW w:type="dxa" w:w="6520"/>
            <w:vAlign w:val="center"/>
          </w:tcPr>
          <w:p>
            <w:r/>
            <w:r>
              <w:rPr>
                <w:sz w:val="19"/>
              </w:rPr>
              <w:t>13 September 2026</w:t>
            </w:r>
          </w:p>
        </w:tc>
      </w:tr>
      <w:tr>
        <w:tc>
          <w:tcPr>
            <w:tcW w:type="dxa" w:w="2835"/>
            <w:vAlign w:val="center"/>
          </w:tcPr>
          <w:p>
            <w:r/>
            <w:r>
              <w:rPr>
                <w:sz w:val="19"/>
              </w:rPr>
              <w:t>Source Planner card</w:t>
            </w:r>
          </w:p>
        </w:tc>
        <w:tc>
          <w:tcPr>
            <w:tcW w:type="dxa" w:w="6520"/>
            <w:vAlign w:val="center"/>
          </w:tcPr>
          <w:p>
            <w:r/>
            <w:r>
              <w:rPr>
                <w:sz w:val="19"/>
              </w:rPr>
              <w:t>[Sprint 2: Interactive AI Hologram] Close Sprint 1 carry-over and lock the Sprint 2 goal : 90 (Backlog)</w:t>
            </w:r>
          </w:p>
        </w:tc>
      </w:tr>
      <w:tr>
        <w:tc>
          <w:tcPr>
            <w:tcW w:type="dxa" w:w="2835"/>
            <w:vAlign w:val="center"/>
          </w:tcPr>
          <w:p>
            <w:r/>
            <w:r>
              <w:rPr>
                <w:sz w:val="19"/>
              </w:rPr>
              <w:t>Related documents</w:t>
            </w:r>
          </w:p>
        </w:tc>
        <w:tc>
          <w:tcPr>
            <w:tcW w:type="dxa" w:w="6520"/>
            <w:vAlign w:val="center"/>
          </w:tcPr>
          <w:p>
            <w:r/>
            <w:r>
              <w:rPr>
                <w:sz w:val="19"/>
              </w:rPr>
              <w:t>Team11-Project-Charter-v1.1-Sprint2.docx; Master-Document-Sprint1-Closure.docx; 11 - AI Hologram and Digital Presence - S1W3_plan.xlsx; 11 - AI Hologram and Digital Presence - S1W3_ganttplan.xlsx</w:t>
            </w:r>
          </w:p>
        </w:tc>
      </w:tr>
      <w:tr>
        <w:tc>
          <w:tcPr>
            <w:tcW w:type="dxa" w:w="2835"/>
            <w:vAlign w:val="center"/>
          </w:tcPr>
          <w:p>
            <w:r/>
            <w:r>
              <w:rPr>
                <w:sz w:val="19"/>
              </w:rPr>
              <w:t>Evidence reviewed</w:t>
            </w:r>
          </w:p>
        </w:tc>
        <w:tc>
          <w:tcPr>
            <w:tcW w:type="dxa" w:w="6520"/>
            <w:vAlign w:val="center"/>
          </w:tcPr>
          <w:p>
            <w:r/>
            <w:r>
              <w:rPr>
                <w:sz w:val="19"/>
              </w:rPr>
              <w:t>Master-Document-Sprint1 (15-page export); S1W3 Planner export (Tasks, Buckets, Users sheets); S1W3 Sprint 2 Gantt workbook (Task Plan &amp; Gantt, Weekly Workload Check sheets)</w:t>
            </w:r>
          </w:p>
        </w:tc>
      </w:tr>
      <w:tr>
        <w:tc>
          <w:tcPr>
            <w:tcW w:type="dxa" w:w="2835"/>
            <w:vAlign w:val="center"/>
          </w:tcPr>
          <w:p>
            <w:r/>
            <w:r>
              <w:rPr>
                <w:sz w:val="19"/>
              </w:rPr>
              <w:t>Evidence not available for this pack</w:t>
            </w:r>
          </w:p>
        </w:tc>
        <w:tc>
          <w:tcPr>
            <w:tcW w:type="dxa" w:w="6520"/>
            <w:vAlign w:val="center"/>
          </w:tcPr>
          <w:p>
            <w:r/>
            <w:r>
              <w:rPr>
                <w:sz w:val="19"/>
              </w:rPr>
              <w:t>Friday 11 September 2026 client-meeting recording/transcript itself (referenced in Planner card notes, not separately supplied); v1.0 Project Charter file (not supplied — see Charter document control)</w:t>
            </w:r>
          </w:p>
        </w:tc>
      </w:tr>
    </w:tbl>
    <w:p>
      <w:pPr>
        <w:spacing w:after="80"/>
      </w:pPr>
    </w:p>
    <w:p>
      <w:pPr>
        <w:spacing w:after="200"/>
      </w:pPr>
      <w:r>
        <w:rPr>
          <w:b w:val="0"/>
          <w:i w:val="0"/>
          <w:sz w:val="21"/>
        </w:rPr>
        <w:t>This pack closes the documentation obligations of Planner card “[Sprint 2: Interactive AI Hologram] Close Sprint 1 carry-over and lock the Sprint 2 goal” (its three acceptance criteria are that Product Demonstrator and Employee Training Coach are confirmed to share one AI foundation, that the Sprint 2 goal/exclusions/owners/dependencies are recorded, and that live telepresence and real-time motion capture are recorded as out of scope). It does not close the separate, still-open concept-selection carry-over — see Section 2.</w:t>
      </w:r>
    </w:p>
    <w:p>
      <w:pPr>
        <w:spacing w:before="320" w:after="120"/>
        <w:pBdr>
          <w:bottom w:val="single" w:sz="6" w:space="4" w:color="1B2A4A"/>
        </w:pBdr>
      </w:pPr>
      <w:r>
        <w:rPr>
          <w:b/>
          <w:color w:val="1B2A4A"/>
          <w:sz w:val="30"/>
        </w:rPr>
        <w:t>2. Sprint 1 Carry-over Register</w:t>
      </w:r>
    </w:p>
    <w:p>
      <w:pPr>
        <w:spacing w:after="120"/>
      </w:pPr>
      <w:r>
        <w:rPr>
          <w:b w:val="0"/>
          <w:i w:val="0"/>
          <w:sz w:val="21"/>
        </w:rPr>
        <w:t>One controlled carry-over is being brought into Sprint 2. It does not block the shared AI-foundation work below; it does block any content or behaviour that is specific to a single use case.</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4986"/>
        <w:gridCol w:w="4986"/>
      </w:tblGrid>
      <w:tr>
        <w:trPr>
          <w:tblHeader w:val="true"/>
        </w:trPr>
        <w:tc>
          <w:tcPr>
            <w:tcW w:type="dxa" w:w="2835"/>
            <w:shd w:val="clear" w:color="auto" w:fill="1B2A4A"/>
            <w:vAlign w:val="center"/>
          </w:tcPr>
          <w:p>
            <w:r/>
            <w:r>
              <w:rPr>
                <w:b/>
                <w:color w:val="FFFFFF"/>
                <w:sz w:val="19"/>
              </w:rPr>
              <w:t>Field</w:t>
            </w:r>
          </w:p>
        </w:tc>
        <w:tc>
          <w:tcPr>
            <w:tcW w:type="dxa" w:w="6520"/>
            <w:shd w:val="clear" w:color="auto" w:fill="1B2A4A"/>
            <w:vAlign w:val="center"/>
          </w:tcPr>
          <w:p>
            <w:r/>
            <w:r>
              <w:rPr>
                <w:b/>
                <w:color w:val="FFFFFF"/>
                <w:sz w:val="19"/>
              </w:rPr>
              <w:t>Detail</w:t>
            </w:r>
          </w:p>
        </w:tc>
      </w:tr>
      <w:tr>
        <w:tc>
          <w:tcPr>
            <w:tcW w:type="dxa" w:w="2835"/>
            <w:vAlign w:val="center"/>
          </w:tcPr>
          <w:p>
            <w:r/>
            <w:r>
              <w:rPr>
                <w:sz w:val="19"/>
              </w:rPr>
              <w:t>ID</w:t>
            </w:r>
          </w:p>
        </w:tc>
        <w:tc>
          <w:tcPr>
            <w:tcW w:type="dxa" w:w="6520"/>
            <w:vAlign w:val="center"/>
          </w:tcPr>
          <w:p>
            <w:r/>
            <w:r>
              <w:rPr>
                <w:sz w:val="19"/>
              </w:rPr>
              <w:t>CO-01</w:t>
            </w:r>
          </w:p>
        </w:tc>
      </w:tr>
      <w:tr>
        <w:tc>
          <w:tcPr>
            <w:tcW w:type="dxa" w:w="2835"/>
            <w:vAlign w:val="center"/>
          </w:tcPr>
          <w:p>
            <w:r/>
            <w:r>
              <w:rPr>
                <w:sz w:val="19"/>
              </w:rPr>
              <w:t>Item</w:t>
            </w:r>
          </w:p>
        </w:tc>
        <w:tc>
          <w:tcPr>
            <w:tcW w:type="dxa" w:w="6520"/>
            <w:vAlign w:val="center"/>
          </w:tcPr>
          <w:p>
            <w:r/>
            <w:r>
              <w:rPr>
                <w:sz w:val="19"/>
              </w:rPr>
              <w:t>Final selection between Use Case 2 (Product Demonstrator) and Use Case 3 (Employee Training Coach)</w:t>
            </w:r>
          </w:p>
        </w:tc>
      </w:tr>
      <w:tr>
        <w:tc>
          <w:tcPr>
            <w:tcW w:type="dxa" w:w="2835"/>
            <w:vAlign w:val="center"/>
          </w:tcPr>
          <w:p>
            <w:r/>
            <w:r>
              <w:rPr>
                <w:sz w:val="19"/>
              </w:rPr>
              <w:t>Status</w:t>
            </w:r>
          </w:p>
        </w:tc>
        <w:tc>
          <w:tcPr>
            <w:tcW w:type="dxa" w:w="6520"/>
            <w:vAlign w:val="center"/>
          </w:tcPr>
          <w:p>
            <w:r/>
            <w:r>
              <w:rPr>
                <w:sz w:val="19"/>
              </w:rPr>
              <w:t>Open — awaiting client decision</w:t>
            </w:r>
          </w:p>
        </w:tc>
      </w:tr>
      <w:tr>
        <w:tc>
          <w:tcPr>
            <w:tcW w:type="dxa" w:w="2835"/>
            <w:vAlign w:val="center"/>
          </w:tcPr>
          <w:p>
            <w:r/>
            <w:r>
              <w:rPr>
                <w:sz w:val="19"/>
              </w:rPr>
              <w:t>Owner</w:t>
            </w:r>
          </w:p>
        </w:tc>
        <w:tc>
          <w:tcPr>
            <w:tcW w:type="dxa" w:w="6520"/>
            <w:vAlign w:val="center"/>
          </w:tcPr>
          <w:p>
            <w:r/>
            <w:r>
              <w:rPr>
                <w:sz w:val="19"/>
              </w:rPr>
              <w:t>Ali Sina Sharifi (PM)</w:t>
            </w:r>
          </w:p>
        </w:tc>
      </w:tr>
      <w:tr>
        <w:tc>
          <w:tcPr>
            <w:tcW w:type="dxa" w:w="2835"/>
            <w:vAlign w:val="center"/>
          </w:tcPr>
          <w:p>
            <w:r/>
            <w:r>
              <w:rPr>
                <w:sz w:val="19"/>
              </w:rPr>
              <w:t>Decision authority</w:t>
            </w:r>
          </w:p>
        </w:tc>
        <w:tc>
          <w:tcPr>
            <w:tcW w:type="dxa" w:w="6520"/>
            <w:vAlign w:val="center"/>
          </w:tcPr>
          <w:p>
            <w:r/>
            <w:r>
              <w:rPr>
                <w:sz w:val="19"/>
              </w:rPr>
              <w:t>Ian (client)</w:t>
            </w:r>
          </w:p>
        </w:tc>
      </w:tr>
      <w:tr>
        <w:tc>
          <w:tcPr>
            <w:tcW w:type="dxa" w:w="2835"/>
            <w:vAlign w:val="center"/>
          </w:tcPr>
          <w:p>
            <w:r/>
            <w:r>
              <w:rPr>
                <w:sz w:val="19"/>
              </w:rPr>
              <w:t>Options remaining</w:t>
            </w:r>
          </w:p>
        </w:tc>
        <w:tc>
          <w:tcPr>
            <w:tcW w:type="dxa" w:w="6520"/>
            <w:vAlign w:val="center"/>
          </w:tcPr>
          <w:p>
            <w:r/>
            <w:r>
              <w:rPr>
                <w:sz w:val="19"/>
              </w:rPr>
              <w:t>Use Case 2 — Product Demonstrator; Use Case 3 — Employee Training Coach</w:t>
            </w:r>
          </w:p>
        </w:tc>
      </w:tr>
      <w:tr>
        <w:tc>
          <w:tcPr>
            <w:tcW w:type="dxa" w:w="2835"/>
            <w:vAlign w:val="center"/>
          </w:tcPr>
          <w:p>
            <w:r/>
            <w:r>
              <w:rPr>
                <w:sz w:val="19"/>
              </w:rPr>
              <w:t>Blocks shared Sprint 2 foundation work?</w:t>
            </w:r>
          </w:p>
        </w:tc>
        <w:tc>
          <w:tcPr>
            <w:tcW w:type="dxa" w:w="6520"/>
            <w:vAlign w:val="center"/>
          </w:tcPr>
          <w:p>
            <w:r/>
            <w:r>
              <w:rPr>
                <w:sz w:val="19"/>
              </w:rPr>
              <w:t>No</w:t>
            </w:r>
          </w:p>
        </w:tc>
      </w:tr>
      <w:tr>
        <w:tc>
          <w:tcPr>
            <w:tcW w:type="dxa" w:w="2835"/>
            <w:vAlign w:val="center"/>
          </w:tcPr>
          <w:p>
            <w:r/>
            <w:r>
              <w:rPr>
                <w:sz w:val="19"/>
              </w:rPr>
              <w:t>Blocks use-case-specific content and behaviour?</w:t>
            </w:r>
          </w:p>
        </w:tc>
        <w:tc>
          <w:tcPr>
            <w:tcW w:type="dxa" w:w="6520"/>
            <w:vAlign w:val="center"/>
          </w:tcPr>
          <w:p>
            <w:r/>
            <w:r>
              <w:rPr>
                <w:sz w:val="19"/>
              </w:rPr>
              <w:t>Yes</w:t>
            </w:r>
          </w:p>
        </w:tc>
      </w:tr>
      <w:tr>
        <w:tc>
          <w:tcPr>
            <w:tcW w:type="dxa" w:w="2835"/>
            <w:vAlign w:val="center"/>
          </w:tcPr>
          <w:p>
            <w:r/>
            <w:r>
              <w:rPr>
                <w:sz w:val="19"/>
              </w:rPr>
              <w:t>Next action</w:t>
            </w:r>
          </w:p>
        </w:tc>
        <w:tc>
          <w:tcPr>
            <w:tcW w:type="dxa" w:w="6520"/>
            <w:vAlign w:val="center"/>
          </w:tcPr>
          <w:p>
            <w:r/>
            <w:r>
              <w:rPr>
                <w:sz w:val="19"/>
              </w:rPr>
              <w:t>Compare both options against the agreed Week 1 BA scoring criteria at the next client meeting</w:t>
            </w:r>
          </w:p>
        </w:tc>
      </w:tr>
      <w:tr>
        <w:tc>
          <w:tcPr>
            <w:tcW w:type="dxa" w:w="2835"/>
            <w:vAlign w:val="center"/>
          </w:tcPr>
          <w:p>
            <w:r/>
            <w:r>
              <w:rPr>
                <w:sz w:val="19"/>
              </w:rPr>
              <w:t>Decision date</w:t>
            </w:r>
          </w:p>
        </w:tc>
        <w:tc>
          <w:tcPr>
            <w:tcW w:type="dxa" w:w="6520"/>
            <w:vAlign w:val="center"/>
          </w:tcPr>
          <w:p>
            <w:r/>
            <w:r>
              <w:rPr>
                <w:sz w:val="19"/>
              </w:rPr>
              <w:t>[PM INPUT REQUIRED: confirmed meeting date]</w:t>
            </w:r>
          </w:p>
        </w:tc>
      </w:tr>
      <w:tr>
        <w:tc>
          <w:tcPr>
            <w:tcW w:type="dxa" w:w="2835"/>
            <w:vAlign w:val="center"/>
          </w:tcPr>
          <w:p>
            <w:r/>
            <w:r>
              <w:rPr>
                <w:sz w:val="19"/>
              </w:rPr>
              <w:t>Evidence</w:t>
            </w:r>
          </w:p>
        </w:tc>
        <w:tc>
          <w:tcPr>
            <w:tcW w:type="dxa" w:w="6520"/>
            <w:vAlign w:val="center"/>
          </w:tcPr>
          <w:p>
            <w:r/>
            <w:r>
              <w:rPr>
                <w:sz w:val="19"/>
              </w:rPr>
              <w:t>Planner card “[Sprint 1: AI Presence Demo] Record the Sprint 2 concept direction and client decision” (In progress, 2/4 checklist items complete) — status: Reported (client review outcome recorded in the Planner card; the underlying meeting recording/transcript was not separately supplied for this review)</w:t>
            </w:r>
          </w:p>
        </w:tc>
      </w:tr>
    </w:tbl>
    <w:p>
      <w:pPr>
        <w:spacing w:after="80"/>
      </w:pPr>
    </w:p>
    <w:p>
      <w:pPr>
        <w:spacing w:after="120"/>
      </w:pPr>
      <w:r>
        <w:rPr>
          <w:b w:val="0"/>
          <w:i/>
          <w:sz w:val="19"/>
        </w:rPr>
        <w:t>Do not treat CO-01 as closed by this pack. Its status remains “Open — awaiting client decision” until a dated client decision is recorded on the source Planner card.</w:t>
      </w:r>
    </w:p>
    <w:p>
      <w:pPr>
        <w:spacing w:before="160" w:after="60"/>
      </w:pPr>
      <w:r>
        <w:rPr>
          <w:b/>
          <w:color w:val="1B2A4A"/>
          <w:sz w:val="22"/>
        </w:rPr>
        <w:t>Secondary technical carry-over (monitoring only, not blocking)</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3685"/>
            <w:shd w:val="clear" w:color="auto" w:fill="1B2A4A"/>
            <w:vAlign w:val="center"/>
          </w:tcPr>
          <w:p>
            <w:r/>
            <w:r>
              <w:rPr>
                <w:b/>
                <w:color w:val="FFFFFF"/>
                <w:sz w:val="19"/>
              </w:rPr>
              <w:t>Item</w:t>
            </w:r>
          </w:p>
        </w:tc>
        <w:tc>
          <w:tcPr>
            <w:tcW w:type="dxa" w:w="1984"/>
            <w:shd w:val="clear" w:color="auto" w:fill="1B2A4A"/>
            <w:vAlign w:val="center"/>
          </w:tcPr>
          <w:p>
            <w:r/>
            <w:r>
              <w:rPr>
                <w:b/>
                <w:color w:val="FFFFFF"/>
                <w:sz w:val="19"/>
              </w:rPr>
              <w:t>Status</w:t>
            </w:r>
          </w:p>
        </w:tc>
        <w:tc>
          <w:tcPr>
            <w:tcW w:type="dxa" w:w="4252"/>
            <w:shd w:val="clear" w:color="auto" w:fill="1B2A4A"/>
            <w:vAlign w:val="center"/>
          </w:tcPr>
          <w:p>
            <w:r/>
            <w:r>
              <w:rPr>
                <w:b/>
                <w:color w:val="FFFFFF"/>
                <w:sz w:val="19"/>
              </w:rPr>
              <w:t>Note</w:t>
            </w:r>
          </w:p>
        </w:tc>
      </w:tr>
      <w:tr>
        <w:tc>
          <w:tcPr>
            <w:tcW w:type="dxa" w:w="3685"/>
            <w:vAlign w:val="center"/>
          </w:tcPr>
          <w:p>
            <w:r/>
            <w:r>
              <w:rPr>
                <w:sz w:val="19"/>
              </w:rPr>
              <w:t>Unity version alignment</w:t>
            </w:r>
          </w:p>
        </w:tc>
        <w:tc>
          <w:tcPr>
            <w:tcW w:type="dxa" w:w="1984"/>
            <w:vAlign w:val="center"/>
          </w:tcPr>
          <w:p>
            <w:r/>
            <w:r>
              <w:rPr>
                <w:sz w:val="19"/>
              </w:rPr>
              <w:t>Monitoring</w:t>
            </w:r>
          </w:p>
        </w:tc>
        <w:tc>
          <w:tcPr>
            <w:tcW w:type="dxa" w:w="4252"/>
            <w:vAlign w:val="center"/>
          </w:tcPr>
          <w:p>
            <w:r/>
            <w:r>
              <w:rPr>
                <w:sz w:val="19"/>
              </w:rPr>
              <w:t>The team's guide references Unity 6000.4.6f1, but the VXLab machine and the current committed project use 2022.3.40f1. This is now a fixed Sprint 2 precondition (see Section 5) rather than an open decision.</w:t>
            </w:r>
          </w:p>
        </w:tc>
      </w:tr>
      <w:tr>
        <w:tc>
          <w:tcPr>
            <w:tcW w:type="dxa" w:w="3685"/>
            <w:vAlign w:val="center"/>
          </w:tcPr>
          <w:p>
            <w:r/>
            <w:r>
              <w:rPr>
                <w:sz w:val="19"/>
              </w:rPr>
              <w:t>Hardware-in-the-loop verification of the Sprint 1 build</w:t>
            </w:r>
          </w:p>
        </w:tc>
        <w:tc>
          <w:tcPr>
            <w:tcW w:type="dxa" w:w="1984"/>
            <w:vAlign w:val="center"/>
          </w:tcPr>
          <w:p>
            <w:r/>
            <w:r>
              <w:rPr>
                <w:sz w:val="19"/>
              </w:rPr>
              <w:t>Reported, not independently verified</w:t>
            </w:r>
          </w:p>
        </w:tc>
        <w:tc>
          <w:tcPr>
            <w:tcW w:type="dxa" w:w="4252"/>
            <w:vAlign w:val="center"/>
          </w:tcPr>
          <w:p>
            <w:r/>
            <w:r>
              <w:rPr>
                <w:sz w:val="19"/>
              </w:rPr>
              <w:t>Sprint 1 evidence (avatar render, audio, lip-sync) was captured on the physical Looking Glass at VXLab (tested 9 Sept 2026) and confirmed to a second machine (VX-PORTAL-1); Dev 2's local reproduction remained blocked by a Unity-version mismatch on his own machine. This is a regression risk for Sprint 2, tracked in Section 9.</w:t>
            </w:r>
          </w:p>
        </w:tc>
      </w:tr>
    </w:tbl>
    <w:p>
      <w:pPr>
        <w:spacing w:after="80"/>
      </w:pPr>
    </w:p>
    <w:p>
      <w:pPr>
        <w:spacing w:before="320" w:after="120"/>
        <w:pBdr>
          <w:bottom w:val="single" w:sz="6" w:space="4" w:color="1B2A4A"/>
        </w:pBdr>
      </w:pPr>
      <w:r>
        <w:rPr>
          <w:b/>
          <w:color w:val="1B2A4A"/>
          <w:sz w:val="30"/>
        </w:rPr>
        <w:t>3. Client Decision Log</w:t>
      </w:r>
    </w:p>
    <w:p>
      <w:pPr>
        <w:spacing w:after="120"/>
      </w:pPr>
      <w:r>
        <w:rPr>
          <w:b w:val="0"/>
          <w:i w:val="0"/>
          <w:sz w:val="21"/>
        </w:rPr>
        <w:t>History is preserved. Only the wording of active guidance changes between entries; the record of what was decided and when does not.</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1994"/>
        <w:gridCol w:w="1994"/>
        <w:gridCol w:w="1994"/>
        <w:gridCol w:w="1994"/>
        <w:gridCol w:w="1994"/>
      </w:tblGrid>
      <w:tr>
        <w:trPr>
          <w:tblHeader w:val="true"/>
        </w:trPr>
        <w:tc>
          <w:tcPr>
            <w:tcW w:type="dxa" w:w="907"/>
            <w:shd w:val="clear" w:color="auto" w:fill="1B2A4A"/>
            <w:vAlign w:val="center"/>
          </w:tcPr>
          <w:p>
            <w:r/>
            <w:r>
              <w:rPr>
                <w:b/>
                <w:color w:val="FFFFFF"/>
                <w:sz w:val="18"/>
              </w:rPr>
              <w:t>ID</w:t>
            </w:r>
          </w:p>
        </w:tc>
        <w:tc>
          <w:tcPr>
            <w:tcW w:type="dxa" w:w="1361"/>
            <w:shd w:val="clear" w:color="auto" w:fill="1B2A4A"/>
            <w:vAlign w:val="center"/>
          </w:tcPr>
          <w:p>
            <w:r/>
            <w:r>
              <w:rPr>
                <w:b/>
                <w:color w:val="FFFFFF"/>
                <w:sz w:val="18"/>
              </w:rPr>
              <w:t>Date</w:t>
            </w:r>
          </w:p>
        </w:tc>
        <w:tc>
          <w:tcPr>
            <w:tcW w:type="dxa" w:w="1474"/>
            <w:shd w:val="clear" w:color="auto" w:fill="1B2A4A"/>
            <w:vAlign w:val="center"/>
          </w:tcPr>
          <w:p>
            <w:r/>
            <w:r>
              <w:rPr>
                <w:b/>
                <w:color w:val="FFFFFF"/>
                <w:sz w:val="18"/>
              </w:rPr>
              <w:t>Decision maker</w:t>
            </w:r>
          </w:p>
        </w:tc>
        <w:tc>
          <w:tcPr>
            <w:tcW w:type="dxa" w:w="4082"/>
            <w:shd w:val="clear" w:color="auto" w:fill="1B2A4A"/>
            <w:vAlign w:val="center"/>
          </w:tcPr>
          <w:p>
            <w:r/>
            <w:r>
              <w:rPr>
                <w:b/>
                <w:color w:val="FFFFFF"/>
                <w:sz w:val="18"/>
              </w:rPr>
              <w:t>Decision</w:t>
            </w:r>
          </w:p>
        </w:tc>
        <w:tc>
          <w:tcPr>
            <w:tcW w:type="dxa" w:w="1531"/>
            <w:shd w:val="clear" w:color="auto" w:fill="1B2A4A"/>
            <w:vAlign w:val="center"/>
          </w:tcPr>
          <w:p>
            <w:r/>
            <w:r>
              <w:rPr>
                <w:b/>
                <w:color w:val="FFFFFF"/>
                <w:sz w:val="18"/>
              </w:rPr>
              <w:t>Evidence / status</w:t>
            </w:r>
          </w:p>
        </w:tc>
      </w:tr>
      <w:tr>
        <w:tc>
          <w:tcPr>
            <w:tcW w:type="dxa" w:w="907"/>
            <w:vAlign w:val="center"/>
          </w:tcPr>
          <w:p>
            <w:r/>
            <w:r>
              <w:rPr>
                <w:sz w:val="18"/>
              </w:rPr>
              <w:t>DEC-00</w:t>
            </w:r>
          </w:p>
        </w:tc>
        <w:tc>
          <w:tcPr>
            <w:tcW w:type="dxa" w:w="1361"/>
            <w:vAlign w:val="center"/>
          </w:tcPr>
          <w:p>
            <w:r/>
            <w:r>
              <w:rPr>
                <w:sz w:val="18"/>
              </w:rPr>
              <w:t>Week 1 (baseline)</w:t>
            </w:r>
          </w:p>
        </w:tc>
        <w:tc>
          <w:tcPr>
            <w:tcW w:type="dxa" w:w="1474"/>
            <w:vAlign w:val="center"/>
          </w:tcPr>
          <w:p>
            <w:r/>
            <w:r>
              <w:rPr>
                <w:sz w:val="18"/>
              </w:rPr>
              <w:t>Team, with VXLab technical guidance</w:t>
            </w:r>
          </w:p>
        </w:tc>
        <w:tc>
          <w:tcPr>
            <w:tcW w:type="dxa" w:w="4082"/>
            <w:vAlign w:val="center"/>
          </w:tcPr>
          <w:p>
            <w:r/>
            <w:r>
              <w:rPr>
                <w:sz w:val="18"/>
              </w:rPr>
              <w:t>Pivot the technical direction from the Nova device to the Looking Glass holographic display (Unity, Looking Glass Bridge, Ultraleap hand tracking; mid-air haptics optional).</w:t>
            </w:r>
          </w:p>
        </w:tc>
        <w:tc>
          <w:tcPr>
            <w:tcW w:type="dxa" w:w="1531"/>
            <w:vAlign w:val="center"/>
          </w:tcPr>
          <w:p>
            <w:r/>
            <w:r>
              <w:rPr>
                <w:sz w:val="18"/>
              </w:rPr>
              <w:t>Reported — recorded in the Sprint 1 baseline project context and confirmed across 11 of 15 Sprint 1 Planner cards revised in the Week 1 sign-off card.</w:t>
            </w:r>
          </w:p>
        </w:tc>
      </w:tr>
      <w:tr>
        <w:tc>
          <w:tcPr>
            <w:tcW w:type="dxa" w:w="907"/>
            <w:vAlign w:val="center"/>
          </w:tcPr>
          <w:p>
            <w:r/>
            <w:r>
              <w:rPr>
                <w:sz w:val="18"/>
              </w:rPr>
              <w:t>DEC-01</w:t>
            </w:r>
          </w:p>
        </w:tc>
        <w:tc>
          <w:tcPr>
            <w:tcW w:type="dxa" w:w="1361"/>
            <w:vAlign w:val="center"/>
          </w:tcPr>
          <w:p>
            <w:r/>
            <w:r>
              <w:rPr>
                <w:sz w:val="18"/>
              </w:rPr>
              <w:t>29 Aug 2026</w:t>
            </w:r>
          </w:p>
        </w:tc>
        <w:tc>
          <w:tcPr>
            <w:tcW w:type="dxa" w:w="1474"/>
            <w:vAlign w:val="center"/>
          </w:tcPr>
          <w:p>
            <w:r/>
            <w:r>
              <w:rPr>
                <w:sz w:val="18"/>
              </w:rPr>
              <w:t>Team (ideation/shortlisting workshop, PM-facilitated)</w:t>
            </w:r>
          </w:p>
        </w:tc>
        <w:tc>
          <w:tcPr>
            <w:tcW w:type="dxa" w:w="4082"/>
            <w:vAlign w:val="center"/>
          </w:tcPr>
          <w:p>
            <w:r/>
            <w:r>
              <w:rPr>
                <w:sz w:val="18"/>
              </w:rPr>
              <w:t>Shortlist narrowed to three candidate concepts: A. Interactive Holographic Presenter, B. Interactive Holographic Product Demonstrator, C. Interactive Holographic Training Coach. This was a team shortlist, not a client decision.</w:t>
            </w:r>
          </w:p>
        </w:tc>
        <w:tc>
          <w:tcPr>
            <w:tcW w:type="dxa" w:w="1531"/>
            <w:vAlign w:val="center"/>
          </w:tcPr>
          <w:p>
            <w:r/>
            <w:r>
              <w:rPr>
                <w:sz w:val="18"/>
              </w:rPr>
              <w:t>Verified — Planner card “Run use-case ideation and shortlisting workshop” (Completed), Miro workshop board.</w:t>
            </w:r>
          </w:p>
        </w:tc>
      </w:tr>
      <w:tr>
        <w:tc>
          <w:tcPr>
            <w:tcW w:type="dxa" w:w="907"/>
            <w:vAlign w:val="center"/>
          </w:tcPr>
          <w:p>
            <w:r/>
            <w:r>
              <w:rPr>
                <w:sz w:val="18"/>
              </w:rPr>
              <w:t>DEC-02</w:t>
            </w:r>
          </w:p>
        </w:tc>
        <w:tc>
          <w:tcPr>
            <w:tcW w:type="dxa" w:w="1361"/>
            <w:vAlign w:val="center"/>
          </w:tcPr>
          <w:p>
            <w:r/>
            <w:r>
              <w:rPr>
                <w:sz w:val="18"/>
              </w:rPr>
              <w:t>Friday 11 September 2026</w:t>
            </w:r>
          </w:p>
        </w:tc>
        <w:tc>
          <w:tcPr>
            <w:tcW w:type="dxa" w:w="1474"/>
            <w:vAlign w:val="center"/>
          </w:tcPr>
          <w:p>
            <w:r/>
            <w:r>
              <w:rPr>
                <w:sz w:val="18"/>
              </w:rPr>
              <w:t>Ian (client)</w:t>
            </w:r>
          </w:p>
        </w:tc>
        <w:tc>
          <w:tcPr>
            <w:tcW w:type="dxa" w:w="4082"/>
            <w:vAlign w:val="center"/>
          </w:tcPr>
          <w:p>
            <w:r/>
            <w:r>
              <w:rPr>
                <w:sz w:val="18"/>
              </w:rPr>
              <w:t>Remove Use Case 1 (live presenter with real-time motion capture) — it introduces the separate technical problem of real-time motion capture, camera input and body tracking. Retain Use Cases 2 and 3. No strong preference expressed between them; indicated the final choice may not affect the immediate shared technical work. Sprint 2 will build the common AI hologram foundation; final use-case selection remains open until a further client meeting, and must occur before development becomes specific to only one use case.</w:t>
            </w:r>
          </w:p>
        </w:tc>
        <w:tc>
          <w:tcPr>
            <w:tcW w:type="dxa" w:w="1531"/>
            <w:vAlign w:val="center"/>
          </w:tcPr>
          <w:p>
            <w:r/>
            <w:r>
              <w:rPr>
                <w:sz w:val="18"/>
              </w:rPr>
              <w:t>Reported — recorded on Planner card “Record the Sprint 2 concept direction and client decision” (In progress). Meeting recording/transcript referenced in the card but not supplied for this review.</w:t>
            </w:r>
          </w:p>
        </w:tc>
      </w:tr>
      <w:tr>
        <w:tc>
          <w:tcPr>
            <w:tcW w:type="dxa" w:w="907"/>
            <w:vAlign w:val="center"/>
          </w:tcPr>
          <w:p>
            <w:r/>
            <w:r>
              <w:rPr>
                <w:sz w:val="18"/>
              </w:rPr>
              <w:t>DEC-03</w:t>
            </w:r>
          </w:p>
        </w:tc>
        <w:tc>
          <w:tcPr>
            <w:tcW w:type="dxa" w:w="1361"/>
            <w:vAlign w:val="center"/>
          </w:tcPr>
          <w:p>
            <w:r/>
            <w:r>
              <w:rPr>
                <w:sz w:val="18"/>
              </w:rPr>
              <w:t>Friday 11 September 2026</w:t>
            </w:r>
          </w:p>
        </w:tc>
        <w:tc>
          <w:tcPr>
            <w:tcW w:type="dxa" w:w="1474"/>
            <w:vAlign w:val="center"/>
          </w:tcPr>
          <w:p>
            <w:r/>
            <w:r>
              <w:rPr>
                <w:sz w:val="18"/>
              </w:rPr>
              <w:t>Ian (client)</w:t>
            </w:r>
          </w:p>
        </w:tc>
        <w:tc>
          <w:tcPr>
            <w:tcW w:type="dxa" w:w="4082"/>
            <w:vAlign w:val="center"/>
          </w:tcPr>
          <w:p>
            <w:r/>
            <w:r>
              <w:rPr>
                <w:sz w:val="18"/>
              </w:rPr>
              <w:t>Technical and presentation guidance for Sprint 2: a local Ollama service on the VXLab computer is a reasonable direction; required project software may be installed; use a clearly named project account with identifiable installed services; verify the Looking Glass Unity camera and holographic output configuration; pan the physical camera laterally when recording to show parallax; keep the executable or reproducible installation instructions accessible; consider RAG or agent-based retrieval using suitable product manuals; body language, pointing and spatial awareness should demonstrate why the hologram adds value.</w:t>
            </w:r>
          </w:p>
        </w:tc>
        <w:tc>
          <w:tcPr>
            <w:tcW w:type="dxa" w:w="1531"/>
            <w:vAlign w:val="center"/>
          </w:tcPr>
          <w:p>
            <w:r/>
            <w:r>
              <w:rPr>
                <w:sz w:val="18"/>
              </w:rPr>
              <w:t>Reported — recorded on Planner card “Secure lab time and run the client demo” (Completed) “Note for next role,” consistent with DEC-02.</w:t>
            </w:r>
          </w:p>
        </w:tc>
      </w:tr>
    </w:tbl>
    <w:p>
      <w:pPr>
        <w:spacing w:after="80"/>
      </w:pPr>
    </w:p>
    <w:p>
      <w:pPr>
        <w:spacing w:before="320" w:after="120"/>
        <w:pBdr>
          <w:bottom w:val="single" w:sz="6" w:space="4" w:color="1B2A4A"/>
        </w:pBdr>
      </w:pPr>
      <w:r>
        <w:rPr>
          <w:b/>
          <w:color w:val="1B2A4A"/>
          <w:sz w:val="30"/>
        </w:rPr>
        <w:t>4. Sprint 2 Goal</w:t>
      </w:r>
    </w:p>
    <w:p>
      <w:pPr>
        <w:spacing w:after="160"/>
      </w:pPr>
      <w:r>
        <w:rPr>
          <w:i/>
          <w:sz w:val="22"/>
        </w:rPr>
        <w:t>By 2 October 2026, demonstrate an interactive AI avatar on the physical Looking Glass using Unity 2022.3.40f1. The avatar will accept Ultraleap pinch-to-talk input, use a localhost service for speech recognition, Ollama and grounded document retrieval, return Azure-generated speech and facial timing, and coordinate facial and body animation. Menu input and uLipSync will remain available as tested fallbacks. The demonstration will support the shared foundation for the Product Demonstrator and Employee Training Coach while the final use case remains under client review.</w:t>
      </w:r>
    </w:p>
    <w:p>
      <w:pPr>
        <w:spacing w:after="120"/>
      </w:pPr>
      <w:r>
        <w:rPr>
          <w:b w:val="0"/>
          <w:i/>
          <w:sz w:val="19"/>
        </w:rPr>
        <w:t>No factual correction to this goal was required against the reviewed evidence: it is consistent with the approved Sprint 2 architecture, the client's 11 September guidance, and the Week 3 handover note (“Remove Use Case 1 and continue developing the shared AI foundation for Use Cases 2 and 3”).</w:t>
      </w:r>
    </w:p>
    <w:p>
      <w:pPr>
        <w:spacing w:before="320" w:after="120"/>
        <w:pBdr>
          <w:bottom w:val="single" w:sz="6" w:space="4" w:color="1B2A4A"/>
        </w:pBdr>
      </w:pPr>
      <w:r>
        <w:rPr>
          <w:b/>
          <w:color w:val="1B2A4A"/>
          <w:sz w:val="30"/>
        </w:rPr>
        <w:t>5. Scope Boundary</w:t>
      </w:r>
    </w:p>
    <w:p>
      <w:pPr>
        <w:spacing w:before="160" w:after="60"/>
      </w:pPr>
      <w:r>
        <w:rPr>
          <w:b/>
          <w:color w:val="1B2A4A"/>
          <w:sz w:val="22"/>
        </w:rPr>
        <w:t>In scope</w:t>
      </w:r>
    </w:p>
    <w:p>
      <w:pPr>
        <w:pStyle w:val="ListBullet"/>
        <w:spacing w:after="60"/>
      </w:pPr>
      <w:r>
        <w:rPr>
          <w:sz w:val="21"/>
        </w:rPr>
        <w:t>Unity 2022.3.40f1 and the Looking Glass display</w:t>
      </w:r>
    </w:p>
    <w:p>
      <w:pPr>
        <w:pStyle w:val="ListBullet"/>
        <w:spacing w:after="60"/>
      </w:pPr>
      <w:r>
        <w:rPr>
          <w:sz w:val="21"/>
        </w:rPr>
        <w:t>Ultraleap pinch-to-talk input and microphone recording</w:t>
      </w:r>
    </w:p>
    <w:p>
      <w:pPr>
        <w:pStyle w:val="ListBullet"/>
        <w:spacing w:after="60"/>
      </w:pPr>
      <w:r>
        <w:rPr>
          <w:sz w:val="21"/>
        </w:rPr>
        <w:t>Local speech-to-text, Ollama and RAG behind a localhost AI service</w:t>
      </w:r>
    </w:p>
    <w:p>
      <w:pPr>
        <w:pStyle w:val="ListBullet"/>
        <w:spacing w:after="60"/>
      </w:pPr>
      <w:r>
        <w:rPr>
          <w:sz w:val="21"/>
        </w:rPr>
        <w:t>Azure Speech-generated answer audio and facial-animation timing</w:t>
      </w:r>
    </w:p>
    <w:p>
      <w:pPr>
        <w:pStyle w:val="ListBullet"/>
        <w:spacing w:after="60"/>
      </w:pPr>
      <w:r>
        <w:rPr>
          <w:sz w:val="21"/>
        </w:rPr>
        <w:t>Azure-driven blend shapes as the primary facial driver, with uLipSync as the tested fallback</w:t>
      </w:r>
    </w:p>
    <w:p>
      <w:pPr>
        <w:pStyle w:val="ListBullet"/>
        <w:spacing w:after="60"/>
      </w:pPr>
      <w:r>
        <w:rPr>
          <w:sz w:val="21"/>
        </w:rPr>
        <w:t>Unity Animator body-language states and approved gesture tags</w:t>
      </w:r>
    </w:p>
    <w:p>
      <w:pPr>
        <w:pStyle w:val="ListBullet"/>
        <w:spacing w:after="60"/>
      </w:pPr>
      <w:r>
        <w:rPr>
          <w:sz w:val="21"/>
        </w:rPr>
        <w:t>Localhost-only Unity ↔ AI-service integration</w:t>
      </w:r>
    </w:p>
    <w:p>
      <w:pPr>
        <w:pStyle w:val="ListBullet"/>
        <w:spacing w:after="60"/>
      </w:pPr>
      <w:r>
        <w:rPr>
          <w:sz w:val="21"/>
        </w:rPr>
        <w:t>Packaging, testing, recovery instructions and physical-hardware evidence</w:t>
      </w:r>
    </w:p>
    <w:p>
      <w:pPr>
        <w:pStyle w:val="ListBullet"/>
        <w:spacing w:after="60"/>
      </w:pPr>
      <w:r>
        <w:rPr>
          <w:sz w:val="21"/>
        </w:rPr>
        <w:t>A client checkpoint for the final use-case decision</w:t>
      </w:r>
    </w:p>
    <w:p>
      <w:pPr>
        <w:spacing w:before="160" w:after="60"/>
      </w:pPr>
      <w:r>
        <w:rPr>
          <w:b/>
          <w:color w:val="1B2A4A"/>
          <w:sz w:val="22"/>
        </w:rPr>
        <w:t>Out of scope</w:t>
      </w:r>
    </w:p>
    <w:p>
      <w:pPr>
        <w:pStyle w:val="ListBullet"/>
        <w:spacing w:after="60"/>
      </w:pPr>
      <w:r>
        <w:rPr>
          <w:sz w:val="21"/>
        </w:rPr>
        <w:t>Live telepresence</w:t>
      </w:r>
    </w:p>
    <w:p>
      <w:pPr>
        <w:pStyle w:val="ListBullet"/>
        <w:spacing w:after="60"/>
      </w:pPr>
      <w:r>
        <w:rPr>
          <w:sz w:val="21"/>
        </w:rPr>
        <w:t>Real-time human motion capture or body tracking</w:t>
      </w:r>
    </w:p>
    <w:p>
      <w:pPr>
        <w:pStyle w:val="ListBullet"/>
        <w:spacing w:after="60"/>
      </w:pPr>
      <w:r>
        <w:rPr>
          <w:sz w:val="21"/>
        </w:rPr>
        <w:t>Voice or video cloning</w:t>
      </w:r>
    </w:p>
    <w:p>
      <w:pPr>
        <w:pStyle w:val="ListBullet"/>
        <w:spacing w:after="60"/>
      </w:pPr>
      <w:r>
        <w:rPr>
          <w:sz w:val="21"/>
        </w:rPr>
        <w:t>Production deployment at a Telstra location</w:t>
      </w:r>
    </w:p>
    <w:p>
      <w:pPr>
        <w:pStyle w:val="ListBullet"/>
        <w:spacing w:after="60"/>
      </w:pPr>
      <w:r>
        <w:rPr>
          <w:sz w:val="21"/>
        </w:rPr>
        <w:t>Mid-air haptics as a required dependency</w:t>
      </w:r>
    </w:p>
    <w:p>
      <w:pPr>
        <w:pStyle w:val="ListBullet"/>
        <w:spacing w:after="60"/>
      </w:pPr>
      <w:r>
        <w:rPr>
          <w:sz w:val="21"/>
        </w:rPr>
        <w:t>AI-generated bone rotations or arbitrary animation commands</w:t>
      </w:r>
    </w:p>
    <w:p>
      <w:pPr>
        <w:pStyle w:val="ListBullet"/>
        <w:spacing w:after="60"/>
      </w:pPr>
      <w:r>
        <w:rPr>
          <w:sz w:val="21"/>
        </w:rPr>
        <w:t>Exposing the AI service outside localhost by default</w:t>
      </w:r>
    </w:p>
    <w:p>
      <w:pPr>
        <w:spacing w:before="320" w:after="120"/>
        <w:pBdr>
          <w:bottom w:val="single" w:sz="6" w:space="4" w:color="1B2A4A"/>
        </w:pBdr>
      </w:pPr>
      <w:r>
        <w:rPr>
          <w:b/>
          <w:color w:val="1B2A4A"/>
          <w:sz w:val="30"/>
        </w:rPr>
        <w:t>6. Confirmed Technical Preconditions</w:t>
      </w:r>
    </w:p>
    <w:p>
      <w:pPr>
        <w:spacing w:after="120"/>
      </w:pPr>
      <w:r>
        <w:rPr>
          <w:b w:val="0"/>
          <w:i w:val="0"/>
          <w:sz w:val="21"/>
        </w:rPr>
        <w:t>These are established facts the team is working from, not Sprint 2 backlog items.</w:t>
      </w:r>
    </w:p>
    <w:p>
      <w:pPr>
        <w:pStyle w:val="ListBullet"/>
        <w:spacing w:after="60"/>
      </w:pPr>
      <w:r>
        <w:rPr>
          <w:sz w:val="21"/>
        </w:rPr>
        <w:t>Unity work must remain compatible with Unity 2022.3.40f1.</w:t>
      </w:r>
    </w:p>
    <w:p>
      <w:pPr>
        <w:pStyle w:val="ListBullet"/>
        <w:spacing w:after="60"/>
      </w:pPr>
      <w:r>
        <w:rPr>
          <w:sz w:val="21"/>
        </w:rPr>
        <w:t>The Sprint 1 build runs without console errors.</w:t>
      </w:r>
    </w:p>
    <w:p>
      <w:pPr>
        <w:pStyle w:val="ListBullet"/>
        <w:spacing w:after="60"/>
      </w:pPr>
      <w:r>
        <w:rPr>
          <w:sz w:val="21"/>
        </w:rPr>
        <w:t>Looking Glass is configured on the VXLab computer.</w:t>
      </w:r>
    </w:p>
    <w:p>
      <w:pPr>
        <w:pStyle w:val="ListBullet"/>
        <w:spacing w:after="60"/>
      </w:pPr>
      <w:r>
        <w:rPr>
          <w:sz w:val="21"/>
        </w:rPr>
        <w:t>Software required for the project may be installed on the VXLab computer.</w:t>
      </w:r>
    </w:p>
    <w:p>
      <w:pPr>
        <w:pStyle w:val="ListBullet"/>
        <w:spacing w:after="60"/>
      </w:pPr>
      <w:r>
        <w:rPr>
          <w:sz w:val="21"/>
        </w:rPr>
        <w:t>The VXLab computer has internet access and Bluetooth for an external speaker.</w:t>
      </w:r>
    </w:p>
    <w:p>
      <w:pPr>
        <w:pStyle w:val="ListBullet"/>
        <w:spacing w:after="60"/>
      </w:pPr>
      <w:r>
        <w:rPr>
          <w:sz w:val="21"/>
        </w:rPr>
        <w:t>Unity communicates with the local AI service over HTTP on localhost only.</w:t>
      </w:r>
    </w:p>
    <w:p>
      <w:pPr>
        <w:pStyle w:val="ListBullet"/>
        <w:spacing w:after="60"/>
      </w:pPr>
      <w:r>
        <w:rPr>
          <w:sz w:val="21"/>
        </w:rPr>
        <w:t>Azure facial animation is the primary facial driver; uLipSync is the fallback. The AI may select approved gesture tags but must never manipulate bones directly.</w:t>
      </w:r>
    </w:p>
    <w:p>
      <w:pPr>
        <w:spacing w:before="320" w:after="120"/>
        <w:pBdr>
          <w:bottom w:val="single" w:sz="6" w:space="4" w:color="1B2A4A"/>
        </w:pBdr>
      </w:pPr>
      <w:r>
        <w:rPr>
          <w:b/>
          <w:color w:val="1B2A4A"/>
          <w:sz w:val="30"/>
        </w:rPr>
        <w:t>7. Owner and Responsibility Map</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2381"/>
            <w:shd w:val="clear" w:color="auto" w:fill="1B2A4A"/>
            <w:vAlign w:val="center"/>
          </w:tcPr>
          <w:p>
            <w:r/>
            <w:r>
              <w:rPr>
                <w:b/>
                <w:color w:val="FFFFFF"/>
                <w:sz w:val="19"/>
              </w:rPr>
              <w:t>Owner</w:t>
            </w:r>
          </w:p>
        </w:tc>
        <w:tc>
          <w:tcPr>
            <w:tcW w:type="dxa" w:w="2041"/>
            <w:shd w:val="clear" w:color="auto" w:fill="1B2A4A"/>
            <w:vAlign w:val="center"/>
          </w:tcPr>
          <w:p>
            <w:r/>
            <w:r>
              <w:rPr>
                <w:b/>
                <w:color w:val="FFFFFF"/>
                <w:sz w:val="19"/>
              </w:rPr>
              <w:t>Role</w:t>
            </w:r>
          </w:p>
        </w:tc>
        <w:tc>
          <w:tcPr>
            <w:tcW w:type="dxa" w:w="4932"/>
            <w:shd w:val="clear" w:color="auto" w:fill="1B2A4A"/>
            <w:vAlign w:val="center"/>
          </w:tcPr>
          <w:p>
            <w:r/>
            <w:r>
              <w:rPr>
                <w:b/>
                <w:color w:val="FFFFFF"/>
                <w:sz w:val="19"/>
              </w:rPr>
              <w:t>Sprint 2 accountabilities</w:t>
            </w:r>
          </w:p>
        </w:tc>
      </w:tr>
      <w:tr>
        <w:tc>
          <w:tcPr>
            <w:tcW w:type="dxa" w:w="2381"/>
            <w:vAlign w:val="center"/>
          </w:tcPr>
          <w:p>
            <w:r/>
            <w:r>
              <w:rPr>
                <w:sz w:val="19"/>
              </w:rPr>
              <w:t>Ali Sina Sharifi</w:t>
            </w:r>
          </w:p>
        </w:tc>
        <w:tc>
          <w:tcPr>
            <w:tcW w:type="dxa" w:w="2041"/>
            <w:vAlign w:val="center"/>
          </w:tcPr>
          <w:p>
            <w:r/>
            <w:r>
              <w:rPr>
                <w:sz w:val="19"/>
              </w:rPr>
              <w:t>PM and AI developer</w:t>
            </w:r>
          </w:p>
        </w:tc>
        <w:tc>
          <w:tcPr>
            <w:tcW w:type="dxa" w:w="4932"/>
            <w:vAlign w:val="center"/>
          </w:tcPr>
          <w:p>
            <w:r/>
            <w:r>
              <w:rPr>
                <w:sz w:val="19"/>
              </w:rPr>
              <w:t>Governance, local AI service, Ollama/STT benchmarking, RAG, Azure Speech integration, packaging, performance tuning, client checkpoints</w:t>
            </w:r>
          </w:p>
        </w:tc>
      </w:tr>
      <w:tr>
        <w:tc>
          <w:tcPr>
            <w:tcW w:type="dxa" w:w="2381"/>
            <w:vAlign w:val="center"/>
          </w:tcPr>
          <w:p>
            <w:r/>
            <w:r>
              <w:rPr>
                <w:sz w:val="19"/>
              </w:rPr>
              <w:t>Anuji Peiris</w:t>
            </w:r>
          </w:p>
        </w:tc>
        <w:tc>
          <w:tcPr>
            <w:tcW w:type="dxa" w:w="2041"/>
            <w:vAlign w:val="center"/>
          </w:tcPr>
          <w:p>
            <w:r/>
            <w:r>
              <w:rPr>
                <w:sz w:val="19"/>
              </w:rPr>
              <w:t>Business Analyst</w:t>
            </w:r>
          </w:p>
        </w:tc>
        <w:tc>
          <w:tcPr>
            <w:tcW w:type="dxa" w:w="4932"/>
            <w:vAlign w:val="center"/>
          </w:tcPr>
          <w:p>
            <w:r/>
            <w:r>
              <w:rPr>
                <w:sz w:val="19"/>
              </w:rPr>
              <w:t>Acceptance-criteria review, corpus and evaluation questions, weekly requirements, grounded-answer evaluation, UAT</w:t>
            </w:r>
          </w:p>
        </w:tc>
      </w:tr>
      <w:tr>
        <w:tc>
          <w:tcPr>
            <w:tcW w:type="dxa" w:w="2381"/>
            <w:vAlign w:val="center"/>
          </w:tcPr>
          <w:p>
            <w:r/>
            <w:r>
              <w:rPr>
                <w:sz w:val="19"/>
              </w:rPr>
              <w:t>Hiba Ansari</w:t>
            </w:r>
          </w:p>
        </w:tc>
        <w:tc>
          <w:tcPr>
            <w:tcW w:type="dxa" w:w="2041"/>
            <w:vAlign w:val="center"/>
          </w:tcPr>
          <w:p>
            <w:r/>
            <w:r>
              <w:rPr>
                <w:sz w:val="19"/>
              </w:rPr>
              <w:t>UX Designer</w:t>
            </w:r>
          </w:p>
        </w:tc>
        <w:tc>
          <w:tcPr>
            <w:tcW w:type="dxa" w:w="4932"/>
            <w:vAlign w:val="center"/>
          </w:tcPr>
          <w:p>
            <w:r/>
            <w:r>
              <w:rPr>
                <w:sz w:val="19"/>
              </w:rPr>
              <w:t>Conversation states, error feedback, gesture design, licensed animation selection, captions, demo flow and experience tuning</w:t>
            </w:r>
          </w:p>
        </w:tc>
      </w:tr>
      <w:tr>
        <w:tc>
          <w:tcPr>
            <w:tcW w:type="dxa" w:w="2381"/>
            <w:vAlign w:val="center"/>
          </w:tcPr>
          <w:p>
            <w:r/>
            <w:r>
              <w:rPr>
                <w:sz w:val="19"/>
              </w:rPr>
              <w:t>Lilandavaradan Arunkumar</w:t>
            </w:r>
          </w:p>
        </w:tc>
        <w:tc>
          <w:tcPr>
            <w:tcW w:type="dxa" w:w="2041"/>
            <w:vAlign w:val="center"/>
          </w:tcPr>
          <w:p>
            <w:r/>
            <w:r>
              <w:rPr>
                <w:sz w:val="19"/>
              </w:rPr>
              <w:t>Unity Developer (Dev 1)</w:t>
            </w:r>
          </w:p>
        </w:tc>
        <w:tc>
          <w:tcPr>
            <w:tcW w:type="dxa" w:w="4932"/>
            <w:vAlign w:val="center"/>
          </w:tcPr>
          <w:p>
            <w:r/>
            <w:r>
              <w:rPr>
                <w:sz w:val="19"/>
              </w:rPr>
              <w:t>Unity interfaces, microphone input, HTTP integration, AudioClip control, body Animator, Azure facial mapping, uLipSync fallback</w:t>
            </w:r>
          </w:p>
        </w:tc>
      </w:tr>
      <w:tr>
        <w:tc>
          <w:tcPr>
            <w:tcW w:type="dxa" w:w="2381"/>
            <w:vAlign w:val="center"/>
          </w:tcPr>
          <w:p>
            <w:r/>
            <w:r>
              <w:rPr>
                <w:sz w:val="19"/>
              </w:rPr>
              <w:t>Dinesh Premanath</w:t>
            </w:r>
          </w:p>
        </w:tc>
        <w:tc>
          <w:tcPr>
            <w:tcW w:type="dxa" w:w="2041"/>
            <w:vAlign w:val="center"/>
          </w:tcPr>
          <w:p>
            <w:r/>
            <w:r>
              <w:rPr>
                <w:sz w:val="19"/>
              </w:rPr>
              <w:t>Developer 2 and Tester</w:t>
            </w:r>
          </w:p>
        </w:tc>
        <w:tc>
          <w:tcPr>
            <w:tcW w:type="dxa" w:w="4932"/>
            <w:vAlign w:val="center"/>
          </w:tcPr>
          <w:p>
            <w:r/>
            <w:r>
              <w:rPr>
                <w:sz w:val="19"/>
              </w:rPr>
              <w:t>Test planning, independent backend testing, VX hardware reproduction, display verification, end-to-end testing, recovery rehearsal</w:t>
            </w:r>
          </w:p>
        </w:tc>
      </w:tr>
    </w:tbl>
    <w:p>
      <w:pPr>
        <w:spacing w:after="80"/>
      </w:pPr>
    </w:p>
    <w:p>
      <w:pPr>
        <w:spacing w:after="120"/>
      </w:pPr>
      <w:r>
        <w:rPr>
          <w:b w:val="0"/>
          <w:i/>
          <w:sz w:val="19"/>
        </w:rPr>
        <w:t>Confirmed planned Sprint 2 workload (Weekly Workload Check, S1W3 Gantt workbook): PM 1,440 min (24 h), UX/Research 1,440 min (24 h), Business/QA 1,320 min (22 h), Dev 1 1,260 min (21 h), Dev 2 1,200 min (20 h) across the three-week sprint — see Section 9, R-04.</w:t>
      </w:r>
    </w:p>
    <w:p>
      <w:pPr>
        <w:spacing w:before="320" w:after="120"/>
        <w:pBdr>
          <w:bottom w:val="single" w:sz="6" w:space="4" w:color="1B2A4A"/>
        </w:pBdr>
      </w:pPr>
      <w:r>
        <w:rPr>
          <w:b/>
          <w:color w:val="1B2A4A"/>
          <w:sz w:val="30"/>
        </w:rPr>
        <w:t>8. High-level Dependency Map</w:t>
      </w:r>
    </w:p>
    <w:p>
      <w:pPr>
        <w:spacing w:after="120"/>
      </w:pPr>
      <w:r>
        <w:rPr>
          <w:b w:val="0"/>
          <w:i w:val="0"/>
          <w:sz w:val="21"/>
        </w:rPr>
        <w:t>This card (governance lock) is the sole Week 1 precondition for the AI-foundation and requirements workstreams below. Card identifiers (T0x) are the Sprint 2 Gantt workbook's Task IDs; dependencies are as stated on the corresponding Planner cards in the S1W3 Tasks export.</w:t>
      </w:r>
    </w:p>
    <w:p>
      <w:pPr>
        <w:spacing w:before="160" w:after="60"/>
      </w:pPr>
      <w:r>
        <w:rPr>
          <w:b/>
          <w:color w:val="1B2A4A"/>
          <w:sz w:val="22"/>
        </w:rPr>
        <w:t>Immediate dependents of this governance card</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5102"/>
            <w:shd w:val="clear" w:color="auto" w:fill="1B2A4A"/>
            <w:vAlign w:val="center"/>
          </w:tcPr>
          <w:p>
            <w:r/>
            <w:r>
              <w:rPr>
                <w:b/>
                <w:color w:val="FFFFFF"/>
                <w:sz w:val="19"/>
              </w:rPr>
              <w:t>Card</w:t>
            </w:r>
          </w:p>
        </w:tc>
        <w:tc>
          <w:tcPr>
            <w:tcW w:type="dxa" w:w="2551"/>
            <w:shd w:val="clear" w:color="auto" w:fill="1B2A4A"/>
            <w:vAlign w:val="center"/>
          </w:tcPr>
          <w:p>
            <w:r/>
            <w:r>
              <w:rPr>
                <w:b/>
                <w:color w:val="FFFFFF"/>
                <w:sz w:val="19"/>
              </w:rPr>
              <w:t>Owner</w:t>
            </w:r>
          </w:p>
        </w:tc>
        <w:tc>
          <w:tcPr>
            <w:tcW w:type="dxa" w:w="1701"/>
            <w:shd w:val="clear" w:color="auto" w:fill="1B2A4A"/>
            <w:vAlign w:val="center"/>
          </w:tcPr>
          <w:p>
            <w:r/>
            <w:r>
              <w:rPr>
                <w:b/>
                <w:color w:val="FFFFFF"/>
                <w:sz w:val="19"/>
              </w:rPr>
              <w:t>Depends on</w:t>
            </w:r>
          </w:p>
        </w:tc>
      </w:tr>
      <w:tr>
        <w:tc>
          <w:tcPr>
            <w:tcW w:type="dxa" w:w="5102"/>
            <w:vAlign w:val="center"/>
          </w:tcPr>
          <w:p>
            <w:r/>
            <w:r>
              <w:rPr>
                <w:sz w:val="19"/>
              </w:rPr>
              <w:t>Map conversation states and failure feedback</w:t>
            </w:r>
          </w:p>
        </w:tc>
        <w:tc>
          <w:tcPr>
            <w:tcW w:type="dxa" w:w="2551"/>
            <w:vAlign w:val="center"/>
          </w:tcPr>
          <w:p>
            <w:r/>
            <w:r>
              <w:rPr>
                <w:sz w:val="19"/>
              </w:rPr>
              <w:t>Hiba Ansari</w:t>
            </w:r>
          </w:p>
        </w:tc>
        <w:tc>
          <w:tcPr>
            <w:tcW w:type="dxa" w:w="1701"/>
            <w:vAlign w:val="center"/>
          </w:tcPr>
          <w:p>
            <w:r/>
            <w:r>
              <w:rPr>
                <w:sz w:val="19"/>
              </w:rPr>
              <w:t>This card</w:t>
            </w:r>
          </w:p>
        </w:tc>
      </w:tr>
      <w:tr>
        <w:tc>
          <w:tcPr>
            <w:tcW w:type="dxa" w:w="5102"/>
            <w:vAlign w:val="center"/>
          </w:tcPr>
          <w:p>
            <w:r/>
            <w:r>
              <w:rPr>
                <w:sz w:val="19"/>
              </w:rPr>
              <w:t>Benchmark Ollama model candidates on the VX PC</w:t>
            </w:r>
          </w:p>
        </w:tc>
        <w:tc>
          <w:tcPr>
            <w:tcW w:type="dxa" w:w="2551"/>
            <w:vAlign w:val="center"/>
          </w:tcPr>
          <w:p>
            <w:r/>
            <w:r>
              <w:rPr>
                <w:sz w:val="19"/>
              </w:rPr>
              <w:t>Ali Sina Sharifi</w:t>
            </w:r>
          </w:p>
        </w:tc>
        <w:tc>
          <w:tcPr>
            <w:tcW w:type="dxa" w:w="1701"/>
            <w:vAlign w:val="center"/>
          </w:tcPr>
          <w:p>
            <w:r/>
            <w:r>
              <w:rPr>
                <w:sz w:val="19"/>
              </w:rPr>
              <w:t>This card</w:t>
            </w:r>
          </w:p>
        </w:tc>
      </w:tr>
      <w:tr>
        <w:tc>
          <w:tcPr>
            <w:tcW w:type="dxa" w:w="5102"/>
            <w:vAlign w:val="center"/>
          </w:tcPr>
          <w:p>
            <w:r/>
            <w:r>
              <w:rPr>
                <w:sz w:val="19"/>
              </w:rPr>
              <w:t>Benchmark local speech-to-text options with lab audio</w:t>
            </w:r>
          </w:p>
        </w:tc>
        <w:tc>
          <w:tcPr>
            <w:tcW w:type="dxa" w:w="2551"/>
            <w:vAlign w:val="center"/>
          </w:tcPr>
          <w:p>
            <w:r/>
            <w:r>
              <w:rPr>
                <w:sz w:val="19"/>
              </w:rPr>
              <w:t>Ali Sina Sharifi</w:t>
            </w:r>
          </w:p>
        </w:tc>
        <w:tc>
          <w:tcPr>
            <w:tcW w:type="dxa" w:w="1701"/>
            <w:vAlign w:val="center"/>
          </w:tcPr>
          <w:p>
            <w:r/>
            <w:r>
              <w:rPr>
                <w:sz w:val="19"/>
              </w:rPr>
              <w:t>This card</w:t>
            </w:r>
          </w:p>
        </w:tc>
      </w:tr>
      <w:tr>
        <w:tc>
          <w:tcPr>
            <w:tcW w:type="dxa" w:w="5102"/>
            <w:vAlign w:val="center"/>
          </w:tcPr>
          <w:p>
            <w:r/>
            <w:r>
              <w:rPr>
                <w:sz w:val="19"/>
              </w:rPr>
              <w:t>Curate the knowledge corpus and 20-question evaluation set</w:t>
            </w:r>
          </w:p>
        </w:tc>
        <w:tc>
          <w:tcPr>
            <w:tcW w:type="dxa" w:w="2551"/>
            <w:vAlign w:val="center"/>
          </w:tcPr>
          <w:p>
            <w:r/>
            <w:r>
              <w:rPr>
                <w:sz w:val="19"/>
              </w:rPr>
              <w:t>Anuji Peiris</w:t>
            </w:r>
          </w:p>
        </w:tc>
        <w:tc>
          <w:tcPr>
            <w:tcW w:type="dxa" w:w="1701"/>
            <w:vAlign w:val="center"/>
          </w:tcPr>
          <w:p>
            <w:r/>
            <w:r>
              <w:rPr>
                <w:sz w:val="19"/>
              </w:rPr>
              <w:t>This card</w:t>
            </w:r>
          </w:p>
        </w:tc>
      </w:tr>
      <w:tr>
        <w:tc>
          <w:tcPr>
            <w:tcW w:type="dxa" w:w="5102"/>
            <w:vAlign w:val="center"/>
          </w:tcPr>
          <w:p>
            <w:r/>
            <w:r>
              <w:rPr>
                <w:sz w:val="19"/>
              </w:rPr>
              <w:t>Define Unity interfaces, DTOs and runtime feature flags</w:t>
            </w:r>
          </w:p>
        </w:tc>
        <w:tc>
          <w:tcPr>
            <w:tcW w:type="dxa" w:w="2551"/>
            <w:vAlign w:val="center"/>
          </w:tcPr>
          <w:p>
            <w:r/>
            <w:r>
              <w:rPr>
                <w:sz w:val="19"/>
              </w:rPr>
              <w:t>Lilandavaradan Arunkumar</w:t>
            </w:r>
          </w:p>
        </w:tc>
        <w:tc>
          <w:tcPr>
            <w:tcW w:type="dxa" w:w="1701"/>
            <w:vAlign w:val="center"/>
          </w:tcPr>
          <w:p>
            <w:r/>
            <w:r>
              <w:rPr>
                <w:sz w:val="19"/>
              </w:rPr>
              <w:t>This card</w:t>
            </w:r>
          </w:p>
        </w:tc>
      </w:tr>
      <w:tr>
        <w:tc>
          <w:tcPr>
            <w:tcW w:type="dxa" w:w="5102"/>
            <w:vAlign w:val="center"/>
          </w:tcPr>
          <w:p>
            <w:r/>
            <w:r>
              <w:rPr>
                <w:sz w:val="19"/>
              </w:rPr>
              <w:t>Create the Week 2 feature requirements</w:t>
            </w:r>
          </w:p>
        </w:tc>
        <w:tc>
          <w:tcPr>
            <w:tcW w:type="dxa" w:w="2551"/>
            <w:vAlign w:val="center"/>
          </w:tcPr>
          <w:p>
            <w:r/>
            <w:r>
              <w:rPr>
                <w:sz w:val="19"/>
              </w:rPr>
              <w:t>Anuji Peiris</w:t>
            </w:r>
          </w:p>
        </w:tc>
        <w:tc>
          <w:tcPr>
            <w:tcW w:type="dxa" w:w="1701"/>
            <w:vAlign w:val="center"/>
          </w:tcPr>
          <w:p>
            <w:r/>
            <w:r>
              <w:rPr>
                <w:sz w:val="19"/>
              </w:rPr>
              <w:t>This card</w:t>
            </w:r>
          </w:p>
        </w:tc>
      </w:tr>
      <w:tr>
        <w:tc>
          <w:tcPr>
            <w:tcW w:type="dxa" w:w="5102"/>
            <w:vAlign w:val="center"/>
          </w:tcPr>
          <w:p>
            <w:r/>
            <w:r>
              <w:rPr>
                <w:sz w:val="19"/>
              </w:rPr>
              <w:t>Scaffold the localhost AI service and API contract</w:t>
            </w:r>
          </w:p>
        </w:tc>
        <w:tc>
          <w:tcPr>
            <w:tcW w:type="dxa" w:w="2551"/>
            <w:vAlign w:val="center"/>
          </w:tcPr>
          <w:p>
            <w:r/>
            <w:r>
              <w:rPr>
                <w:sz w:val="19"/>
              </w:rPr>
              <w:t>Ali Sina Sharifi</w:t>
            </w:r>
          </w:p>
        </w:tc>
        <w:tc>
          <w:tcPr>
            <w:tcW w:type="dxa" w:w="1701"/>
            <w:vAlign w:val="center"/>
          </w:tcPr>
          <w:p>
            <w:r/>
            <w:r>
              <w:rPr>
                <w:sz w:val="19"/>
              </w:rPr>
              <w:t>This card, plus the two Ollama/STT benchmarking cards above</w:t>
            </w:r>
          </w:p>
        </w:tc>
      </w:tr>
    </w:tbl>
    <w:p>
      <w:pPr>
        <w:spacing w:after="80"/>
      </w:pPr>
    </w:p>
    <w:p>
      <w:pPr>
        <w:spacing w:before="160" w:after="60"/>
      </w:pPr>
      <w:r>
        <w:rPr>
          <w:b/>
          <w:color w:val="1B2A4A"/>
          <w:sz w:val="22"/>
        </w:rPr>
        <w:t>Critical path to the Sprint 2 goal (2 October 2026)</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2493"/>
        <w:gridCol w:w="2493"/>
        <w:gridCol w:w="2493"/>
        <w:gridCol w:w="2493"/>
      </w:tblGrid>
      <w:tr>
        <w:trPr>
          <w:tblHeader w:val="true"/>
        </w:trPr>
        <w:tc>
          <w:tcPr>
            <w:tcW w:type="dxa" w:w="567"/>
            <w:shd w:val="clear" w:color="auto" w:fill="1B2A4A"/>
            <w:vAlign w:val="center"/>
          </w:tcPr>
          <w:p>
            <w:r/>
            <w:r>
              <w:rPr>
                <w:b/>
                <w:color w:val="FFFFFF"/>
                <w:sz w:val="18"/>
              </w:rPr>
              <w:t>Stage</w:t>
            </w:r>
          </w:p>
        </w:tc>
        <w:tc>
          <w:tcPr>
            <w:tcW w:type="dxa" w:w="5102"/>
            <w:shd w:val="clear" w:color="auto" w:fill="1B2A4A"/>
            <w:vAlign w:val="center"/>
          </w:tcPr>
          <w:p>
            <w:r/>
            <w:r>
              <w:rPr>
                <w:b/>
                <w:color w:val="FFFFFF"/>
                <w:sz w:val="18"/>
              </w:rPr>
              <w:t>Card</w:t>
            </w:r>
          </w:p>
        </w:tc>
        <w:tc>
          <w:tcPr>
            <w:tcW w:type="dxa" w:w="2041"/>
            <w:shd w:val="clear" w:color="auto" w:fill="1B2A4A"/>
            <w:vAlign w:val="center"/>
          </w:tcPr>
          <w:p>
            <w:r/>
            <w:r>
              <w:rPr>
                <w:b/>
                <w:color w:val="FFFFFF"/>
                <w:sz w:val="18"/>
              </w:rPr>
              <w:t>Owner</w:t>
            </w:r>
          </w:p>
        </w:tc>
        <w:tc>
          <w:tcPr>
            <w:tcW w:type="dxa" w:w="1701"/>
            <w:shd w:val="clear" w:color="auto" w:fill="1B2A4A"/>
            <w:vAlign w:val="center"/>
          </w:tcPr>
          <w:p>
            <w:r/>
            <w:r>
              <w:rPr>
                <w:b/>
                <w:color w:val="FFFFFF"/>
                <w:sz w:val="18"/>
              </w:rPr>
              <w:t>Depends on</w:t>
            </w:r>
          </w:p>
        </w:tc>
      </w:tr>
      <w:tr>
        <w:tc>
          <w:tcPr>
            <w:tcW w:type="dxa" w:w="567"/>
            <w:vAlign w:val="center"/>
          </w:tcPr>
          <w:p>
            <w:r/>
            <w:r>
              <w:rPr>
                <w:sz w:val="18"/>
              </w:rPr>
              <w:t>1</w:t>
            </w:r>
          </w:p>
        </w:tc>
        <w:tc>
          <w:tcPr>
            <w:tcW w:type="dxa" w:w="5102"/>
            <w:vAlign w:val="center"/>
          </w:tcPr>
          <w:p>
            <w:r/>
            <w:r>
              <w:rPr>
                <w:sz w:val="18"/>
              </w:rPr>
              <w:t>Scaffold the localhost AI service and API contract</w:t>
            </w:r>
          </w:p>
        </w:tc>
        <w:tc>
          <w:tcPr>
            <w:tcW w:type="dxa" w:w="2041"/>
            <w:vAlign w:val="center"/>
          </w:tcPr>
          <w:p>
            <w:r/>
            <w:r>
              <w:rPr>
                <w:sz w:val="18"/>
              </w:rPr>
              <w:t>Ali Sina Sharifi</w:t>
            </w:r>
          </w:p>
        </w:tc>
        <w:tc>
          <w:tcPr>
            <w:tcW w:type="dxa" w:w="1701"/>
            <w:vAlign w:val="center"/>
          </w:tcPr>
          <w:p>
            <w:r/>
            <w:r>
              <w:rPr>
                <w:sz w:val="18"/>
              </w:rPr>
              <w:t>Governance lock, Ollama benchmarking, STT benchmarking</w:t>
            </w:r>
          </w:p>
        </w:tc>
      </w:tr>
      <w:tr>
        <w:tc>
          <w:tcPr>
            <w:tcW w:type="dxa" w:w="567"/>
            <w:vAlign w:val="center"/>
          </w:tcPr>
          <w:p>
            <w:r/>
            <w:r>
              <w:rPr>
                <w:sz w:val="18"/>
              </w:rPr>
              <w:t>2</w:t>
            </w:r>
          </w:p>
        </w:tc>
        <w:tc>
          <w:tcPr>
            <w:tcW w:type="dxa" w:w="5102"/>
            <w:vAlign w:val="center"/>
          </w:tcPr>
          <w:p>
            <w:r/>
            <w:r>
              <w:rPr>
                <w:sz w:val="18"/>
              </w:rPr>
              <w:t>Implement the STT adapter and transcription endpoint</w:t>
            </w:r>
          </w:p>
        </w:tc>
        <w:tc>
          <w:tcPr>
            <w:tcW w:type="dxa" w:w="2041"/>
            <w:vAlign w:val="center"/>
          </w:tcPr>
          <w:p>
            <w:r/>
            <w:r>
              <w:rPr>
                <w:sz w:val="18"/>
              </w:rPr>
              <w:t>Ali Sina Sharifi</w:t>
            </w:r>
          </w:p>
        </w:tc>
        <w:tc>
          <w:tcPr>
            <w:tcW w:type="dxa" w:w="1701"/>
            <w:vAlign w:val="center"/>
          </w:tcPr>
          <w:p>
            <w:r/>
            <w:r>
              <w:rPr>
                <w:sz w:val="18"/>
              </w:rPr>
              <w:t>STT benchmarking, API scaffold</w:t>
            </w:r>
          </w:p>
        </w:tc>
      </w:tr>
      <w:tr>
        <w:tc>
          <w:tcPr>
            <w:tcW w:type="dxa" w:w="567"/>
            <w:vAlign w:val="center"/>
          </w:tcPr>
          <w:p>
            <w:r/>
            <w:r>
              <w:rPr>
                <w:sz w:val="18"/>
              </w:rPr>
              <w:t>3</w:t>
            </w:r>
          </w:p>
        </w:tc>
        <w:tc>
          <w:tcPr>
            <w:tcW w:type="dxa" w:w="5102"/>
            <w:vAlign w:val="center"/>
          </w:tcPr>
          <w:p>
            <w:r/>
            <w:r>
              <w:rPr>
                <w:sz w:val="18"/>
              </w:rPr>
              <w:t>Integrate Ollama inference and answer orchestration</w:t>
            </w:r>
          </w:p>
        </w:tc>
        <w:tc>
          <w:tcPr>
            <w:tcW w:type="dxa" w:w="2041"/>
            <w:vAlign w:val="center"/>
          </w:tcPr>
          <w:p>
            <w:r/>
            <w:r>
              <w:rPr>
                <w:sz w:val="18"/>
              </w:rPr>
              <w:t>Ali Sina Sharifi</w:t>
            </w:r>
          </w:p>
        </w:tc>
        <w:tc>
          <w:tcPr>
            <w:tcW w:type="dxa" w:w="1701"/>
            <w:vAlign w:val="center"/>
          </w:tcPr>
          <w:p>
            <w:r/>
            <w:r>
              <w:rPr>
                <w:sz w:val="18"/>
              </w:rPr>
              <w:t>Ollama benchmarking, API scaffold</w:t>
            </w:r>
          </w:p>
        </w:tc>
      </w:tr>
      <w:tr>
        <w:tc>
          <w:tcPr>
            <w:tcW w:type="dxa" w:w="567"/>
            <w:vAlign w:val="center"/>
          </w:tcPr>
          <w:p>
            <w:r/>
            <w:r>
              <w:rPr>
                <w:sz w:val="18"/>
              </w:rPr>
              <w:t>4</w:t>
            </w:r>
          </w:p>
        </w:tc>
        <w:tc>
          <w:tcPr>
            <w:tcW w:type="dxa" w:w="5102"/>
            <w:vAlign w:val="center"/>
          </w:tcPr>
          <w:p>
            <w:r/>
            <w:r>
              <w:rPr>
                <w:sz w:val="18"/>
              </w:rPr>
              <w:t>Implement RAG ingestion, retrieval and citations</w:t>
            </w:r>
          </w:p>
        </w:tc>
        <w:tc>
          <w:tcPr>
            <w:tcW w:type="dxa" w:w="2041"/>
            <w:vAlign w:val="center"/>
          </w:tcPr>
          <w:p>
            <w:r/>
            <w:r>
              <w:rPr>
                <w:sz w:val="18"/>
              </w:rPr>
              <w:t>Ali Sina Sharifi</w:t>
            </w:r>
          </w:p>
        </w:tc>
        <w:tc>
          <w:tcPr>
            <w:tcW w:type="dxa" w:w="1701"/>
            <w:vAlign w:val="center"/>
          </w:tcPr>
          <w:p>
            <w:r/>
            <w:r>
              <w:rPr>
                <w:sz w:val="18"/>
              </w:rPr>
              <w:t>Corpus curation, API scaffold, Ollama orchestration</w:t>
            </w:r>
          </w:p>
        </w:tc>
      </w:tr>
      <w:tr>
        <w:tc>
          <w:tcPr>
            <w:tcW w:type="dxa" w:w="567"/>
            <w:vAlign w:val="center"/>
          </w:tcPr>
          <w:p>
            <w:r/>
            <w:r>
              <w:rPr>
                <w:sz w:val="18"/>
              </w:rPr>
              <w:t>5</w:t>
            </w:r>
          </w:p>
        </w:tc>
        <w:tc>
          <w:tcPr>
            <w:tcW w:type="dxa" w:w="5102"/>
            <w:vAlign w:val="center"/>
          </w:tcPr>
          <w:p>
            <w:r/>
            <w:r>
              <w:rPr>
                <w:sz w:val="18"/>
              </w:rPr>
              <w:t>Integrate Azure TTS audio and facial-animation payload</w:t>
            </w:r>
          </w:p>
        </w:tc>
        <w:tc>
          <w:tcPr>
            <w:tcW w:type="dxa" w:w="2041"/>
            <w:vAlign w:val="center"/>
          </w:tcPr>
          <w:p>
            <w:r/>
            <w:r>
              <w:rPr>
                <w:sz w:val="18"/>
              </w:rPr>
              <w:t>Ali Sina Sharifi</w:t>
            </w:r>
          </w:p>
        </w:tc>
        <w:tc>
          <w:tcPr>
            <w:tcW w:type="dxa" w:w="1701"/>
            <w:vAlign w:val="center"/>
          </w:tcPr>
          <w:p>
            <w:r/>
            <w:r>
              <w:rPr>
                <w:sz w:val="18"/>
              </w:rPr>
              <w:t>API scaffold, Ollama orchestration</w:t>
            </w:r>
          </w:p>
        </w:tc>
      </w:tr>
      <w:tr>
        <w:tc>
          <w:tcPr>
            <w:tcW w:type="dxa" w:w="567"/>
            <w:vAlign w:val="center"/>
          </w:tcPr>
          <w:p>
            <w:r/>
            <w:r>
              <w:rPr>
                <w:sz w:val="18"/>
              </w:rPr>
              <w:t>6</w:t>
            </w:r>
          </w:p>
        </w:tc>
        <w:tc>
          <w:tcPr>
            <w:tcW w:type="dxa" w:w="5102"/>
            <w:vAlign w:val="center"/>
          </w:tcPr>
          <w:p>
            <w:r/>
            <w:r>
              <w:rPr>
                <w:sz w:val="18"/>
              </w:rPr>
              <w:t>Implement the layered body-animation state controller</w:t>
            </w:r>
          </w:p>
        </w:tc>
        <w:tc>
          <w:tcPr>
            <w:tcW w:type="dxa" w:w="2041"/>
            <w:vAlign w:val="center"/>
          </w:tcPr>
          <w:p>
            <w:r/>
            <w:r>
              <w:rPr>
                <w:sz w:val="18"/>
              </w:rPr>
              <w:t>Lilandavaradan Arunkumar</w:t>
            </w:r>
          </w:p>
        </w:tc>
        <w:tc>
          <w:tcPr>
            <w:tcW w:type="dxa" w:w="1701"/>
            <w:vAlign w:val="center"/>
          </w:tcPr>
          <w:p>
            <w:r/>
            <w:r>
              <w:rPr>
                <w:sz w:val="18"/>
              </w:rPr>
              <w:t>Gesture map, licensed body clips, AudioClip playback/turn control</w:t>
            </w:r>
          </w:p>
        </w:tc>
      </w:tr>
      <w:tr>
        <w:tc>
          <w:tcPr>
            <w:tcW w:type="dxa" w:w="567"/>
            <w:vAlign w:val="center"/>
          </w:tcPr>
          <w:p>
            <w:r/>
            <w:r>
              <w:rPr>
                <w:sz w:val="18"/>
              </w:rPr>
              <w:t>7</w:t>
            </w:r>
          </w:p>
        </w:tc>
        <w:tc>
          <w:tcPr>
            <w:tcW w:type="dxa" w:w="5102"/>
            <w:vAlign w:val="center"/>
          </w:tcPr>
          <w:p>
            <w:r/>
            <w:r>
              <w:rPr>
                <w:sz w:val="18"/>
              </w:rPr>
              <w:t>Drive avatar blend shapes from Azure facial frames</w:t>
            </w:r>
          </w:p>
        </w:tc>
        <w:tc>
          <w:tcPr>
            <w:tcW w:type="dxa" w:w="2041"/>
            <w:vAlign w:val="center"/>
          </w:tcPr>
          <w:p>
            <w:r/>
            <w:r>
              <w:rPr>
                <w:sz w:val="18"/>
              </w:rPr>
              <w:t>Lilandavaradan Arunkumar</w:t>
            </w:r>
          </w:p>
        </w:tc>
        <w:tc>
          <w:tcPr>
            <w:tcW w:type="dxa" w:w="1701"/>
            <w:vAlign w:val="center"/>
          </w:tcPr>
          <w:p>
            <w:r/>
            <w:r>
              <w:rPr>
                <w:sz w:val="18"/>
              </w:rPr>
              <w:t>AudioClip playback/turn control, Azure TTS integration</w:t>
            </w:r>
          </w:p>
        </w:tc>
      </w:tr>
      <w:tr>
        <w:tc>
          <w:tcPr>
            <w:tcW w:type="dxa" w:w="567"/>
            <w:vAlign w:val="center"/>
          </w:tcPr>
          <w:p>
            <w:r/>
            <w:r>
              <w:rPr>
                <w:sz w:val="18"/>
              </w:rPr>
              <w:t>8</w:t>
            </w:r>
          </w:p>
        </w:tc>
        <w:tc>
          <w:tcPr>
            <w:tcW w:type="dxa" w:w="5102"/>
            <w:vAlign w:val="center"/>
          </w:tcPr>
          <w:p>
            <w:r/>
            <w:r>
              <w:rPr>
                <w:sz w:val="18"/>
              </w:rPr>
              <w:t>Wire uLipSync as the facial-animation fallback</w:t>
            </w:r>
          </w:p>
        </w:tc>
        <w:tc>
          <w:tcPr>
            <w:tcW w:type="dxa" w:w="2041"/>
            <w:vAlign w:val="center"/>
          </w:tcPr>
          <w:p>
            <w:r/>
            <w:r>
              <w:rPr>
                <w:sz w:val="18"/>
              </w:rPr>
              <w:t>Lilandavaradan Arunkumar</w:t>
            </w:r>
          </w:p>
        </w:tc>
        <w:tc>
          <w:tcPr>
            <w:tcW w:type="dxa" w:w="1701"/>
            <w:vAlign w:val="center"/>
          </w:tcPr>
          <w:p>
            <w:r/>
            <w:r>
              <w:rPr>
                <w:sz w:val="18"/>
              </w:rPr>
              <w:t>AudioClip playback/turn control, Azure blend-shape driver</w:t>
            </w:r>
          </w:p>
        </w:tc>
      </w:tr>
      <w:tr>
        <w:tc>
          <w:tcPr>
            <w:tcW w:type="dxa" w:w="567"/>
            <w:vAlign w:val="center"/>
          </w:tcPr>
          <w:p>
            <w:r/>
            <w:r>
              <w:rPr>
                <w:sz w:val="18"/>
              </w:rPr>
              <w:t>9</w:t>
            </w:r>
          </w:p>
        </w:tc>
        <w:tc>
          <w:tcPr>
            <w:tcW w:type="dxa" w:w="5102"/>
            <w:vAlign w:val="center"/>
          </w:tcPr>
          <w:p>
            <w:r/>
            <w:r>
              <w:rPr>
                <w:sz w:val="18"/>
              </w:rPr>
              <w:t>Package the AI service, model, index and configuration</w:t>
            </w:r>
          </w:p>
        </w:tc>
        <w:tc>
          <w:tcPr>
            <w:tcW w:type="dxa" w:w="2041"/>
            <w:vAlign w:val="center"/>
          </w:tcPr>
          <w:p>
            <w:r/>
            <w:r>
              <w:rPr>
                <w:sz w:val="18"/>
              </w:rPr>
              <w:t>Ali Sina Sharifi</w:t>
            </w:r>
          </w:p>
        </w:tc>
        <w:tc>
          <w:tcPr>
            <w:tcW w:type="dxa" w:w="1701"/>
            <w:vAlign w:val="center"/>
          </w:tcPr>
          <w:p>
            <w:r/>
            <w:r>
              <w:rPr>
                <w:sz w:val="18"/>
              </w:rPr>
              <w:t>STT, Ollama, RAG and Azure TTS integration</w:t>
            </w:r>
          </w:p>
        </w:tc>
      </w:tr>
      <w:tr>
        <w:tc>
          <w:tcPr>
            <w:tcW w:type="dxa" w:w="567"/>
            <w:vAlign w:val="center"/>
          </w:tcPr>
          <w:p>
            <w:r/>
            <w:r>
              <w:rPr>
                <w:sz w:val="18"/>
              </w:rPr>
              <w:t>10</w:t>
            </w:r>
          </w:p>
        </w:tc>
        <w:tc>
          <w:tcPr>
            <w:tcW w:type="dxa" w:w="5102"/>
            <w:vAlign w:val="center"/>
          </w:tcPr>
          <w:p>
            <w:r/>
            <w:r>
              <w:rPr>
                <w:sz w:val="18"/>
              </w:rPr>
              <w:t>Reproduce the Windows build on the physical VX setup</w:t>
            </w:r>
          </w:p>
        </w:tc>
        <w:tc>
          <w:tcPr>
            <w:tcW w:type="dxa" w:w="2041"/>
            <w:vAlign w:val="center"/>
          </w:tcPr>
          <w:p>
            <w:r/>
            <w:r>
              <w:rPr>
                <w:sz w:val="18"/>
              </w:rPr>
              <w:t>Dinesh Premanath</w:t>
            </w:r>
          </w:p>
        </w:tc>
        <w:tc>
          <w:tcPr>
            <w:tcW w:type="dxa" w:w="1701"/>
            <w:vAlign w:val="center"/>
          </w:tcPr>
          <w:p>
            <w:r/>
            <w:r>
              <w:rPr>
                <w:sz w:val="18"/>
              </w:rPr>
              <w:t>Pinch-to-talk capture, UnityWebRequest/LiveAnswerSource, AudioClip playback</w:t>
            </w:r>
          </w:p>
        </w:tc>
      </w:tr>
      <w:tr>
        <w:tc>
          <w:tcPr>
            <w:tcW w:type="dxa" w:w="567"/>
            <w:vAlign w:val="center"/>
          </w:tcPr>
          <w:p>
            <w:r/>
            <w:r>
              <w:rPr>
                <w:sz w:val="18"/>
              </w:rPr>
              <w:t>11</w:t>
            </w:r>
          </w:p>
        </w:tc>
        <w:tc>
          <w:tcPr>
            <w:tcW w:type="dxa" w:w="5102"/>
            <w:vAlign w:val="center"/>
          </w:tcPr>
          <w:p>
            <w:r/>
            <w:r>
              <w:rPr>
                <w:sz w:val="18"/>
              </w:rPr>
              <w:t>Verify Looking Glass calibration, depth and parallax</w:t>
            </w:r>
          </w:p>
        </w:tc>
        <w:tc>
          <w:tcPr>
            <w:tcW w:type="dxa" w:w="2041"/>
            <w:vAlign w:val="center"/>
          </w:tcPr>
          <w:p>
            <w:r/>
            <w:r>
              <w:rPr>
                <w:sz w:val="18"/>
              </w:rPr>
              <w:t>Dinesh Premanath</w:t>
            </w:r>
          </w:p>
        </w:tc>
        <w:tc>
          <w:tcPr>
            <w:tcW w:type="dxa" w:w="1701"/>
            <w:vAlign w:val="center"/>
          </w:tcPr>
          <w:p>
            <w:r/>
            <w:r>
              <w:rPr>
                <w:sz w:val="18"/>
              </w:rPr>
              <w:t>Windows build reproduction, body-animation controller</w:t>
            </w:r>
          </w:p>
        </w:tc>
      </w:tr>
      <w:tr>
        <w:tc>
          <w:tcPr>
            <w:tcW w:type="dxa" w:w="567"/>
            <w:vAlign w:val="center"/>
          </w:tcPr>
          <w:p>
            <w:r/>
            <w:r>
              <w:rPr>
                <w:sz w:val="18"/>
              </w:rPr>
              <w:t>12</w:t>
            </w:r>
          </w:p>
        </w:tc>
        <w:tc>
          <w:tcPr>
            <w:tcW w:type="dxa" w:w="5102"/>
            <w:vAlign w:val="center"/>
          </w:tcPr>
          <w:p>
            <w:r/>
            <w:r>
              <w:rPr>
                <w:sz w:val="18"/>
              </w:rPr>
              <w:t>Run the client checkpoint and record the decisions</w:t>
            </w:r>
          </w:p>
        </w:tc>
        <w:tc>
          <w:tcPr>
            <w:tcW w:type="dxa" w:w="2041"/>
            <w:vAlign w:val="center"/>
          </w:tcPr>
          <w:p>
            <w:r/>
            <w:r>
              <w:rPr>
                <w:sz w:val="18"/>
              </w:rPr>
              <w:t>Ali Sina Sharifi</w:t>
            </w:r>
          </w:p>
        </w:tc>
        <w:tc>
          <w:tcPr>
            <w:tcW w:type="dxa" w:w="1701"/>
            <w:vAlign w:val="center"/>
          </w:tcPr>
          <w:p>
            <w:r/>
            <w:r>
              <w:rPr>
                <w:sz w:val="18"/>
              </w:rPr>
              <w:t>Demo flow/camera-pan script, Looking Glass calibration, UX tuning, Week 3 requirements, end-to-end tests</w:t>
            </w:r>
          </w:p>
        </w:tc>
      </w:tr>
    </w:tbl>
    <w:p>
      <w:pPr>
        <w:spacing w:after="80"/>
      </w:pPr>
    </w:p>
    <w:p>
      <w:pPr>
        <w:spacing w:after="120"/>
      </w:pPr>
      <w:r>
        <w:rPr>
          <w:b w:val="0"/>
          <w:i/>
          <w:sz w:val="18"/>
        </w:rPr>
        <w:t>Data-quality note: the Sprint 2 Gantt workbook records the dependency for “Design the body-language and gesture behaviour map” (T09) as T09 itself (a self-reference). The corresponding Planner card's own notes state the dependency as T05 (“Map conversation states and failure feedback”). This conflict has not been silently resolved here; it is flagged for PM correction in Section 10 of the Master Document closure record.</w:t>
      </w:r>
    </w:p>
    <w:p>
      <w:pPr>
        <w:spacing w:before="320" w:after="120"/>
        <w:pBdr>
          <w:bottom w:val="single" w:sz="6" w:space="4" w:color="1B2A4A"/>
        </w:pBdr>
      </w:pPr>
      <w:r>
        <w:rPr>
          <w:b/>
          <w:color w:val="1B2A4A"/>
          <w:sz w:val="30"/>
        </w:rPr>
        <w:t>9. Risks, Controls and Escalation Points</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1662"/>
        <w:gridCol w:w="1662"/>
        <w:gridCol w:w="1662"/>
        <w:gridCol w:w="1662"/>
        <w:gridCol w:w="1662"/>
        <w:gridCol w:w="1662"/>
      </w:tblGrid>
      <w:tr>
        <w:trPr>
          <w:tblHeader w:val="true"/>
        </w:trPr>
        <w:tc>
          <w:tcPr>
            <w:tcW w:type="dxa" w:w="624"/>
            <w:shd w:val="clear" w:color="auto" w:fill="1B2A4A"/>
            <w:vAlign w:val="center"/>
          </w:tcPr>
          <w:p>
            <w:r/>
            <w:r>
              <w:rPr>
                <w:b/>
                <w:color w:val="FFFFFF"/>
                <w:sz w:val="17"/>
              </w:rPr>
              <w:t>ID</w:t>
            </w:r>
          </w:p>
        </w:tc>
        <w:tc>
          <w:tcPr>
            <w:tcW w:type="dxa" w:w="2608"/>
            <w:shd w:val="clear" w:color="auto" w:fill="1B2A4A"/>
            <w:vAlign w:val="center"/>
          </w:tcPr>
          <w:p>
            <w:r/>
            <w:r>
              <w:rPr>
                <w:b/>
                <w:color w:val="FFFFFF"/>
                <w:sz w:val="17"/>
              </w:rPr>
              <w:t>Risk</w:t>
            </w:r>
          </w:p>
        </w:tc>
        <w:tc>
          <w:tcPr>
            <w:tcW w:type="dxa" w:w="1701"/>
            <w:shd w:val="clear" w:color="auto" w:fill="1B2A4A"/>
            <w:vAlign w:val="center"/>
          </w:tcPr>
          <w:p>
            <w:r/>
            <w:r>
              <w:rPr>
                <w:b/>
                <w:color w:val="FFFFFF"/>
                <w:sz w:val="17"/>
              </w:rPr>
              <w:t>Impact</w:t>
            </w:r>
          </w:p>
        </w:tc>
        <w:tc>
          <w:tcPr>
            <w:tcW w:type="dxa" w:w="2608"/>
            <w:shd w:val="clear" w:color="auto" w:fill="1B2A4A"/>
            <w:vAlign w:val="center"/>
          </w:tcPr>
          <w:p>
            <w:r/>
            <w:r>
              <w:rPr>
                <w:b/>
                <w:color w:val="FFFFFF"/>
                <w:sz w:val="17"/>
              </w:rPr>
              <w:t>Control</w:t>
            </w:r>
          </w:p>
        </w:tc>
        <w:tc>
          <w:tcPr>
            <w:tcW w:type="dxa" w:w="1474"/>
            <w:shd w:val="clear" w:color="auto" w:fill="1B2A4A"/>
            <w:vAlign w:val="center"/>
          </w:tcPr>
          <w:p>
            <w:r/>
            <w:r>
              <w:rPr>
                <w:b/>
                <w:color w:val="FFFFFF"/>
                <w:sz w:val="17"/>
              </w:rPr>
              <w:t>Owner</w:t>
            </w:r>
          </w:p>
        </w:tc>
        <w:tc>
          <w:tcPr>
            <w:tcW w:type="dxa" w:w="1417"/>
            <w:shd w:val="clear" w:color="auto" w:fill="1B2A4A"/>
            <w:vAlign w:val="center"/>
          </w:tcPr>
          <w:p>
            <w:r/>
            <w:r>
              <w:rPr>
                <w:b/>
                <w:color w:val="FFFFFF"/>
                <w:sz w:val="17"/>
              </w:rPr>
              <w:t>Review point</w:t>
            </w:r>
          </w:p>
        </w:tc>
      </w:tr>
      <w:tr>
        <w:tc>
          <w:tcPr>
            <w:tcW w:type="dxa" w:w="624"/>
            <w:vAlign w:val="center"/>
          </w:tcPr>
          <w:p>
            <w:r/>
            <w:r>
              <w:rPr>
                <w:sz w:val="17"/>
              </w:rPr>
              <w:t>R-01</w:t>
            </w:r>
          </w:p>
        </w:tc>
        <w:tc>
          <w:tcPr>
            <w:tcW w:type="dxa" w:w="2608"/>
            <w:vAlign w:val="center"/>
          </w:tcPr>
          <w:p>
            <w:r/>
            <w:r>
              <w:rPr>
                <w:sz w:val="17"/>
              </w:rPr>
              <w:t>Final use-case decision (CO-01) remains open and could drift past the point where Sprint 2 content must diverge by use case.</w:t>
            </w:r>
          </w:p>
        </w:tc>
        <w:tc>
          <w:tcPr>
            <w:tcW w:type="dxa" w:w="1701"/>
            <w:vAlign w:val="center"/>
          </w:tcPr>
          <w:p>
            <w:r/>
            <w:r>
              <w:rPr>
                <w:sz w:val="17"/>
              </w:rPr>
              <w:t>Delays use-case-specific requirements and content</w:t>
            </w:r>
          </w:p>
        </w:tc>
        <w:tc>
          <w:tcPr>
            <w:tcW w:type="dxa" w:w="2608"/>
            <w:vAlign w:val="center"/>
          </w:tcPr>
          <w:p>
            <w:r/>
            <w:r>
              <w:rPr>
                <w:sz w:val="17"/>
              </w:rPr>
              <w:t>Track as CO-01; schedule and hold the follow-up client meeting before Week 2 use-case-specific requirements are due</w:t>
            </w:r>
          </w:p>
        </w:tc>
        <w:tc>
          <w:tcPr>
            <w:tcW w:type="dxa" w:w="1474"/>
            <w:vAlign w:val="center"/>
          </w:tcPr>
          <w:p>
            <w:r/>
            <w:r>
              <w:rPr>
                <w:sz w:val="17"/>
              </w:rPr>
              <w:t>Ali Sina Sharifi</w:t>
            </w:r>
          </w:p>
        </w:tc>
        <w:tc>
          <w:tcPr>
            <w:tcW w:type="dxa" w:w="1417"/>
            <w:vAlign w:val="center"/>
          </w:tcPr>
          <w:p>
            <w:r/>
            <w:r>
              <w:rPr>
                <w:sz w:val="17"/>
              </w:rPr>
              <w:t>Before Week 2 requirements (25 Sept 2026)</w:t>
            </w:r>
          </w:p>
        </w:tc>
      </w:tr>
      <w:tr>
        <w:tc>
          <w:tcPr>
            <w:tcW w:type="dxa" w:w="624"/>
            <w:vAlign w:val="center"/>
          </w:tcPr>
          <w:p>
            <w:r/>
            <w:r>
              <w:rPr>
                <w:sz w:val="17"/>
              </w:rPr>
              <w:t>R-02</w:t>
            </w:r>
          </w:p>
        </w:tc>
        <w:tc>
          <w:tcPr>
            <w:tcW w:type="dxa" w:w="2608"/>
            <w:vAlign w:val="center"/>
          </w:tcPr>
          <w:p>
            <w:r/>
            <w:r>
              <w:rPr>
                <w:sz w:val="17"/>
              </w:rPr>
              <w:t>This card's own Planner dates are inconsistent (due 14 Sept 2026, start 15 Sept 2026 — starts after it is due).</w:t>
            </w:r>
          </w:p>
        </w:tc>
        <w:tc>
          <w:tcPr>
            <w:tcW w:type="dxa" w:w="1701"/>
            <w:vAlign w:val="center"/>
          </w:tcPr>
          <w:p>
            <w:r/>
            <w:r>
              <w:rPr>
                <w:sz w:val="17"/>
              </w:rPr>
              <w:t>Card cannot be tracked as on-time against its own schedule</w:t>
            </w:r>
          </w:p>
        </w:tc>
        <w:tc>
          <w:tcPr>
            <w:tcW w:type="dxa" w:w="2608"/>
            <w:vAlign w:val="center"/>
          </w:tcPr>
          <w:p>
            <w:r/>
            <w:r>
              <w:rPr>
                <w:sz w:val="17"/>
              </w:rPr>
              <w:t>PM to correct the start or due date in Planner; not corrected in this pack</w:t>
            </w:r>
          </w:p>
        </w:tc>
        <w:tc>
          <w:tcPr>
            <w:tcW w:type="dxa" w:w="1474"/>
            <w:vAlign w:val="center"/>
          </w:tcPr>
          <w:p>
            <w:r/>
            <w:r>
              <w:rPr>
                <w:sz w:val="17"/>
              </w:rPr>
              <w:t>Ali Sina Sharifi</w:t>
            </w:r>
          </w:p>
        </w:tc>
        <w:tc>
          <w:tcPr>
            <w:tcW w:type="dxa" w:w="1417"/>
            <w:vAlign w:val="center"/>
          </w:tcPr>
          <w:p>
            <w:r/>
            <w:r>
              <w:rPr>
                <w:sz w:val="17"/>
              </w:rPr>
              <w:t>Immediate</w:t>
            </w:r>
          </w:p>
        </w:tc>
      </w:tr>
      <w:tr>
        <w:tc>
          <w:tcPr>
            <w:tcW w:type="dxa" w:w="624"/>
            <w:vAlign w:val="center"/>
          </w:tcPr>
          <w:p>
            <w:r/>
            <w:r>
              <w:rPr>
                <w:sz w:val="17"/>
              </w:rPr>
              <w:t>R-03</w:t>
            </w:r>
          </w:p>
        </w:tc>
        <w:tc>
          <w:tcPr>
            <w:tcW w:type="dxa" w:w="2608"/>
            <w:vAlign w:val="center"/>
          </w:tcPr>
          <w:p>
            <w:r/>
            <w:r>
              <w:rPr>
                <w:sz w:val="17"/>
              </w:rPr>
              <w:t>Unity-version mismatch between the VXLab baseline (2022.3.40f1) and individual machines/guides (6000.4.6f1) risks a build that only runs on one machine.</w:t>
            </w:r>
          </w:p>
        </w:tc>
        <w:tc>
          <w:tcPr>
            <w:tcW w:type="dxa" w:w="1701"/>
            <w:vAlign w:val="center"/>
          </w:tcPr>
          <w:p>
            <w:r/>
            <w:r>
              <w:rPr>
                <w:sz w:val="17"/>
              </w:rPr>
              <w:t>Reduced ability to independently verify or hand over the build</w:t>
            </w:r>
          </w:p>
        </w:tc>
        <w:tc>
          <w:tcPr>
            <w:tcW w:type="dxa" w:w="2608"/>
            <w:vAlign w:val="center"/>
          </w:tcPr>
          <w:p>
            <w:r/>
            <w:r>
              <w:rPr>
                <w:sz w:val="17"/>
              </w:rPr>
              <w:t>Keep 2022.3.40f1 as the locked Sprint 2 baseline (Section 6); require every Sprint 2 build-verification card to record the Unity version tested</w:t>
            </w:r>
          </w:p>
        </w:tc>
        <w:tc>
          <w:tcPr>
            <w:tcW w:type="dxa" w:w="1474"/>
            <w:vAlign w:val="center"/>
          </w:tcPr>
          <w:p>
            <w:r/>
            <w:r>
              <w:rPr>
                <w:sz w:val="17"/>
              </w:rPr>
              <w:t>Lilandavaradan Arunkumar / Dinesh Premanath</w:t>
            </w:r>
          </w:p>
        </w:tc>
        <w:tc>
          <w:tcPr>
            <w:tcW w:type="dxa" w:w="1417"/>
            <w:vAlign w:val="center"/>
          </w:tcPr>
          <w:p>
            <w:r/>
            <w:r>
              <w:rPr>
                <w:sz w:val="17"/>
              </w:rPr>
              <w:t>Each build-verification card</w:t>
            </w:r>
          </w:p>
        </w:tc>
      </w:tr>
      <w:tr>
        <w:tc>
          <w:tcPr>
            <w:tcW w:type="dxa" w:w="624"/>
            <w:vAlign w:val="center"/>
          </w:tcPr>
          <w:p>
            <w:r/>
            <w:r>
              <w:rPr>
                <w:sz w:val="17"/>
              </w:rPr>
              <w:t>R-04</w:t>
            </w:r>
          </w:p>
        </w:tc>
        <w:tc>
          <w:tcPr>
            <w:tcW w:type="dxa" w:w="2608"/>
            <w:vAlign w:val="center"/>
          </w:tcPr>
          <w:p>
            <w:r/>
            <w:r>
              <w:rPr>
                <w:sz w:val="17"/>
              </w:rPr>
              <w:t>PM workload is the highest of any role for Sprint 2 (24 planned hours) and PM owns the entire AI-service critical path (Stages 1–5, 9, 12 above).</w:t>
            </w:r>
          </w:p>
        </w:tc>
        <w:tc>
          <w:tcPr>
            <w:tcW w:type="dxa" w:w="1701"/>
            <w:vAlign w:val="center"/>
          </w:tcPr>
          <w:p>
            <w:r/>
            <w:r>
              <w:rPr>
                <w:sz w:val="17"/>
              </w:rPr>
              <w:t>Single point of failure on the demo-critical AI pipeline</w:t>
            </w:r>
          </w:p>
        </w:tc>
        <w:tc>
          <w:tcPr>
            <w:tcW w:type="dxa" w:w="2608"/>
            <w:vAlign w:val="center"/>
          </w:tcPr>
          <w:p>
            <w:r/>
            <w:r>
              <w:rPr>
                <w:sz w:val="17"/>
              </w:rPr>
              <w:t>Continue the acting-dev support pattern used in Sprint 1 (peer review of PM-owned technical cards); escalate early if benchmarking or integration overruns</w:t>
            </w:r>
          </w:p>
        </w:tc>
        <w:tc>
          <w:tcPr>
            <w:tcW w:type="dxa" w:w="1474"/>
            <w:vAlign w:val="center"/>
          </w:tcPr>
          <w:p>
            <w:r/>
            <w:r>
              <w:rPr>
                <w:sz w:val="17"/>
              </w:rPr>
              <w:t>Ali Sina Sharifi</w:t>
            </w:r>
          </w:p>
        </w:tc>
        <w:tc>
          <w:tcPr>
            <w:tcW w:type="dxa" w:w="1417"/>
            <w:vAlign w:val="center"/>
          </w:tcPr>
          <w:p>
            <w:r/>
            <w:r>
              <w:rPr>
                <w:sz w:val="17"/>
              </w:rPr>
              <w:t>End of each sprint week</w:t>
            </w:r>
          </w:p>
        </w:tc>
      </w:tr>
      <w:tr>
        <w:tc>
          <w:tcPr>
            <w:tcW w:type="dxa" w:w="624"/>
            <w:vAlign w:val="center"/>
          </w:tcPr>
          <w:p>
            <w:r/>
            <w:r>
              <w:rPr>
                <w:sz w:val="17"/>
              </w:rPr>
              <w:t>R-05</w:t>
            </w:r>
          </w:p>
        </w:tc>
        <w:tc>
          <w:tcPr>
            <w:tcW w:type="dxa" w:w="2608"/>
            <w:vAlign w:val="center"/>
          </w:tcPr>
          <w:p>
            <w:r/>
            <w:r>
              <w:rPr>
                <w:sz w:val="17"/>
              </w:rPr>
              <w:t>Access requests to external repositories (e.g. rmit-computing-technologies) went unanswered in Sprint 1 and were closed by an in-person VXLab visit instead.</w:t>
            </w:r>
          </w:p>
        </w:tc>
        <w:tc>
          <w:tcPr>
            <w:tcW w:type="dxa" w:w="1701"/>
            <w:vAlign w:val="center"/>
          </w:tcPr>
          <w:p>
            <w:r/>
            <w:r>
              <w:rPr>
                <w:sz w:val="17"/>
              </w:rPr>
              <w:t>Any new Sprint 2 access request could stall for a week or more</w:t>
            </w:r>
          </w:p>
        </w:tc>
        <w:tc>
          <w:tcPr>
            <w:tcW w:type="dxa" w:w="2608"/>
            <w:vAlign w:val="center"/>
          </w:tcPr>
          <w:p>
            <w:r/>
            <w:r>
              <w:rPr>
                <w:sz w:val="17"/>
              </w:rPr>
              <w:t>Default to booking a VXLab visit rather than raising a new access request, per the Sprint 1 fallback outcome</w:t>
            </w:r>
          </w:p>
        </w:tc>
        <w:tc>
          <w:tcPr>
            <w:tcW w:type="dxa" w:w="1474"/>
            <w:vAlign w:val="center"/>
          </w:tcPr>
          <w:p>
            <w:r/>
            <w:r>
              <w:rPr>
                <w:sz w:val="17"/>
              </w:rPr>
              <w:t>Lilandavaradan Arunkumar / Dinesh Premanath</w:t>
            </w:r>
          </w:p>
        </w:tc>
        <w:tc>
          <w:tcPr>
            <w:tcW w:type="dxa" w:w="1417"/>
            <w:vAlign w:val="center"/>
          </w:tcPr>
          <w:p>
            <w:r/>
            <w:r>
              <w:rPr>
                <w:sz w:val="17"/>
              </w:rPr>
              <w:t>As access needs arise</w:t>
            </w:r>
          </w:p>
        </w:tc>
      </w:tr>
      <w:tr>
        <w:tc>
          <w:tcPr>
            <w:tcW w:type="dxa" w:w="624"/>
            <w:vAlign w:val="center"/>
          </w:tcPr>
          <w:p>
            <w:r/>
            <w:r>
              <w:rPr>
                <w:sz w:val="17"/>
              </w:rPr>
              <w:t>R-06</w:t>
            </w:r>
          </w:p>
        </w:tc>
        <w:tc>
          <w:tcPr>
            <w:tcW w:type="dxa" w:w="2608"/>
            <w:vAlign w:val="center"/>
          </w:tcPr>
          <w:p>
            <w:r/>
            <w:r>
              <w:rPr>
                <w:sz w:val="17"/>
              </w:rPr>
              <w:t>Hardware-in-the-loop verification of Sprint 1 functionality was not independently reproduced by Dev 2 (blocked by the Unity-version mismatch on his machine).</w:t>
            </w:r>
          </w:p>
        </w:tc>
        <w:tc>
          <w:tcPr>
            <w:tcW w:type="dxa" w:w="1701"/>
            <w:vAlign w:val="center"/>
          </w:tcPr>
          <w:p>
            <w:r/>
            <w:r>
              <w:rPr>
                <w:sz w:val="17"/>
              </w:rPr>
              <w:t>Sprint 2 features could be built on an unverified Sprint 1 baseline</w:t>
            </w:r>
          </w:p>
        </w:tc>
        <w:tc>
          <w:tcPr>
            <w:tcW w:type="dxa" w:w="2608"/>
            <w:vAlign w:val="center"/>
          </w:tcPr>
          <w:p>
            <w:r/>
            <w:r>
              <w:rPr>
                <w:sz w:val="17"/>
              </w:rPr>
              <w:t>Re-verify the avatar/audio/lip-sync baseline on the physical Looking Glass at the start of Sprint 2 hardware work (Windows build reproduction card)</w:t>
            </w:r>
          </w:p>
        </w:tc>
        <w:tc>
          <w:tcPr>
            <w:tcW w:type="dxa" w:w="1474"/>
            <w:vAlign w:val="center"/>
          </w:tcPr>
          <w:p>
            <w:r/>
            <w:r>
              <w:rPr>
                <w:sz w:val="17"/>
              </w:rPr>
              <w:t>Dinesh Premanath</w:t>
            </w:r>
          </w:p>
        </w:tc>
        <w:tc>
          <w:tcPr>
            <w:tcW w:type="dxa" w:w="1417"/>
            <w:vAlign w:val="center"/>
          </w:tcPr>
          <w:p>
            <w:r/>
            <w:r>
              <w:rPr>
                <w:sz w:val="17"/>
              </w:rPr>
              <w:t>Windows build reproduction card</w:t>
            </w:r>
          </w:p>
        </w:tc>
      </w:tr>
    </w:tbl>
    <w:p>
      <w:pPr>
        <w:spacing w:after="80"/>
      </w:pPr>
    </w:p>
    <w:p>
      <w:pPr>
        <w:spacing w:before="320" w:after="120"/>
        <w:pBdr>
          <w:bottom w:val="single" w:sz="6" w:space="4" w:color="1B2A4A"/>
        </w:pBdr>
      </w:pPr>
      <w:r>
        <w:rPr>
          <w:b/>
          <w:color w:val="1B2A4A"/>
          <w:sz w:val="30"/>
        </w:rPr>
        <w:t>10. Evidence and Approval Status</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2551"/>
            <w:shd w:val="clear" w:color="auto" w:fill="1B2A4A"/>
            <w:vAlign w:val="center"/>
          </w:tcPr>
          <w:p>
            <w:r/>
            <w:r>
              <w:rPr>
                <w:b/>
                <w:color w:val="FFFFFF"/>
                <w:sz w:val="19"/>
              </w:rPr>
              <w:t>Governance deliverable</w:t>
            </w:r>
          </w:p>
        </w:tc>
        <w:tc>
          <w:tcPr>
            <w:tcW w:type="dxa" w:w="2835"/>
            <w:shd w:val="clear" w:color="auto" w:fill="1B2A4A"/>
            <w:vAlign w:val="center"/>
          </w:tcPr>
          <w:p>
            <w:r/>
            <w:r>
              <w:rPr>
                <w:b/>
                <w:color w:val="FFFFFF"/>
                <w:sz w:val="19"/>
              </w:rPr>
              <w:t>Status</w:t>
            </w:r>
          </w:p>
        </w:tc>
        <w:tc>
          <w:tcPr>
            <w:tcW w:type="dxa" w:w="3969"/>
            <w:shd w:val="clear" w:color="auto" w:fill="1B2A4A"/>
            <w:vAlign w:val="center"/>
          </w:tcPr>
          <w:p>
            <w:r/>
            <w:r>
              <w:rPr>
                <w:b/>
                <w:color w:val="FFFFFF"/>
                <w:sz w:val="19"/>
              </w:rPr>
              <w:t>Evidence</w:t>
            </w:r>
          </w:p>
        </w:tc>
      </w:tr>
      <w:tr>
        <w:tc>
          <w:tcPr>
            <w:tcW w:type="dxa" w:w="2551"/>
            <w:vAlign w:val="center"/>
          </w:tcPr>
          <w:p>
            <w:r/>
            <w:r>
              <w:rPr>
                <w:sz w:val="19"/>
              </w:rPr>
              <w:t>Decision log</w:t>
            </w:r>
          </w:p>
        </w:tc>
        <w:tc>
          <w:tcPr>
            <w:tcW w:type="dxa" w:w="2835"/>
            <w:vAlign w:val="center"/>
          </w:tcPr>
          <w:p>
            <w:r/>
            <w:r>
              <w:rPr>
                <w:sz w:val="19"/>
              </w:rPr>
              <w:t>Drafted</w:t>
            </w:r>
          </w:p>
        </w:tc>
        <w:tc>
          <w:tcPr>
            <w:tcW w:type="dxa" w:w="3969"/>
            <w:vAlign w:val="center"/>
          </w:tcPr>
          <w:p>
            <w:r/>
            <w:r>
              <w:rPr>
                <w:sz w:val="19"/>
              </w:rPr>
              <w:t>Section 3 of this pack; source Planner cards as cited</w:t>
            </w:r>
          </w:p>
        </w:tc>
      </w:tr>
      <w:tr>
        <w:tc>
          <w:tcPr>
            <w:tcW w:type="dxa" w:w="2551"/>
            <w:vAlign w:val="center"/>
          </w:tcPr>
          <w:p>
            <w:r/>
            <w:r>
              <w:rPr>
                <w:sz w:val="19"/>
              </w:rPr>
              <w:t>Sprint 2 goal</w:t>
            </w:r>
          </w:p>
        </w:tc>
        <w:tc>
          <w:tcPr>
            <w:tcW w:type="dxa" w:w="2835"/>
            <w:vAlign w:val="center"/>
          </w:tcPr>
          <w:p>
            <w:r/>
            <w:r>
              <w:rPr>
                <w:sz w:val="19"/>
              </w:rPr>
              <w:t>Drafted, no factual correction required</w:t>
            </w:r>
          </w:p>
        </w:tc>
        <w:tc>
          <w:tcPr>
            <w:tcW w:type="dxa" w:w="3969"/>
            <w:vAlign w:val="center"/>
          </w:tcPr>
          <w:p>
            <w:r/>
            <w:r>
              <w:rPr>
                <w:sz w:val="19"/>
              </w:rPr>
              <w:t>Section 4 of this pack</w:t>
            </w:r>
          </w:p>
        </w:tc>
      </w:tr>
      <w:tr>
        <w:tc>
          <w:tcPr>
            <w:tcW w:type="dxa" w:w="2551"/>
            <w:vAlign w:val="center"/>
          </w:tcPr>
          <w:p>
            <w:r/>
            <w:r>
              <w:rPr>
                <w:sz w:val="19"/>
              </w:rPr>
              <w:t>Scope boundary</w:t>
            </w:r>
          </w:p>
        </w:tc>
        <w:tc>
          <w:tcPr>
            <w:tcW w:type="dxa" w:w="2835"/>
            <w:vAlign w:val="center"/>
          </w:tcPr>
          <w:p>
            <w:r/>
            <w:r>
              <w:rPr>
                <w:sz w:val="19"/>
              </w:rPr>
              <w:t>Drafted</w:t>
            </w:r>
          </w:p>
        </w:tc>
        <w:tc>
          <w:tcPr>
            <w:tcW w:type="dxa" w:w="3969"/>
            <w:vAlign w:val="center"/>
          </w:tcPr>
          <w:p>
            <w:r/>
            <w:r>
              <w:rPr>
                <w:sz w:val="19"/>
              </w:rPr>
              <w:t>Section 5 of this pack</w:t>
            </w:r>
          </w:p>
        </w:tc>
      </w:tr>
      <w:tr>
        <w:tc>
          <w:tcPr>
            <w:tcW w:type="dxa" w:w="2551"/>
            <w:vAlign w:val="center"/>
          </w:tcPr>
          <w:p>
            <w:r/>
            <w:r>
              <w:rPr>
                <w:sz w:val="19"/>
              </w:rPr>
              <w:t>Owner map</w:t>
            </w:r>
          </w:p>
        </w:tc>
        <w:tc>
          <w:tcPr>
            <w:tcW w:type="dxa" w:w="2835"/>
            <w:vAlign w:val="center"/>
          </w:tcPr>
          <w:p>
            <w:r/>
            <w:r>
              <w:rPr>
                <w:sz w:val="19"/>
              </w:rPr>
              <w:t>Drafted</w:t>
            </w:r>
          </w:p>
        </w:tc>
        <w:tc>
          <w:tcPr>
            <w:tcW w:type="dxa" w:w="3969"/>
            <w:vAlign w:val="center"/>
          </w:tcPr>
          <w:p>
            <w:r/>
            <w:r>
              <w:rPr>
                <w:sz w:val="19"/>
              </w:rPr>
              <w:t>Section 7 of this pack</w:t>
            </w:r>
          </w:p>
        </w:tc>
      </w:tr>
    </w:tbl>
    <w:p>
      <w:pPr>
        <w:spacing w:after="80"/>
      </w:pPr>
    </w:p>
    <w:p>
      <w:pPr>
        <w:spacing w:after="120"/>
      </w:pPr>
      <w:r>
        <w:rPr>
          <w:b w:val="0"/>
          <w:i w:val="0"/>
          <w:sz w:val="21"/>
        </w:rPr>
        <w:t>This pack is a PM draft. Team-wide review and approval is tracked separately on Planner card “[Sprint 2: Sprint Goal] Review and approve all Sprint 2 acceptance criteria” (due 14 Sept 2026, Anuji Peiris). Client confirmation of the final use case (CO-01) remains outstanding and is not represented as approved anywhere in this pack.</w:t>
      </w:r>
    </w:p>
    <w:p>
      <w:pPr>
        <w:spacing w:after="120"/>
      </w:pPr>
      <w:r>
        <w:rPr>
          <w:b/>
          <w:i/>
          <w:color w:val="C8102E"/>
          <w:sz w:val="21"/>
        </w:rPr>
        <w:t>[PM INPUT REQUIRED: confirmed date of the next client meeting at which Use Cases 2 and 3 will be compared and a final decision requested]</w:t>
      </w:r>
    </w:p>
    <w:p>
      <w:pPr>
        <w:spacing w:after="120"/>
      </w:pPr>
      <w:r>
        <w:rPr>
          <w:b/>
          <w:i/>
          <w:color w:val="C8102E"/>
          <w:sz w:val="21"/>
        </w:rPr>
        <w:t>[PM INPUT REQUIRED: repository / document link for the Planner completion comment (see Master-Document-Sprint1-Closure.docx)]</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777"/>
        <w:sz w:val="16"/>
      </w:rPr>
      <w:t>Team 11 — AI Hologram and Digital Presence  |  Sprint 2 Governance Pack v1.0  |  13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