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TS033 -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TC012_Application for New Service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Request for a Service tile</w:t>
            </w:r>
          </w:p>
        </w:tc>
      </w:tr>
      <w:tr>
        <w:tc>
          <w:tcPr>
            <w:tcW w:type="dxa" w:w="8640"/>
          </w:tcPr>
          <w:p>
            <w:r>
              <w:t>Start a Service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Populate all required fields in Contact Information tab 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Notification indicator</w:t>
              <w:br/>
              <w:t>AMC indicator</w:t>
              <w:br/>
              <w:t>Paperless Billing indicator</w:t>
              <w:br/>
              <w:t>APA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