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60"/>
      </w:pPr>
      <w:r>
        <w:rPr>
          <w:rFonts w:ascii="Arial" w:hAnsi="Arial" w:eastAsia="Microsoft YaHei"/>
          <w:b/>
          <w:color w:val="2E74B5"/>
          <w:sz w:val="20"/>
        </w:rPr>
        <w:t>架构设计讨论稿 · v0.1</w:t>
      </w:r>
    </w:p>
    <w:p>
      <w:pPr>
        <w:keepNext/>
        <w:spacing w:before="0" w:after="100"/>
      </w:pPr>
      <w:r>
        <w:rPr>
          <w:rFonts w:ascii="Arial" w:hAnsi="Arial" w:eastAsia="Microsoft YaHei"/>
          <w:b/>
          <w:color w:val="202A35"/>
          <w:sz w:val="48"/>
        </w:rPr>
        <w:t>CDU机理仿真、RTO与优化策略库</w:t>
      </w:r>
    </w:p>
    <w:p>
      <w:pPr>
        <w:spacing w:before="0" w:after="320"/>
      </w:pPr>
      <w:r>
        <w:rPr>
          <w:rFonts w:ascii="Arial" w:hAnsi="Arial" w:eastAsia="Microsoft YaHei"/>
          <w:color w:val="5F6B76"/>
          <w:sz w:val="28"/>
        </w:rPr>
        <w:t>解耦关系、数据合同与分阶段实施思路</w:t>
      </w:r>
    </w:p>
    <w:p>
      <w:pPr>
        <w:spacing w:before="0" w:after="40"/>
      </w:pPr>
      <w:r>
        <w:rPr>
          <w:rFonts w:ascii="Arial" w:hAnsi="Arial" w:eastAsia="Microsoft YaHei"/>
          <w:b/>
          <w:color w:val="1F4D78"/>
          <w:sz w:val="21"/>
        </w:rPr>
        <w:t>文档状态：</w:t>
      </w:r>
      <w:r>
        <w:rPr>
          <w:rFonts w:ascii="Arial" w:hAnsi="Arial" w:eastAsia="Microsoft YaHei"/>
          <w:color w:val="202A35"/>
          <w:sz w:val="21"/>
        </w:rPr>
        <w:t>讨论稿，供后续逐项确认，不作为代码实施授权</w:t>
      </w:r>
    </w:p>
    <w:p>
      <w:pPr>
        <w:spacing w:before="0" w:after="40"/>
      </w:pPr>
      <w:r>
        <w:rPr>
          <w:rFonts w:ascii="Arial" w:hAnsi="Arial" w:eastAsia="Microsoft YaHei"/>
          <w:b/>
          <w:color w:val="1F4D78"/>
          <w:sz w:val="21"/>
        </w:rPr>
        <w:t>当前基础：</w:t>
      </w:r>
      <w:r>
        <w:rPr>
          <w:rFonts w:ascii="Arial" w:hAnsi="Arial" w:eastAsia="Microsoft YaHei"/>
          <w:color w:val="202A35"/>
          <w:sz w:val="21"/>
        </w:rPr>
        <w:t>CDU Mini Loop M0～M7、M7.1、M7.2已完成</w:t>
      </w:r>
    </w:p>
    <w:p>
      <w:pPr>
        <w:spacing w:before="0" w:after="40"/>
      </w:pPr>
      <w:r>
        <w:rPr>
          <w:rFonts w:ascii="Arial" w:hAnsi="Arial" w:eastAsia="Microsoft YaHei"/>
          <w:b/>
          <w:color w:val="1F4D78"/>
          <w:sz w:val="21"/>
        </w:rPr>
        <w:t>本轮范围：</w:t>
      </w:r>
      <w:r>
        <w:rPr>
          <w:rFonts w:ascii="Arial" w:hAnsi="Arial" w:eastAsia="Microsoft YaHei"/>
          <w:color w:val="202A35"/>
          <w:sz w:val="21"/>
        </w:rPr>
        <w:t>机理模型 + 外部RTO + 优化策略库</w:t>
      </w:r>
    </w:p>
    <w:p>
      <w:pPr>
        <w:spacing w:before="0" w:after="40"/>
      </w:pPr>
      <w:r>
        <w:rPr>
          <w:rFonts w:ascii="Arial" w:hAnsi="Arial" w:eastAsia="Microsoft YaHei"/>
          <w:b/>
          <w:color w:val="1F4D78"/>
          <w:sz w:val="21"/>
        </w:rPr>
        <w:t>明确不含：</w:t>
      </w:r>
      <w:r>
        <w:rPr>
          <w:rFonts w:ascii="Arial" w:hAnsi="Arial" w:eastAsia="Microsoft YaHei"/>
          <w:color w:val="202A35"/>
          <w:sz w:val="21"/>
        </w:rPr>
        <w:t>代理模型、智能体实现、在线部署及现场接口</w:t>
      </w:r>
    </w:p>
    <w:p>
      <w:pPr>
        <w:spacing w:before="0" w:after="40"/>
      </w:pPr>
      <w:r>
        <w:rPr>
          <w:rFonts w:ascii="Arial" w:hAnsi="Arial" w:eastAsia="Microsoft YaHei"/>
          <w:b/>
          <w:color w:val="1F4D78"/>
          <w:sz w:val="21"/>
        </w:rPr>
        <w:t>日期：</w:t>
      </w:r>
      <w:r>
        <w:rPr>
          <w:rFonts w:ascii="Arial" w:hAnsi="Arial" w:eastAsia="Microsoft YaHei"/>
          <w:color w:val="202A35"/>
          <w:sz w:val="21"/>
        </w:rPr>
        <w:t>2026-08-18</w:t>
      </w:r>
    </w:p>
    <w:p>
      <w:pPr>
        <w:spacing w:before="160" w:after="200"/>
        <w:pBdr>
          <w:bottom w:val="single" w:sz="12" w:space="1" w:color="2E74B5"/>
        </w:pBdr>
      </w:pPr>
    </w:p>
    <w:p>
      <w:pPr>
        <w:spacing w:before="120" w:after="200" w:line="264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Arial" w:hAnsi="Arial" w:eastAsia="Microsoft YaHei"/>
          <w:b/>
          <w:color w:val="1F4D78"/>
          <w:sz w:val="22"/>
        </w:rPr>
        <w:t xml:space="preserve">核心结论  </w:t>
      </w:r>
      <w:r>
        <w:rPr>
          <w:rFonts w:ascii="Arial" w:hAnsi="Arial" w:eastAsia="Microsoft YaHei"/>
          <w:color w:val="202A35"/>
          <w:sz w:val="22"/>
        </w:rPr>
        <w:t>现有CDU模型已经可以作为候选策略的确定性评价发动机；RTO应在模型外部负责生成候选数值方案；策略库保存经过评价、筛选和审核的版本化策略成品。三者通过中立数据合同衔接，任何一方都不依赖另一方的内部代码。</w:t>
      </w:r>
    </w:p>
    <w:p>
      <w:pPr>
        <w:pStyle w:val="Heading1"/>
      </w:pPr>
      <w:r>
        <w:t>1. 文档目的与讨论边界</w:t>
      </w:r>
    </w:p>
    <w:p>
      <w:r>
        <w:rPr>
          <w:rFonts w:ascii="Arial" w:hAnsi="Arial" w:eastAsia="Microsoft YaHei"/>
        </w:rPr>
        <w:t>本文用于承接已完成的CDU Mini Loop初步机理模型，讨论下一阶段外部RTO、机理仿真模型和优化策略库三者的定位、接口和实施顺序。本文首先解决架构和合同问题，不直接实现RTO算法、策略库服务或智能体。</w:t>
      </w:r>
    </w:p>
    <w:p>
      <w:r>
        <w:rPr>
          <w:rFonts w:ascii="Arial" w:hAnsi="Arial" w:eastAsia="Microsoft YaHei"/>
        </w:rPr>
        <w:t>本轮形成以下共识：</w:t>
      </w:r>
    </w:p>
    <w:p>
      <w:pPr>
        <w:pStyle w:val="ListBullet"/>
      </w:pPr>
      <w:r>
        <w:rPr>
          <w:rFonts w:ascii="Arial" w:hAnsi="Arial" w:eastAsia="Microsoft YaHei"/>
        </w:rPr>
        <w:t>暂不考虑代理模型，以现有机理模型作为唯一过程评价基础。</w:t>
      </w:r>
    </w:p>
    <w:p>
      <w:pPr>
        <w:pStyle w:val="ListBullet"/>
      </w:pPr>
      <w:r>
        <w:rPr>
          <w:rFonts w:ascii="Arial" w:hAnsi="Arial" w:eastAsia="Microsoft YaHei"/>
        </w:rPr>
        <w:t>RTO部署在仿真模型外部，不写入机理模型包。</w:t>
      </w:r>
    </w:p>
    <w:p>
      <w:pPr>
        <w:pStyle w:val="ListBullet"/>
      </w:pPr>
      <w:r>
        <w:rPr>
          <w:rFonts w:ascii="Arial" w:hAnsi="Arial" w:eastAsia="Microsoft YaHei"/>
        </w:rPr>
        <w:t>仿真模型接收明确的候选动作或目标，返回可复核的过程评价证据。</w:t>
      </w:r>
    </w:p>
    <w:p>
      <w:pPr>
        <w:pStyle w:val="ListBullet"/>
      </w:pPr>
      <w:r>
        <w:rPr>
          <w:rFonts w:ascii="Arial" w:hAnsi="Arial" w:eastAsia="Microsoft YaHei"/>
        </w:rPr>
        <w:t>策略库不保存未经验证的RTO原始输出，也不等同于仿真样本数据库。</w:t>
      </w:r>
    </w:p>
    <w:p>
      <w:pPr>
        <w:pStyle w:val="ListBullet"/>
      </w:pPr>
      <w:r>
        <w:rPr>
          <w:rFonts w:ascii="Arial" w:hAnsi="Arial" w:eastAsia="Microsoft YaHei"/>
        </w:rPr>
        <w:t>当前目标是先完成一个最小、闭合、可验证的策略生产案例，再逐步扩展。</w:t>
      </w:r>
    </w:p>
    <w:p>
      <w:pPr>
        <w:pStyle w:val="Heading1"/>
      </w:pPr>
      <w:r>
        <w:t>2. 建设方案对三模块关系的约束</w:t>
      </w:r>
    </w:p>
    <w:p>
      <w:r>
        <w:rPr>
          <w:rFonts w:ascii="Arial" w:hAnsi="Arial" w:eastAsia="Microsoft YaHei"/>
        </w:rPr>
        <w:t>《1322建设方案0802》将策略库、运行优化垂域模型和运行优化智能体列为三项一级交付物；机理模型、数值优化工具和独立校验组件属于专业计算与校验支撑。具体设定值、调整量和目标轨迹由优化算法或专业工具计算，策略库负责知识组织，智能体负责任务编排。</w:t>
      </w:r>
    </w:p>
    <w:p>
      <w:r>
        <w:rPr>
          <w:rFonts w:ascii="Arial" w:hAnsi="Arial" w:eastAsia="Microsoft YaHei"/>
        </w:rPr>
        <w:t>因此，本讨论稿把RTO定位为可独立替换的专业数值工具，而不是第四项知识资产交付物，也不把RTO能力合并进语言模型或机理模型。</w:t>
      </w:r>
    </w:p>
    <w:p>
      <w:pPr>
        <w:spacing w:before="120" w:after="200" w:line="264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Arial" w:hAnsi="Arial" w:eastAsia="Microsoft YaHei"/>
          <w:b/>
          <w:color w:val="1F4D78"/>
          <w:sz w:val="22"/>
        </w:rPr>
        <w:t xml:space="preserve">术语约定  </w:t>
      </w:r>
      <w:r>
        <w:rPr>
          <w:rFonts w:ascii="Arial" w:hAnsi="Arial" w:eastAsia="Microsoft YaHei"/>
          <w:color w:val="202A35"/>
          <w:sz w:val="22"/>
        </w:rPr>
        <w:t>本文中的“机理模型”专指当前CDU物理仿真；“RTO”专指外部运行优化求解器；“策略库”专指经发布的结构化知识资产。它们与建设方案中的“运行优化垂域模型”不是同一个概念。</w:t>
      </w:r>
    </w:p>
    <w:p>
      <w:pPr>
        <w:pStyle w:val="Heading1"/>
      </w:pPr>
      <w:r>
        <w:t>3. 当前机理模型能力基线</w:t>
      </w:r>
    </w:p>
    <w:p>
      <w:r>
        <w:rPr>
          <w:rFonts w:ascii="Arial" w:hAnsi="Arial" w:eastAsia="Microsoft YaHei"/>
        </w:rPr>
        <w:t>当前模型已经完成从稳态物理闭合到动态、PI闭环、案例校正、验证和可复现封装的初步链条。它的合理定位是“给定工况与动作，计算结果并形成证据”，而不是主动搜索最优动作。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3800"/>
        <w:gridCol w:w="4360"/>
      </w:tblGrid>
      <w:tr>
        <w:trPr>
          <w:tblHeader w:val="true"/>
        </w:trPr>
        <w:tc>
          <w:tcPr>
            <w:tcW w:type="dxa" w:w="12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38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当前能力</w:t>
            </w:r>
          </w:p>
        </w:tc>
        <w:tc>
          <w:tcPr>
            <w:tcW w:type="dxa" w:w="436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对策略生产的价值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M2 稳态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回流与三路循环取热闭合；五产品、能量和守恒输出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快速筛选大量候选稳态点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M3 动态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54维状态、11个执行命令、事件和动态守恒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检查动作轨迹与过程响应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M4 闭环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七路PI、设定值事件、库存/温压/饱和/稳定指标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验证上层目标在基础控制下能否平稳实现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M5 基准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单案例数据协调与两个切割参数校正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提供当前版本的有效计算基准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M6 验证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场景、适用域、不确定度和模型内保护证据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提供候选筛选和失败标签的基础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M7 封装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受控输入、批运行、结果摘要、manifest、版本和指纹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形成独立评价服务边界与可追溯证据</w:t>
            </w:r>
          </w:p>
        </w:tc>
      </w:tr>
    </w:tbl>
    <w:p>
      <w:pPr>
        <w:spacing w:before="80" w:after="80"/>
      </w:pPr>
    </w:p>
    <w:p>
      <w:r>
        <w:rPr>
          <w:rFonts w:ascii="Arial" w:hAnsi="Arial" w:eastAsia="Microsoft YaHei"/>
        </w:rPr>
        <w:t>当前能力可以立即支持：</w:t>
      </w:r>
    </w:p>
    <w:p>
      <w:pPr>
        <w:pStyle w:val="ListBullet"/>
      </w:pPr>
      <w:r>
        <w:rPr>
          <w:rFonts w:ascii="Arial" w:hAnsi="Arial" w:eastAsia="Microsoft YaHei"/>
        </w:rPr>
        <w:t>按照给定场景批量计算“状态—动作—响应”样本。</w:t>
      </w:r>
    </w:p>
    <w:p>
      <w:pPr>
        <w:pStyle w:val="ListBullet"/>
      </w:pPr>
      <w:r>
        <w:rPr>
          <w:rFonts w:ascii="Arial" w:hAnsi="Arial" w:eastAsia="Microsoft YaHei"/>
        </w:rPr>
        <w:t>对外部RTO给出的候选点执行基准—候选配对评价。</w:t>
      </w:r>
    </w:p>
    <w:p>
      <w:pPr>
        <w:pStyle w:val="ListBullet"/>
      </w:pPr>
      <w:r>
        <w:rPr>
          <w:rFonts w:ascii="Arial" w:hAnsi="Arial" w:eastAsia="Microsoft YaHei"/>
        </w:rPr>
        <w:t>先用M2快速筛选，再用M4对少量候选做闭环动态复核。</w:t>
      </w:r>
    </w:p>
    <w:p>
      <w:pPr>
        <w:pStyle w:val="ListBullet"/>
      </w:pPr>
      <w:r>
        <w:rPr>
          <w:rFonts w:ascii="Arial" w:hAnsi="Arial" w:eastAsia="Microsoft YaHei"/>
        </w:rPr>
        <w:t>保存每次计算的输入、结果、失败原因、版本和证据指纹。</w:t>
      </w:r>
    </w:p>
    <w:p>
      <w:r>
        <w:rPr>
          <w:rFonts w:ascii="Arial" w:hAnsi="Arial" w:eastAsia="Microsoft YaHei"/>
        </w:rPr>
        <w:t>当前模型尚不负责：</w:t>
      </w:r>
    </w:p>
    <w:p>
      <w:pPr>
        <w:pStyle w:val="ListBullet"/>
      </w:pPr>
      <w:r>
        <w:rPr>
          <w:rFonts w:ascii="Arial" w:hAnsi="Arial" w:eastAsia="Microsoft YaHei"/>
        </w:rPr>
        <w:t>定义经济目标或多目标权重。</w:t>
      </w:r>
    </w:p>
    <w:p>
      <w:pPr>
        <w:pStyle w:val="ListBullet"/>
      </w:pPr>
      <w:r>
        <w:rPr>
          <w:rFonts w:ascii="Arial" w:hAnsi="Arial" w:eastAsia="Microsoft YaHei"/>
        </w:rPr>
        <w:t>在决策空间内搜索最优解。</w:t>
      </w:r>
    </w:p>
    <w:p>
      <w:pPr>
        <w:pStyle w:val="ListBullet"/>
      </w:pPr>
      <w:r>
        <w:rPr>
          <w:rFonts w:ascii="Arial" w:hAnsi="Arial" w:eastAsia="Microsoft YaHei"/>
        </w:rPr>
        <w:t>把一次RTO结果自动提升为可发布策略。</w:t>
      </w:r>
    </w:p>
    <w:p>
      <w:pPr>
        <w:pStyle w:val="ListBullet"/>
      </w:pPr>
      <w:r>
        <w:rPr>
          <w:rFonts w:ascii="Arial" w:hAnsi="Arial" w:eastAsia="Microsoft YaHei"/>
        </w:rPr>
        <w:t>根据自然语言问题检索、解释和组合策略。</w:t>
      </w:r>
    </w:p>
    <w:p>
      <w:pPr>
        <w:pStyle w:val="Heading1"/>
      </w:pPr>
      <w:r>
        <w:t>4. 三模块职责与禁止越界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2600"/>
        <w:gridCol w:w="2580"/>
        <w:gridCol w:w="2580"/>
      </w:tblGrid>
      <w:tr>
        <w:trPr>
          <w:tblHeader w:val="true"/>
        </w:trPr>
        <w:tc>
          <w:tcPr>
            <w:tcW w:type="dxa" w:w="16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负责</w:t>
            </w:r>
          </w:p>
        </w:tc>
        <w:tc>
          <w:tcPr>
            <w:tcW w:type="dxa" w:w="258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主要输入/输出</w:t>
            </w:r>
          </w:p>
        </w:tc>
        <w:tc>
          <w:tcPr>
            <w:tcW w:type="dxa" w:w="258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不负责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机理仿真模型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计算给定工况与动作下的稳态/动态响应，形成守恒、KPI和失败证据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输入：SimulationEvaluationRequest</w:t>
              <w:br/>
              <w:t>输出：SimulationRunBundle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不定义优化目标；不搜索最优点；不写策略库；不理解自然语言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外部RTO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依据目标、决策变量和约束，搜索一个或多个候选数值方案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输入：OptimizationProblem</w:t>
              <w:br/>
              <w:t>输出：CandidatePlan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不依赖仿真内部类；不自行发布策略；不把未评价结果声明为有效策略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优化策略库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保存适用条件、动作、预期效果、约束、停止/回退和证据索引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输入：经审核StrategyEntry</w:t>
              <w:br/>
              <w:t>输出：StrategyRecommendation</w:t>
            </w:r>
          </w:p>
        </w:tc>
        <w:tc>
          <w:tcPr>
            <w:tcW w:type="dxa" w:w="258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不执行仿真；不运行RTO；不承担候选消息队列；不存整条原始轨迹</w:t>
            </w:r>
          </w:p>
        </w:tc>
      </w:tr>
    </w:tbl>
    <w:p>
      <w:pPr>
        <w:spacing w:before="80" w:after="80"/>
      </w:pPr>
    </w:p>
    <w:p>
      <w:pPr>
        <w:spacing w:before="120" w:after="200" w:line="264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Arial" w:hAnsi="Arial" w:eastAsia="Microsoft YaHei"/>
          <w:b/>
          <w:color w:val="1F4D78"/>
          <w:sz w:val="22"/>
        </w:rPr>
        <w:t xml:space="preserve">边界原则  </w:t>
      </w:r>
      <w:r>
        <w:rPr>
          <w:rFonts w:ascii="Arial" w:hAnsi="Arial" w:eastAsia="Microsoft YaHei"/>
          <w:color w:val="202A35"/>
          <w:sz w:val="22"/>
        </w:rPr>
        <w:t>解耦不等于模块互不交换数据，而是任何模块都只依赖公开、版本化的中间产物。仿真模型不知道RTO和策略库的内部实现；RTO也不知道仿真模型的内部状态类。</w:t>
      </w:r>
    </w:p>
    <w:p>
      <w:pPr>
        <w:pStyle w:val="Heading1"/>
      </w:pPr>
      <w:r>
        <w:t>5. 推荐的离线策略生产链</w:t>
      </w:r>
    </w:p>
    <w:p>
      <w:pPr>
        <w:spacing w:before="120" w:after="200"/>
        <w:ind w:left="216" w:right="216"/>
        <w:shd w:fill="E8EEF5"/>
      </w:pPr>
      <w:r>
        <w:rPr>
          <w:rFonts w:ascii="Arial" w:hAnsi="Arial" w:eastAsia="Microsoft YaHei"/>
          <w:b/>
          <w:color w:val="1F4D78"/>
          <w:sz w:val="22"/>
        </w:rPr>
        <w:t>离线生产面</w:t>
        <w:br/>
      </w:r>
      <w:r>
        <w:rPr>
          <w:rFonts w:ascii="Consolas" w:hAnsi="Consolas" w:eastAsia="Microsoft YaHei"/>
          <w:color w:val="202A35"/>
          <w:sz w:val="20"/>
        </w:rPr>
        <w:t>工况/目标  →  OptimizationProblem  →  外部RTO  →  CandidatePlan</w:t>
        <w:br/>
      </w:r>
      <w:r>
        <w:rPr>
          <w:rFonts w:ascii="Consolas" w:hAnsi="Consolas" w:eastAsia="Microsoft YaHei"/>
          <w:color w:val="202A35"/>
          <w:sz w:val="20"/>
        </w:rPr>
        <w:t>CandidatePlan  →  适配/编译  →  SimulationEvaluationRequest</w:t>
        <w:br/>
      </w:r>
      <w:r>
        <w:rPr>
          <w:rFonts w:ascii="Consolas" w:hAnsi="Consolas" w:eastAsia="Microsoft YaHei"/>
          <w:color w:val="202A35"/>
          <w:sz w:val="20"/>
        </w:rPr>
        <w:t>SimulationEvaluationRequest  →  CDU M2/M3/M4  →  SimulationRunBundle</w:t>
        <w:br/>
      </w:r>
      <w:r>
        <w:rPr>
          <w:rFonts w:ascii="Consolas" w:hAnsi="Consolas" w:eastAsia="Microsoft YaHei"/>
          <w:color w:val="202A35"/>
          <w:sz w:val="20"/>
        </w:rPr>
        <w:t>SimulationRunBundle  →  KPI/约束评价  →  CandidateEvaluation</w:t>
        <w:br/>
      </w:r>
      <w:r>
        <w:rPr>
          <w:rFonts w:ascii="Consolas" w:hAnsi="Consolas" w:eastAsia="Microsoft YaHei"/>
          <w:color w:val="202A35"/>
          <w:sz w:val="20"/>
        </w:rPr>
        <w:t>CandidateEvaluation  →  筛选/去重/审核  →  StrategyEntry</w:t>
        <w:br/>
      </w:r>
      <w:r>
        <w:rPr>
          <w:rFonts w:ascii="Consolas" w:hAnsi="Consolas" w:eastAsia="Microsoft YaHei"/>
          <w:color w:val="202A35"/>
          <w:sz w:val="20"/>
        </w:rPr>
        <w:t>StrategyEntry  →  版本化发布  →  StrategyLibraryRelease</w:t>
      </w:r>
    </w:p>
    <w:p>
      <w:pPr>
        <w:pStyle w:val="ListNumber"/>
      </w:pPr>
      <w:r>
        <w:rPr>
          <w:rFonts w:ascii="Arial" w:hAnsi="Arial" w:eastAsia="Microsoft YaHei"/>
        </w:rPr>
        <w:t>场景构造器确定当前工况、优化任务、生产目标和不可操纵扰动。</w:t>
      </w:r>
    </w:p>
    <w:p>
      <w:pPr>
        <w:pStyle w:val="ListNumber"/>
      </w:pPr>
      <w:r>
        <w:rPr>
          <w:rFonts w:ascii="Arial" w:hAnsi="Arial" w:eastAsia="Microsoft YaHei"/>
        </w:rPr>
        <w:t>问题构造器生成包含决策变量、目标和约束的OptimizationProblem。</w:t>
      </w:r>
    </w:p>
    <w:p>
      <w:pPr>
        <w:pStyle w:val="ListNumber"/>
      </w:pPr>
      <w:r>
        <w:rPr>
          <w:rFonts w:ascii="Arial" w:hAnsi="Arial" w:eastAsia="Microsoft YaHei"/>
        </w:rPr>
        <w:t>RTO求解并输出一个或多个CandidatePlan，不直接写入仿真模型配置。</w:t>
      </w:r>
    </w:p>
    <w:p>
      <w:pPr>
        <w:pStyle w:val="ListNumber"/>
      </w:pPr>
      <w:r>
        <w:rPr>
          <w:rFonts w:ascii="Arial" w:hAnsi="Arial" w:eastAsia="Microsoft YaHei"/>
        </w:rPr>
        <w:t>适配器将候选计划编译成当前M7受控请求；每个候选都与同上下文基准运行配对。</w:t>
      </w:r>
    </w:p>
    <w:p>
      <w:pPr>
        <w:pStyle w:val="ListNumber"/>
      </w:pPr>
      <w:r>
        <w:rPr>
          <w:rFonts w:ascii="Arial" w:hAnsi="Arial" w:eastAsia="Microsoft YaHei"/>
        </w:rPr>
        <w:t>M2执行快速稳态筛选；通过初筛的少量候选再进入M4闭环动态复核。</w:t>
      </w:r>
    </w:p>
    <w:p>
      <w:pPr>
        <w:pStyle w:val="ListNumber"/>
      </w:pPr>
      <w:r>
        <w:rPr>
          <w:rFonts w:ascii="Arial" w:hAnsi="Arial" w:eastAsia="Microsoft YaHei"/>
        </w:rPr>
        <w:t>统一评价器计算基准—候选差值、约束裕度、动态性能和失败原因。</w:t>
      </w:r>
    </w:p>
    <w:p>
      <w:pPr>
        <w:pStyle w:val="ListNumber"/>
      </w:pPr>
      <w:r>
        <w:rPr>
          <w:rFonts w:ascii="Arial" w:hAnsi="Arial" w:eastAsia="Microsoft YaHei"/>
        </w:rPr>
        <w:t>策略构建器只把通过门禁的候选组装成策略草稿；审核后形成不可变策略库版本。</w:t>
      </w:r>
    </w:p>
    <w:p>
      <w:r>
        <w:rPr>
          <w:rFonts w:ascii="Arial" w:hAnsi="Arial" w:eastAsia="Microsoft YaHei"/>
        </w:rPr>
        <w:t>未收敛、违反硬约束或证据不完整的候选不删除，可进入独立CandidateArchive作为负知识，但不得进入可推荐策略集合。</w:t>
      </w:r>
    </w:p>
    <w:p>
      <w:pPr>
        <w:pStyle w:val="Heading1"/>
      </w:pPr>
      <w:r>
        <w:t>6. 中间产物与数据合同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50"/>
        <w:gridCol w:w="3750"/>
        <w:gridCol w:w="1760"/>
        <w:gridCol w:w="2000"/>
      </w:tblGrid>
      <w:tr>
        <w:trPr>
          <w:tblHeader w:val="true"/>
        </w:trPr>
        <w:tc>
          <w:tcPr>
            <w:tcW w:type="dxa" w:w="185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中间产物</w:t>
            </w:r>
          </w:p>
        </w:tc>
        <w:tc>
          <w:tcPr>
            <w:tcW w:type="dxa" w:w="375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关键内容</w:t>
            </w:r>
          </w:p>
        </w:tc>
        <w:tc>
          <w:tcPr>
            <w:tcW w:type="dxa" w:w="176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生产者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消费者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OperatingContext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原油、负荷、温压、库存、运行模式、扰动和数据版本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场景构造器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RTO/评价流水线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OptimizationProblem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目标、优先级、决策变量、上下界、硬软约束、时域和验收条件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问题构造器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RTO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CandidatePlan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候选目标值/调整量/分段轨迹、求解状态、算法与配置版本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RTO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仿真适配器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SimulationEvaluationRequest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基准与候选、模型版本、评价场景、重复和不确定度计划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仿真适配器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机理仿真模型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SimulationRunBundle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M7 request/result/timeseries/events/manifest与完整失败证据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机理仿真模型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统一评价器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CandidateEvaluation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可行性、目标分项、约束裕度、基准差值、动态与稳健证据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统一评价器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筛选/策略构建器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StrategyEntry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适用条件、触发、动作、预期效果、停止回退、证据和状态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策略构建器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策略库发布器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StrategyLibraryRelease</w:t>
            </w:r>
          </w:p>
        </w:tc>
        <w:tc>
          <w:tcPr>
            <w:tcW w:type="dxa" w:w="37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条目索引、变量目录、约束版本、文件哈希和发布清单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发布器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未来检索/智能体</w:t>
            </w:r>
          </w:p>
        </w:tc>
      </w:tr>
    </w:tbl>
    <w:p>
      <w:pPr>
        <w:spacing w:before="80" w:after="80"/>
      </w:pPr>
    </w:p>
    <w:p>
      <w:r>
        <w:rPr>
          <w:rFonts w:ascii="Arial" w:hAnsi="Arial" w:eastAsia="Microsoft YaHei"/>
        </w:rPr>
        <w:t>CandidatePlan是算法可替换性的关键合同。不同RTO算法只要输出相同合同，后续仿真、评价和发布流程即可保持不变。</w:t>
      </w:r>
    </w:p>
    <w:p>
      <w:pPr>
        <w:pStyle w:val="Heading1"/>
      </w:pPr>
      <w:r>
        <w:t>7. RTO输出到现有仿真模型的映射</w:t>
      </w:r>
    </w:p>
    <w:p>
      <w:r>
        <w:rPr>
          <w:rFonts w:ascii="Arial" w:hAnsi="Arial" w:eastAsia="Microsoft YaHei"/>
        </w:rPr>
        <w:t>第一阶段应新增DecisionVariableCatalog，明确每个可输入字段的业务角色、单位、边界、时间尺度和控制所有权。“模型允许输入”不等于“RTO允许决策”。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3500"/>
        <w:gridCol w:w="3460"/>
      </w:tblGrid>
      <w:tr>
        <w:trPr>
          <w:tblHeader w:val="true"/>
        </w:trPr>
        <w:tc>
          <w:tcPr>
            <w:tcW w:type="dxa" w:w="24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动作类型</w:t>
            </w:r>
          </w:p>
        </w:tc>
        <w:tc>
          <w:tcPr>
            <w:tcW w:type="dxa" w:w="35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当前映射</w:t>
            </w:r>
          </w:p>
        </w:tc>
        <w:tc>
          <w:tcPr>
            <w:tcW w:type="dxa" w:w="346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第一阶段用途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steady_setpoint_vector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映射到M2 parameters/受控operation字段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大量候选快速稳态筛选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closed_loop_setpoint_schedule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映射到M4七路设定值事件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验证RTO上层目标能否被基础控制平稳实现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open_loop_actuator_schedule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映射到M3的11个执行命令事件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机理响应研究；不与正常RTO设定值策略混用</w:t>
            </w:r>
          </w:p>
        </w:tc>
      </w:tr>
    </w:tbl>
    <w:p>
      <w:pPr>
        <w:spacing w:before="80" w:after="80"/>
      </w:pPr>
    </w:p>
    <w:p>
      <w:r>
        <w:rPr>
          <w:rFonts w:ascii="Arial" w:hAnsi="Arial" w:eastAsia="Microsoft YaHei"/>
        </w:rPr>
        <w:t>建议为输入目录增加以下角色标签：</w:t>
      </w:r>
    </w:p>
    <w:p>
      <w:pPr>
        <w:pStyle w:val="ListBullet"/>
      </w:pPr>
      <w:r>
        <w:rPr>
          <w:rFonts w:ascii="Arial" w:hAnsi="Arial" w:eastAsia="Microsoft YaHei"/>
        </w:rPr>
        <w:t>context：当前原油、环境、负荷和设备状态。</w:t>
      </w:r>
    </w:p>
    <w:p>
      <w:pPr>
        <w:pStyle w:val="ListBullet"/>
      </w:pPr>
      <w:r>
        <w:rPr>
          <w:rFonts w:ascii="Arial" w:hAnsi="Arial" w:eastAsia="Microsoft YaHei"/>
        </w:rPr>
        <w:t>disturbance：不可操纵但会影响结果的扰动。</w:t>
      </w:r>
    </w:p>
    <w:p>
      <w:pPr>
        <w:pStyle w:val="ListBullet"/>
      </w:pPr>
      <w:r>
        <w:rPr>
          <w:rFonts w:ascii="Arial" w:hAnsi="Arial" w:eastAsia="Microsoft YaHei"/>
        </w:rPr>
        <w:t>decision：RTO可以调整的高层目标或操作变量。</w:t>
      </w:r>
    </w:p>
    <w:p>
      <w:pPr>
        <w:pStyle w:val="ListBullet"/>
      </w:pPr>
      <w:r>
        <w:rPr>
          <w:rFonts w:ascii="Arial" w:hAnsi="Arial" w:eastAsia="Microsoft YaHei"/>
        </w:rPr>
        <w:t>controller_target：由RTO给出、由M4基础回路跟踪的设定值。</w:t>
      </w:r>
    </w:p>
    <w:p>
      <w:pPr>
        <w:pStyle w:val="ListBullet"/>
      </w:pPr>
      <w:r>
        <w:rPr>
          <w:rFonts w:ascii="Arial" w:hAnsi="Arial" w:eastAsia="Microsoft YaHei"/>
        </w:rPr>
        <w:t>model_parameter：只用于模型结构或校正，不得被RTO当作操作动作。</w:t>
      </w:r>
    </w:p>
    <w:p>
      <w:pPr>
        <w:pStyle w:val="ListBullet"/>
      </w:pPr>
      <w:r>
        <w:rPr>
          <w:rFonts w:ascii="Arial" w:hAnsi="Arial" w:eastAsia="Microsoft YaHei"/>
        </w:rPr>
        <w:t>initial_state：计算起点，不是正常操作决策。</w:t>
      </w:r>
    </w:p>
    <w:p>
      <w:pPr>
        <w:spacing w:before="120" w:after="200" w:line="264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Arial" w:hAnsi="Arial" w:eastAsia="Microsoft YaHei"/>
          <w:b/>
          <w:color w:val="1F4D78"/>
          <w:sz w:val="22"/>
        </w:rPr>
        <w:t xml:space="preserve">特别注意  </w:t>
      </w:r>
      <w:r>
        <w:rPr>
          <w:rFonts w:ascii="Arial" w:hAnsi="Arial" w:eastAsia="Microsoft YaHei"/>
          <w:color w:val="202A35"/>
          <w:sz w:val="22"/>
        </w:rPr>
        <w:t>当前两个塔切割温度主要是模型校正参数；动态时间常数和塔顶气体积也是模型参数。这些字段虽然能通过模型接口调整，但第一版RTO不得自动把它们当成操作变量。</w:t>
      </w:r>
    </w:p>
    <w:p>
      <w:pPr>
        <w:pStyle w:val="Heading1"/>
      </w:pPr>
      <w:r>
        <w:t>8. 优化策略库对象模型</w:t>
      </w:r>
    </w:p>
    <w:p>
      <w:r>
        <w:rPr>
          <w:rFonts w:ascii="Arial" w:hAnsi="Arial" w:eastAsia="Microsoft YaHei"/>
        </w:rPr>
        <w:t>策略库应保存“结构化建议 + 证据引用”，而不是把仿真轨迹或RTO求解日志直接当成策略。原始轨迹继续保存在M7运行证据库中，策略条目只引用其manifest和结果指纹。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字段组</w:t>
            </w:r>
          </w:p>
        </w:tc>
        <w:tc>
          <w:tcPr>
            <w:tcW w:type="dxa" w:w="43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建议字段</w:t>
            </w:r>
          </w:p>
        </w:tc>
        <w:tc>
          <w:tcPr>
            <w:tcW w:type="dxa" w:w="316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设计目的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身份与生命周期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strategy_id、revision、type、status、library_release、supersedes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支持草稿、评价、审核、发布、停用和版本回退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适用上下文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运行模式、原油/负荷区间、关键温压/库存区间、排除条件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明确在哪些工况可以检索和复用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触发条件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trigger_expression、持续时间、解除条件、必要数据质量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回答何时启动或不启动策略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动作计划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变量、绝对值/相对值、时间偏移、斜坡、保持期、操作顺序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给出机器可解析的候选动作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目标与约束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目标配置版本、目标分项、硬软约束、仿真最差值和裕度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分离优化偏好和仿真方程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预期效果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基准/候选KPI、差值、动态性能、库存极值和稳定时间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支持比较、排序和解释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停止与回退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停止条件、失败判断、回退策略、观察周期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形成完整策略生命周期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证据与来源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模型/RTO/KPI版本、manifest、评价指纹、审核记录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保证策略可重算和可追溯</w:t>
            </w:r>
          </w:p>
        </w:tc>
      </w:tr>
    </w:tbl>
    <w:p>
      <w:pPr>
        <w:spacing w:before="80" w:after="80"/>
      </w:pPr>
    </w:p>
    <w:p>
      <w:r>
        <w:rPr>
          <w:rFonts w:ascii="Arial" w:hAnsi="Arial" w:eastAsia="Microsoft YaHei"/>
        </w:rPr>
        <w:t>策略库物理上建议分三层：</w:t>
      </w:r>
    </w:p>
    <w:p>
      <w:pPr>
        <w:pStyle w:val="ListBullet"/>
      </w:pPr>
      <w:r>
        <w:rPr>
          <w:rFonts w:ascii="Arial" w:hAnsi="Arial" w:eastAsia="Microsoft YaHei"/>
        </w:rPr>
        <w:t>结构化索引：保存适用范围、动作、指标、约束和版本，用于硬条件过滤。</w:t>
      </w:r>
    </w:p>
    <w:p>
      <w:pPr>
        <w:pStyle w:val="ListBullet"/>
      </w:pPr>
      <w:r>
        <w:rPr>
          <w:rFonts w:ascii="Arial" w:hAnsi="Arial" w:eastAsia="Microsoft YaHei"/>
        </w:rPr>
        <w:t>证据对象库：保存M7运行目录、RTO结果、评价报告和manifest。</w:t>
      </w:r>
    </w:p>
    <w:p>
      <w:pPr>
        <w:pStyle w:val="ListBullet"/>
      </w:pPr>
      <w:r>
        <w:rPr>
          <w:rFonts w:ascii="Arial" w:hAnsi="Arial" w:eastAsia="Microsoft YaHei"/>
        </w:rPr>
        <w:t>可选文本索引：保存解释、依据和讨论材料；后续可用于语义检索，但不能替代结构化过滤。</w:t>
      </w:r>
    </w:p>
    <w:p>
      <w:pPr>
        <w:pStyle w:val="Heading1"/>
      </w:pPr>
      <w:r>
        <w:t>9. 基于当前CDU模型的最小示范案例</w:t>
      </w:r>
    </w:p>
    <w:p>
      <w:r>
        <w:rPr>
          <w:rFonts w:ascii="Arial" w:hAnsi="Arial" w:eastAsia="Microsoft YaHei"/>
        </w:rPr>
        <w:t>第一版不追求大量策略，建议只完成一个端到端闭环案例，用它验证三模块合同是否正确。推荐场景为“给定加工负荷与原油工况，寻找能耗—产品—稳定性折中目标”。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26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首版建议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OperatingContext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固定case_20260604有效基准；进料量和原油组成作为上下文/扰动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RTO决策变量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首批只从已确认的高层操作目标中选择2～4项，例如回流比、炉出口温度目标和循环取热目标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目标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满足加工量与产品方向性约束的前提下，降低单位进料燃料消耗并控制动作幅度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M2筛选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批量评价候选稳态点，拒绝不收敛、守恒失败或目标无改善候选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M4复核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把短名单候选转换为七路设定值计划，评价库存、温压、饱和和稳定时间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策略发布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只发布1条首选和少量备选；其余候选进入证据库或负知识档案</w:t>
            </w:r>
          </w:p>
        </w:tc>
      </w:tr>
    </w:tbl>
    <w:p>
      <w:pPr>
        <w:spacing w:before="80" w:after="80"/>
      </w:pPr>
    </w:p>
    <w:p>
      <w:r>
        <w:rPr>
          <w:rFonts w:ascii="Arial" w:hAnsi="Arial" w:eastAsia="Microsoft YaHei"/>
        </w:rPr>
        <w:t>该示范的验收重点不是得到所谓“最终最优值”，而是证明：相同OptimizationProblem能够由不同算法求解；CandidatePlan能够稳定编译进仿真；基准与候选评价口径一致；最终StrategyEntry能完整引用证据并被重新加载。</w:t>
      </w:r>
    </w:p>
    <w:p>
      <w:pPr>
        <w:pStyle w:val="Heading1"/>
      </w:pPr>
      <w:r>
        <w:t>10. 对现有机理模型的调整建议</w:t>
      </w:r>
    </w:p>
    <w:p>
      <w:pPr>
        <w:pStyle w:val="Heading2"/>
      </w:pPr>
      <w:r>
        <w:t>10.1 第一阶段必须增加的外部薄层</w:t>
      </w:r>
    </w:p>
    <w:p>
      <w:pPr>
        <w:pStyle w:val="ListNumber"/>
      </w:pPr>
      <w:r>
        <w:rPr>
          <w:rFonts w:ascii="Arial" w:hAnsi="Arial" w:eastAsia="Microsoft YaHei"/>
        </w:rPr>
        <w:t>CapabilityManifest：声明模型支持的运行层、输入、输出、事件和性能特征。</w:t>
      </w:r>
    </w:p>
    <w:p>
      <w:pPr>
        <w:pStyle w:val="ListNumber"/>
      </w:pPr>
      <w:r>
        <w:rPr>
          <w:rFonts w:ascii="Arial" w:hAnsi="Arial" w:eastAsia="Microsoft YaHei"/>
        </w:rPr>
        <w:t>DecisionVariableCatalog：冻结字段角色、单位、边界、控制所有权和编译规则。</w:t>
      </w:r>
    </w:p>
    <w:p>
      <w:pPr>
        <w:pStyle w:val="ListNumber"/>
      </w:pPr>
      <w:r>
        <w:rPr>
          <w:rFonts w:ascii="Arial" w:hAnsi="Arial" w:eastAsia="Microsoft YaHei"/>
        </w:rPr>
        <w:t>CandidatePlanCompiler：把RTO结果转换为M2/M3/M4受控请求。</w:t>
      </w:r>
    </w:p>
    <w:p>
      <w:pPr>
        <w:pStyle w:val="ListNumber"/>
      </w:pPr>
      <w:r>
        <w:rPr>
          <w:rFonts w:ascii="Arial" w:hAnsi="Arial" w:eastAsia="Microsoft YaHei"/>
        </w:rPr>
        <w:t>PairedEvaluation：为同一上下文生成基准与候选配对运行并计算差值。</w:t>
      </w:r>
    </w:p>
    <w:p>
      <w:pPr>
        <w:pStyle w:val="ListNumber"/>
      </w:pPr>
      <w:r>
        <w:rPr>
          <w:rFonts w:ascii="Arial" w:hAnsi="Arial" w:eastAsia="Microsoft YaHei"/>
        </w:rPr>
        <w:t>KPI/ConstraintEvaluator：在物理模型外计算目标分项、约束裕度和候选评级。</w:t>
      </w:r>
    </w:p>
    <w:p>
      <w:pPr>
        <w:pStyle w:val="ListNumber"/>
      </w:pPr>
      <w:r>
        <w:rPr>
          <w:rFonts w:ascii="Arial" w:hAnsi="Arial" w:eastAsia="Microsoft YaHei"/>
        </w:rPr>
        <w:t>StrategyEvidenceExporter：把多次运行证据组装成可发布策略草稿。</w:t>
      </w:r>
    </w:p>
    <w:p>
      <w:r>
        <w:rPr>
          <w:rFonts w:ascii="Arial" w:hAnsi="Arial" w:eastAsia="Microsoft YaHei"/>
        </w:rPr>
        <w:t>这些组件可以建立在现有M7接口之外，不需要修改M2/M3/M4核心方程，也不要求仿真模型导入RTO或策略库代码。</w:t>
      </w:r>
    </w:p>
    <w:p>
      <w:pPr>
        <w:pStyle w:val="Heading2"/>
      </w:pPr>
      <w:r>
        <w:t>10.2 由后续策略需求决定的模型扩展</w:t>
      </w:r>
    </w:p>
    <w:p>
      <w:pPr>
        <w:pStyle w:val="ListBullet"/>
      </w:pPr>
      <w:r>
        <w:rPr>
          <w:rFonts w:ascii="Arial" w:hAnsi="Arial" w:eastAsia="Microsoft YaHei"/>
        </w:rPr>
        <w:t>若RTO只输出现有七路设定值，M4可承担首版动态复核。</w:t>
      </w:r>
    </w:p>
    <w:p>
      <w:pPr>
        <w:pStyle w:val="ListBullet"/>
      </w:pPr>
      <w:r>
        <w:rPr>
          <w:rFonts w:ascii="Arial" w:hAnsi="Arial" w:eastAsia="Microsoft YaHei"/>
        </w:rPr>
        <w:t>若RTO需要分时调整回流、循环取热等当前非七路目标，再扩展上层设定值事件目录。</w:t>
      </w:r>
    </w:p>
    <w:p>
      <w:pPr>
        <w:pStyle w:val="ListBullet"/>
      </w:pPr>
      <w:r>
        <w:rPr>
          <w:rFonts w:ascii="Arial" w:hAnsi="Arial" w:eastAsia="Microsoft YaHei"/>
        </w:rPr>
        <w:t>若需要跨原油策略，必须增加多个版本化原油/工况案例。</w:t>
      </w:r>
    </w:p>
    <w:p>
      <w:pPr>
        <w:pStyle w:val="ListBullet"/>
      </w:pPr>
      <w:r>
        <w:rPr>
          <w:rFonts w:ascii="Arial" w:hAnsi="Arial" w:eastAsia="Microsoft YaHei"/>
        </w:rPr>
        <w:t>若产品质量成为主要目标，需要增强质量表征和产品质量输出。</w:t>
      </w:r>
    </w:p>
    <w:p>
      <w:pPr>
        <w:pStyle w:val="ListBullet"/>
      </w:pPr>
      <w:r>
        <w:rPr>
          <w:rFonts w:ascii="Arial" w:hAnsi="Arial" w:eastAsia="Microsoft YaHei"/>
        </w:rPr>
        <w:t>若需要完整经济优化，应增加独立的价格、公用工程成本和上下游约束配置。</w:t>
      </w:r>
    </w:p>
    <w:p>
      <w:pPr>
        <w:pStyle w:val="ListBullet"/>
      </w:pPr>
      <w:r>
        <w:rPr>
          <w:rFonts w:ascii="Arial" w:hAnsi="Arial" w:eastAsia="Microsoft YaHei"/>
        </w:rPr>
        <w:t>汽提蒸汽、独立侧线抽出等当前不存在的变量，只在明确进入RTO决策空间后再扩展物理模型。</w:t>
      </w:r>
    </w:p>
    <w:p>
      <w:pPr>
        <w:pStyle w:val="Heading2"/>
      </w:pPr>
      <w:r>
        <w:t>10.3 当前明确不做</w:t>
      </w:r>
    </w:p>
    <w:p>
      <w:pPr>
        <w:pStyle w:val="ListBullet"/>
      </w:pPr>
      <w:r>
        <w:rPr>
          <w:rFonts w:ascii="Arial" w:hAnsi="Arial" w:eastAsia="Microsoft YaHei"/>
        </w:rPr>
        <w:t>不把RTO求解器写入CDU仿真包。</w:t>
      </w:r>
    </w:p>
    <w:p>
      <w:pPr>
        <w:pStyle w:val="ListBullet"/>
      </w:pPr>
      <w:r>
        <w:rPr>
          <w:rFonts w:ascii="Arial" w:hAnsi="Arial" w:eastAsia="Microsoft YaHei"/>
        </w:rPr>
        <w:t>不把策略数据库或检索逻辑写入物理模型。</w:t>
      </w:r>
    </w:p>
    <w:p>
      <w:pPr>
        <w:pStyle w:val="ListBullet"/>
      </w:pPr>
      <w:r>
        <w:rPr>
          <w:rFonts w:ascii="Arial" w:hAnsi="Arial" w:eastAsia="Microsoft YaHei"/>
        </w:rPr>
        <w:t>不开放所有模型参数给RTO。</w:t>
      </w:r>
    </w:p>
    <w:p>
      <w:pPr>
        <w:pStyle w:val="ListBullet"/>
      </w:pPr>
      <w:r>
        <w:rPr>
          <w:rFonts w:ascii="Arial" w:hAnsi="Arial" w:eastAsia="Microsoft YaHei"/>
        </w:rPr>
        <w:t>不把M4 PI闭环误称为RTO。</w:t>
      </w:r>
    </w:p>
    <w:p>
      <w:pPr>
        <w:pStyle w:val="ListBullet"/>
      </w:pPr>
      <w:r>
        <w:rPr>
          <w:rFonts w:ascii="Arial" w:hAnsi="Arial" w:eastAsia="Microsoft YaHei"/>
        </w:rPr>
        <w:t>不把仿真样本数直接等同于策略条目数。</w:t>
      </w:r>
    </w:p>
    <w:p>
      <w:pPr>
        <w:pStyle w:val="ListBullet"/>
      </w:pPr>
      <w:r>
        <w:rPr>
          <w:rFonts w:ascii="Arial" w:hAnsi="Arial" w:eastAsia="Microsoft YaHei"/>
        </w:rPr>
        <w:t>不在当前阶段实施代理模型或智能体。</w:t>
      </w:r>
    </w:p>
    <w:p>
      <w:pPr>
        <w:pStyle w:val="Heading1"/>
      </w:pPr>
      <w:r>
        <w:t>11. 分阶段实施建议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0"/>
        <w:gridCol w:w="2450"/>
        <w:gridCol w:w="3650"/>
        <w:gridCol w:w="2110"/>
      </w:tblGrid>
      <w:tr>
        <w:trPr>
          <w:tblHeader w:val="true"/>
        </w:trPr>
        <w:tc>
          <w:tcPr>
            <w:tcW w:type="dxa" w:w="115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45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65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主要交付物</w:t>
            </w:r>
          </w:p>
        </w:tc>
        <w:tc>
          <w:tcPr>
            <w:tcW w:type="dxa" w:w="2110"/>
            <w:shd w:fill="F2F4F7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b/>
                <w:color w:val="1F4D78"/>
                <w:sz w:val="19"/>
              </w:rPr>
              <w:t>完成判据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A 架构冻结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确认三模块边界、术语和首个案例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本讨论稿、变量角色草案、待决问题清单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用户确认范围和首个RTO问题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B 合同实现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建立与具体算法无关的数据合同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OptimizationProblem、CandidatePlan、CandidateEvaluation Schema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非法字段/单位/版本漂移可前置拒绝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C 外部RTO原型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用一个简单可复核算法生成候选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独立RTO包、配置和确定性求解证据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同输入同结果，失败状态完整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D 仿真评价闭环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RTO候选进入M2初筛和M4复核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编译器、基准—候选评价包、批运行manifest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端到端结果可重复、证据完整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E 首版策略库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发布少量真实策略条目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StrategyEntry、LibraryRelease、查询接口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结构化过滤、版本和证据重载通过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F 后续智能体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在稳定策略库基础上设计检索、解释与任务编排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另行方案</w:t>
            </w:r>
          </w:p>
        </w:tc>
        <w:tc>
          <w:tcPr>
            <w:tcW w:type="dxa" w:w="211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Microsoft YaHei"/>
                <w:color w:val="202A35"/>
                <w:sz w:val="19"/>
              </w:rPr>
              <w:t>不属于本轮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12. 下一轮需要确认的关键问题</w:t>
      </w:r>
    </w:p>
    <w:p>
      <w:pPr>
        <w:pStyle w:val="ListNumber"/>
      </w:pPr>
      <w:r>
        <w:rPr>
          <w:rFonts w:ascii="Arial" w:hAnsi="Arial" w:eastAsia="Microsoft YaHei"/>
        </w:rPr>
        <w:t>首个RTO示范场景选“能耗—产品—稳定性权衡”还是更简单的单目标问题？</w:t>
      </w:r>
    </w:p>
    <w:p>
      <w:pPr>
        <w:pStyle w:val="ListNumber"/>
      </w:pPr>
      <w:r>
        <w:rPr>
          <w:rFonts w:ascii="Arial" w:hAnsi="Arial" w:eastAsia="Microsoft YaHei"/>
        </w:rPr>
        <w:t>第一批真正允许RTO调整的高层变量具体是哪2～4项？</w:t>
      </w:r>
    </w:p>
    <w:p>
      <w:pPr>
        <w:pStyle w:val="ListNumber"/>
      </w:pPr>
      <w:r>
        <w:rPr>
          <w:rFonts w:ascii="Arial" w:hAnsi="Arial" w:eastAsia="Microsoft YaHei"/>
        </w:rPr>
        <w:t>进料负荷应视为生产计划给定的上下文，还是允许RTO在区间内优化？</w:t>
      </w:r>
    </w:p>
    <w:p>
      <w:pPr>
        <w:pStyle w:val="ListNumber"/>
      </w:pPr>
      <w:r>
        <w:rPr>
          <w:rFonts w:ascii="Arial" w:hAnsi="Arial" w:eastAsia="Microsoft YaHei"/>
        </w:rPr>
        <w:t>质量、收率、能耗和运行稳定性目标的优先级如何定义？</w:t>
      </w:r>
    </w:p>
    <w:p>
      <w:pPr>
        <w:pStyle w:val="ListNumber"/>
      </w:pPr>
      <w:r>
        <w:rPr>
          <w:rFonts w:ascii="Arial" w:hAnsi="Arial" w:eastAsia="Microsoft YaHei"/>
        </w:rPr>
        <w:t>哪些约束属于硬约束，哪些属于软约束或偏好？</w:t>
      </w:r>
    </w:p>
    <w:p>
      <w:pPr>
        <w:pStyle w:val="ListNumber"/>
      </w:pPr>
      <w:r>
        <w:rPr>
          <w:rFonts w:ascii="Arial" w:hAnsi="Arial" w:eastAsia="Microsoft YaHei"/>
        </w:rPr>
        <w:t>RTO输出是单个稳态目标向量，还是包含分段时间轨迹？</w:t>
      </w:r>
    </w:p>
    <w:p>
      <w:pPr>
        <w:pStyle w:val="ListNumber"/>
      </w:pPr>
      <w:r>
        <w:rPr>
          <w:rFonts w:ascii="Arial" w:hAnsi="Arial" w:eastAsia="Microsoft YaHei"/>
        </w:rPr>
        <w:t>策略按单一工况点存储，还是按经过验证的上下文区间发布？</w:t>
      </w:r>
    </w:p>
    <w:p>
      <w:pPr>
        <w:pStyle w:val="ListNumber"/>
      </w:pPr>
      <w:r>
        <w:rPr>
          <w:rFonts w:ascii="Arial" w:hAnsi="Arial" w:eastAsia="Microsoft YaHei"/>
        </w:rPr>
        <w:t>一个上下文命中多条策略时，采用什么排序和冲突处理规则？</w:t>
      </w:r>
    </w:p>
    <w:p>
      <w:pPr>
        <w:pStyle w:val="ListNumber"/>
      </w:pPr>
      <w:r>
        <w:rPr>
          <w:rFonts w:ascii="Arial" w:hAnsi="Arial" w:eastAsia="Microsoft YaHei"/>
        </w:rPr>
        <w:t>模型、RTO或目标配置升级后，哪些策略必须自动转为待复验？</w:t>
      </w:r>
    </w:p>
    <w:p>
      <w:pPr>
        <w:pStyle w:val="ListNumber"/>
      </w:pPr>
      <w:r>
        <w:rPr>
          <w:rFonts w:ascii="Arial" w:hAnsi="Arial" w:eastAsia="Microsoft YaHei"/>
        </w:rPr>
        <w:t>失败候选和不可行区域是否建立独立负知识档案？</w:t>
      </w:r>
    </w:p>
    <w:p>
      <w:pPr>
        <w:pStyle w:val="Heading1"/>
      </w:pPr>
      <w:r>
        <w:t>13. 建议的近期决策</w:t>
      </w:r>
    </w:p>
    <w:p>
      <w:pPr>
        <w:spacing w:before="120" w:after="200" w:line="264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Arial" w:hAnsi="Arial" w:eastAsia="Microsoft YaHei"/>
          <w:b/>
          <w:color w:val="1F4D78"/>
          <w:sz w:val="22"/>
        </w:rPr>
        <w:t xml:space="preserve">建议  </w:t>
      </w:r>
      <w:r>
        <w:rPr>
          <w:rFonts w:ascii="Arial" w:hAnsi="Arial" w:eastAsia="Microsoft YaHei"/>
          <w:color w:val="202A35"/>
          <w:sz w:val="22"/>
        </w:rPr>
        <w:t>先不修改现有机理方程。下一步先冻结DecisionVariableCatalog、OptimizationProblem、CandidatePlan和CandidateEvaluation四个合同，再选择一个最小RTO案例。合同和案例确认后，RTO、仿真适配器和策略库可以分别独立实施。</w:t>
      </w:r>
    </w:p>
    <w:p>
      <w:r>
        <w:rPr>
          <w:rFonts w:ascii="Arial" w:hAnsi="Arial" w:eastAsia="Microsoft YaHei"/>
        </w:rPr>
        <w:t>这一路线保留现有M0～M7成果，把当前CDU模型稳定地定位为“策略评价发动机”；RTO是“候选方案生成器”；离线流水线是“编译、质检和发布工厂”；策略库是“版本化成品仓库”。</w:t>
      </w:r>
    </w:p>
    <w:p>
      <w:pPr>
        <w:pStyle w:val="Heading1"/>
      </w:pPr>
      <w:r>
        <w:t>附录A：策略条目概念字段</w:t>
      </w:r>
    </w:p>
    <w:p>
      <w:pPr>
        <w:spacing w:before="120" w:after="200"/>
        <w:ind w:left="216" w:right="216"/>
        <w:shd w:fill="E8EEF5"/>
      </w:pPr>
      <w:r>
        <w:rPr>
          <w:rFonts w:ascii="Arial" w:hAnsi="Arial" w:eastAsia="Microsoft YaHei"/>
          <w:b/>
          <w:color w:val="1F4D78"/>
          <w:sz w:val="22"/>
        </w:rPr>
        <w:t>StrategyEntry（概念结构，尚未冻结Schema）</w:t>
        <w:br/>
      </w:r>
      <w:r>
        <w:rPr>
          <w:rFonts w:ascii="Consolas" w:hAnsi="Consolas" w:eastAsia="Microsoft YaHei"/>
          <w:color w:val="202A35"/>
          <w:sz w:val="20"/>
        </w:rPr>
        <w:t>identity: strategy_id / revision / status / library_release</w:t>
        <w:br/>
      </w:r>
      <w:r>
        <w:rPr>
          <w:rFonts w:ascii="Consolas" w:hAnsi="Consolas" w:eastAsia="Microsoft YaHei"/>
          <w:color w:val="202A35"/>
          <w:sz w:val="20"/>
        </w:rPr>
        <w:t>context: operating_mode / feed / crude / temperature / inventory ranges</w:t>
        <w:br/>
      </w:r>
      <w:r>
        <w:rPr>
          <w:rFonts w:ascii="Consolas" w:hAnsi="Consolas" w:eastAsia="Microsoft YaHei"/>
          <w:color w:val="202A35"/>
          <w:sz w:val="20"/>
        </w:rPr>
        <w:t>trigger: expression / persistence / clear condition</w:t>
        <w:br/>
      </w:r>
      <w:r>
        <w:rPr>
          <w:rFonts w:ascii="Consolas" w:hAnsi="Consolas" w:eastAsia="Microsoft YaHei"/>
          <w:color w:val="202A35"/>
          <w:sz w:val="20"/>
        </w:rPr>
        <w:t>action_plan: variable / target / basis / ramp / order / hold horizon</w:t>
        <w:br/>
      </w:r>
      <w:r>
        <w:rPr>
          <w:rFonts w:ascii="Consolas" w:hAnsi="Consolas" w:eastAsia="Microsoft YaHei"/>
          <w:color w:val="202A35"/>
          <w:sz w:val="20"/>
        </w:rPr>
        <w:t>objectives_constraints: objective_profile / hard-soft constraints / margins</w:t>
        <w:br/>
      </w:r>
      <w:r>
        <w:rPr>
          <w:rFonts w:ascii="Consolas" w:hAnsi="Consolas" w:eastAsia="Microsoft YaHei"/>
          <w:color w:val="202A35"/>
          <w:sz w:val="20"/>
        </w:rPr>
        <w:t>expected_effect: baseline / candidate / delta / dynamic performance</w:t>
        <w:br/>
      </w:r>
      <w:r>
        <w:rPr>
          <w:rFonts w:ascii="Consolas" w:hAnsi="Consolas" w:eastAsia="Microsoft YaHei"/>
          <w:color w:val="202A35"/>
          <w:sz w:val="20"/>
        </w:rPr>
        <w:t>stop_rollback: stop conditions / fallback strategy / observation window</w:t>
        <w:br/>
      </w:r>
      <w:r>
        <w:rPr>
          <w:rFonts w:ascii="Consolas" w:hAnsi="Consolas" w:eastAsia="Microsoft YaHei"/>
          <w:color w:val="202A35"/>
          <w:sz w:val="20"/>
        </w:rPr>
        <w:t>evidence: simulator / RTO / KPI versions / manifests / review records</w:t>
      </w:r>
    </w:p>
    <w:p>
      <w:pPr>
        <w:pStyle w:val="Heading1"/>
      </w:pPr>
      <w:r>
        <w:t>附录B：参考依据</w:t>
      </w:r>
    </w:p>
    <w:p>
      <w:pPr>
        <w:pStyle w:val="ListBullet"/>
      </w:pPr>
      <w:r>
        <w:rPr>
          <w:rFonts w:ascii="Arial" w:hAnsi="Arial" w:eastAsia="Microsoft YaHei"/>
        </w:rPr>
        <w:t>《1322建设方案0802.docx》：三项交付物、策略JSON、专业工具调用和分层实施路线。</w:t>
      </w:r>
    </w:p>
    <w:p>
      <w:pPr>
        <w:pStyle w:val="ListBullet"/>
      </w:pPr>
      <w:r>
        <w:rPr>
          <w:rFonts w:ascii="Arial" w:hAnsi="Arial" w:eastAsia="Microsoft YaHei"/>
        </w:rPr>
        <w:t>《CDU Mini Loop Python 建模 M0～M7 实施方案》：当前机理模型阶段划分与验收边界。</w:t>
      </w:r>
    </w:p>
    <w:p>
      <w:pPr>
        <w:pStyle w:val="ListBullet"/>
      </w:pPr>
      <w:r>
        <w:rPr>
          <w:rFonts w:ascii="Arial" w:hAnsi="Arial" w:eastAsia="Microsoft YaHei"/>
        </w:rPr>
        <w:t>《CDU Mini Loop M7 模型卡》：当前M2～M7能力、受控输入和结果合同。</w:t>
      </w:r>
    </w:p>
    <w:p>
      <w:pPr>
        <w:pStyle w:val="ListBullet"/>
      </w:pPr>
      <w:r>
        <w:rPr>
          <w:rFonts w:ascii="Arial" w:hAnsi="Arial" w:eastAsia="Microsoft YaHei"/>
        </w:rPr>
        <w:t>《CDU Mini Loop 实施状态》：当前版本、验证证据和授权范围。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Microsoft YaHei"/>
        <w:color w:val="5F6B76"/>
        <w:sz w:val="18"/>
      </w:rPr>
      <w:t xml:space="preserve">讨论稿 v0.1  ·  第 </w:t>
    </w:r>
    <w:r>
      <w:rPr>
        <w:rFonts w:ascii="Arial" w:hAnsi="Arial" w:eastAsia="Microsoft YaHei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color w:val="5F6B76"/>
        <w:sz w:val="18"/>
      </w:rPr>
      <w:t>CDU Mini Loop｜RTO—策略库—机理仿真解耦设计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b w:val="0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Arial" w:hAnsi="Arial" w:eastAsia="Microsoft YaHei"/>
      <w:b w:val="0"/>
      <w:color w:val="202A3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Arial" w:hAnsi="Arial" w:eastAsia="Microsoft YaHei"/>
      <w:b w:val="0"/>
      <w:color w:val="202A3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CDU机理仿真、RTO与优化策略库解耦设计讨论稿</dc:title>
  <dc:subject>基于现有CDU Mini Loop机理模型的下一阶段架构讨论</dc:subject>
  <dc:creator>CDU Mini Loop 项目组</dc:creator>
  <cp:keywords>CDU, RTO, 策略库, 机理仿真, 解耦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