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276" w:lineRule="auto"/>
        <w:jc w:val="center"/>
      </w:pPr>
      <w:r>
        <w:rPr>
          <w:rFonts w:ascii="Arial" w:hAnsi="Arial" w:eastAsia="Arial" w:cs="Arial"/>
          <w:b/>
          <w:sz w:val="28"/>
        </w:rPr>
        <w:t>Scientific Reports transfer revision report</w:t>
      </w:r>
    </w:p>
    <w:p>
      <w:pPr>
        <w:keepNext w:val="0"/>
        <w:spacing w:before="0" w:after="240" w:line="276" w:lineRule="auto"/>
        <w:jc w:val="center"/>
      </w:pPr>
      <w:r>
        <w:rPr>
          <w:rFonts w:ascii="Arial" w:hAnsi="Arial" w:eastAsia="Arial" w:cs="Arial"/>
          <w:b/>
          <w:sz w:val="22"/>
        </w:rPr>
        <w:t>Landmark-specific transcriptomic and proteomic associations with 60-day mortality in Day-1-defined sepsis-induced coagulopathy: a multicentre longitudinal cohort study</w:t>
      </w:r>
    </w:p>
    <w:p>
      <w:pPr>
        <w:keepNext w:val="0"/>
        <w:spacing w:before="0" w:after="80" w:line="276" w:lineRule="auto"/>
        <w:jc w:val="left"/>
      </w:pPr>
      <w:r>
        <w:rPr>
          <w:rFonts w:ascii="Arial" w:hAnsi="Arial" w:eastAsia="Arial" w:cs="Arial"/>
          <w:b/>
          <w:sz w:val="24"/>
        </w:rPr>
        <w:t>Scientific freeze</w:t>
      </w:r>
    </w:p>
    <w:p>
      <w:pPr>
        <w:keepNext w:val="0"/>
        <w:spacing w:before="0" w:after="120" w:line="276" w:lineRule="auto"/>
        <w:jc w:val="left"/>
      </w:pPr>
      <w:r>
        <w:rPr>
          <w:rFonts w:ascii="Arial" w:hAnsi="Arial" w:eastAsia="Arial" w:cs="Arial"/>
          <w:sz w:val="21"/>
        </w:rPr>
        <w:t>No cohort count, event count, effect estimate, confidence interval, P value, false-discovery rate, normalised enrichment score, pathway direction, estimand, model definition or scientific figure was changed. The conversion is editorial and journal-specific.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/>
                <w:sz w:val="17"/>
              </w:rPr>
              <w:t>Location</w:t>
            </w:r>
          </w:p>
        </w:tc>
        <w:tc>
          <w:tcPr>
            <w:tcW w:type="dxa" w:w="248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/>
                <w:sz w:val="17"/>
              </w:rPr>
              <w:t>Classification</w:t>
            </w:r>
          </w:p>
        </w:tc>
        <w:tc>
          <w:tcPr>
            <w:tcW w:type="dxa" w:w="248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/>
                <w:sz w:val="17"/>
              </w:rPr>
              <w:t>Change</w:t>
            </w:r>
          </w:p>
        </w:tc>
        <w:tc>
          <w:tcPr>
            <w:tcW w:type="dxa" w:w="2484"/>
            <w:shd w:fill="D9EAF7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/>
                <w:sz w:val="17"/>
              </w:rPr>
              <w:t>Scientific boundary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Abstract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journal compliance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Converted the structured abstract to a single paragraph of no more than 200 words while retaining only frozen principal results.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Implements a Scientific Reports submission requirement.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Keywords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journal compliance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Reduced the keyword list from eight to six indexing terms.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Implements a Scientific Reports submission requirement.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Main-text structure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structural relocation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Reordered the manuscript to Introduction, Results, Discussion and Methods; moved the standalone conclusion into the final Discussion paragraph.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Moves existing text without changing its scientific meaning.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Discussion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interpretive expansion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Clarified landmark-specific rather than within-patient interpretation and organised biological meaning by immune-inflammatory, metabolic-stress and tissue-remodelling domains.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Adds bounded interpretation supported by frozen findings and existing citations.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Discussion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claim restriction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Compressed translational implications and explicitly stated that the findings do not support treatment selection.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Reduces overinterpretation and explicitly excludes unsupported causal or clinical claims.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Table 1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journal compliance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Retained a concise one-page table of clinically central variables; moved the complete original table to Supplementary Table S9 without changing values.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Implements a Scientific Reports submission requirement.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Supplementary material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cross-reference renumbering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Renumbered Supplementary Figures A1–A9 as Supplementary Figs. S1–S9 in all submission-facing files.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Updates identifiers consistently without changing content.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Methods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clarification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Inserted the complete ethics and informed-consent statement into Methods.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Clarifies the existing design or reporting without changing results.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Methods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journal compliance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Added a dedicated Code availability subsection and an explicit LLM-use disclosure consistent with current Scientific Reports policy.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Implements a Scientific Reports submission requirement.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Data availability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journal compliance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Separated controlled participant-level data from publicly released aggregate outputs and reproducibility materials.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Implements a Scientific Reports submission requirement.</w:t>
            </w:r>
          </w:p>
        </w:tc>
      </w:tr>
      <w:tr>
        <w:trPr>
          <w:cantSplit/>
        </w:trPr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References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journal compliance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Renumbered citations after section relocation and converted the bibliography to standard Nature style while preserving citation mapping.</w:t>
            </w:r>
          </w:p>
        </w:tc>
        <w:tc>
          <w:tcPr>
            <w:tcW w:type="dxa" w:w="2484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before="0" w:after="40"/>
            </w:pPr>
            <w:r>
              <w:rPr>
                <w:rFonts w:ascii="Arial" w:hAnsi="Arial" w:eastAsia="Arial" w:cs="Arial"/>
                <w:b w:val="0"/>
                <w:sz w:val="17"/>
              </w:rPr>
              <w:t>Implements a Scientific Reports submission requirement.</w:t>
            </w:r>
          </w:p>
        </w:tc>
      </w:tr>
    </w:tbl>
    <w:p>
      <w:pPr>
        <w:keepNext w:val="0"/>
        <w:spacing w:before="200" w:after="80" w:line="276" w:lineRule="auto"/>
        <w:jc w:val="left"/>
      </w:pPr>
      <w:r>
        <w:rPr>
          <w:rFonts w:ascii="Arial" w:hAnsi="Arial" w:eastAsia="Arial" w:cs="Arial"/>
          <w:b/>
          <w:sz w:val="24"/>
        </w:rPr>
        <w:t>Highlighting convention</w:t>
      </w:r>
    </w:p>
    <w:p>
      <w:pPr>
        <w:keepNext w:val="0"/>
        <w:spacing w:before="0" w:after="120" w:line="276" w:lineRule="auto"/>
        <w:jc w:val="left"/>
      </w:pPr>
      <w:r>
        <w:rPr>
          <w:rFonts w:ascii="Arial" w:hAnsi="Arial" w:eastAsia="Arial" w:cs="Arial"/>
          <w:sz w:val="21"/>
        </w:rPr>
        <w:t>The highlighted manuscript uses yellow highlighting for newly written or substantively rewritten scientific text, methodological-boundary clarifications, claim restrictions and new policy disclosures. Routine section moves, Nature-style reference conversion and systematic supplementary renumbering are documented here rather than highlighted throughout.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