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rial" w:hAnsi="Arial" w:eastAsia="Arial"/>
          <w:b/>
          <w:sz w:val="26"/>
        </w:rPr>
        <w:t>STROBE Statement—completed checklist for cohort studies</w:t>
      </w:r>
    </w:p>
    <w:p>
      <w:pPr>
        <w:spacing w:after="80"/>
        <w:jc w:val="center"/>
      </w:pPr>
      <w:r>
        <w:rPr>
          <w:rFonts w:ascii="Arial" w:hAnsi="Arial" w:eastAsia="Arial"/>
          <w:b/>
          <w:sz w:val="19"/>
        </w:rPr>
        <w:t>Manuscript: Landmark-specific transcriptomic and proteomic associations with 60-day mortality in Day-1-defined sepsis-induced coagulopathy: a multicentre longitudinal cohort study</w:t>
      </w:r>
    </w:p>
    <w:p>
      <w:pPr>
        <w:spacing w:after="120"/>
        <w:jc w:val="center"/>
      </w:pPr>
      <w:r>
        <w:rPr>
          <w:rFonts w:ascii="Arial" w:hAnsi="Arial" w:eastAsia="Arial"/>
          <w:sz w:val="17"/>
        </w:rPr>
        <w:t>Reporting guideline: STROBE cohort checklist (accessed 25 July 2026). Page references correspond to the final Scientific Reports manuscript and Supplementary Information.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rHeight w:hRule="atLeast"/>
          <w:cantSplit/>
          <w:tblHeader w:val="true"/>
        </w:trPr>
        <w:tc>
          <w:tcPr>
            <w:tcW w:type="dxa" w:w="180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Section/topic</w:t>
            </w:r>
          </w:p>
        </w:tc>
        <w:tc>
          <w:tcPr>
            <w:tcW w:type="dxa" w:w="79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Item</w:t>
            </w:r>
          </w:p>
        </w:tc>
        <w:tc>
          <w:tcPr>
            <w:tcW w:type="dxa" w:w="669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STROBE reporting item</w:t>
            </w:r>
          </w:p>
        </w:tc>
        <w:tc>
          <w:tcPr>
            <w:tcW w:type="dxa" w:w="518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Where reported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Title and abstract</w:t>
            </w:r>
          </w:p>
        </w:tc>
        <w:tc>
          <w:tcPr>
            <w:tcW w:type="dxa" w:w="79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1(a)</w:t>
            </w:r>
          </w:p>
        </w:tc>
        <w:tc>
          <w:tcPr>
            <w:tcW w:type="dxa" w:w="669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Indicate the study design with a commonly used term in the title or abstract.</w:t>
            </w:r>
          </w:p>
        </w:tc>
        <w:tc>
          <w:tcPr>
            <w:tcW w:type="dxa" w:w="518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p. 1 (title identifies a multicentre longitudinal cohort study).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Title and abstract</w:t>
            </w:r>
          </w:p>
        </w:tc>
        <w:tc>
          <w:tcPr>
            <w:tcW w:type="dxa" w:w="79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1(b)</w:t>
            </w:r>
          </w:p>
        </w:tc>
        <w:tc>
          <w:tcPr>
            <w:tcW w:type="dxa" w:w="669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Provide an informative and balanced abstract summary of what was done and found.</w:t>
            </w:r>
          </w:p>
        </w:tc>
        <w:tc>
          <w:tcPr>
            <w:tcW w:type="dxa" w:w="518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p. 1 (unstructured Abstract summarises the design, principal findings and bounded interpretation).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Background/rationale</w:t>
            </w:r>
          </w:p>
        </w:tc>
        <w:tc>
          <w:tcPr>
            <w:tcW w:type="dxa" w:w="79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2</w:t>
            </w:r>
          </w:p>
        </w:tc>
        <w:tc>
          <w:tcPr>
            <w:tcW w:type="dxa" w:w="669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Explain the scientific background and rationale for the investigation.</w:t>
            </w:r>
          </w:p>
        </w:tc>
        <w:tc>
          <w:tcPr>
            <w:tcW w:type="dxa" w:w="518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p. 1 (Introduction).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Objectives</w:t>
            </w:r>
          </w:p>
        </w:tc>
        <w:tc>
          <w:tcPr>
            <w:tcW w:type="dxa" w:w="79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3</w:t>
            </w:r>
          </w:p>
        </w:tc>
        <w:tc>
          <w:tcPr>
            <w:tcW w:type="dxa" w:w="669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State specific objectives, including any prespecified hypotheses.</w:t>
            </w:r>
          </w:p>
        </w:tc>
        <w:tc>
          <w:tcPr>
            <w:tcW w:type="dxa" w:w="518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p. 1 (final Introduction paragraph states objectives and the prespecified hypothesis).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Study design</w:t>
            </w:r>
          </w:p>
        </w:tc>
        <w:tc>
          <w:tcPr>
            <w:tcW w:type="dxa" w:w="79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4</w:t>
            </w:r>
          </w:p>
        </w:tc>
        <w:tc>
          <w:tcPr>
            <w:tcW w:type="dxa" w:w="669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Present key elements of the study design early in the paper.</w:t>
            </w:r>
          </w:p>
        </w:tc>
        <w:tc>
          <w:tcPr>
            <w:tcW w:type="dxa" w:w="518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p. 1 (Abstract) and pp. 9–10 (Study design and data source; Analytic framework and estimands).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Setting</w:t>
            </w:r>
          </w:p>
        </w:tc>
        <w:tc>
          <w:tcPr>
            <w:tcW w:type="dxa" w:w="79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5</w:t>
            </w:r>
          </w:p>
        </w:tc>
        <w:tc>
          <w:tcPr>
            <w:tcW w:type="dxa" w:w="669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Describe setting, locations and relevant dates, including recruitment, exposure, follow-up and data-collection periods.</w:t>
            </w:r>
          </w:p>
        </w:tc>
        <w:tc>
          <w:tcPr>
            <w:tcW w:type="dxa" w:w="518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pp. 9–10 (43 tertiary hospitals; November 2020–November 2024; 60-day follow-up; Days 1, 3 and 5 sampling).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Participants</w:t>
            </w:r>
          </w:p>
        </w:tc>
        <w:tc>
          <w:tcPr>
            <w:tcW w:type="dxa" w:w="79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6(a)</w:t>
            </w:r>
          </w:p>
        </w:tc>
        <w:tc>
          <w:tcPr>
            <w:tcW w:type="dxa" w:w="669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Give eligibility criteria and the sources and methods of participant selection; describe follow-up.</w:t>
            </w:r>
          </w:p>
        </w:tc>
        <w:tc>
          <w:tcPr>
            <w:tcW w:type="dxa" w:w="518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pp. 2 and 9–10; Figure 1 (eligibility, Day-1 SIC cohort, landmark risk sets and follow-up).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Participants</w:t>
            </w:r>
          </w:p>
        </w:tc>
        <w:tc>
          <w:tcPr>
            <w:tcW w:type="dxa" w:w="79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6(b)</w:t>
            </w:r>
          </w:p>
        </w:tc>
        <w:tc>
          <w:tcPr>
            <w:tcW w:type="dxa" w:w="669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For matched studies, give matching criteria and numbers of exposed and unexposed participants.</w:t>
            </w:r>
          </w:p>
        </w:tc>
        <w:tc>
          <w:tcPr>
            <w:tcW w:type="dxa" w:w="518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Not applicable: this was not a matched cohort study.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Variables</w:t>
            </w:r>
          </w:p>
        </w:tc>
        <w:tc>
          <w:tcPr>
            <w:tcW w:type="dxa" w:w="79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7</w:t>
            </w:r>
          </w:p>
        </w:tc>
        <w:tc>
          <w:tcPr>
            <w:tcW w:type="dxa" w:w="669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Clearly define outcomes, exposures, predictors, potential confounders and effect modifiers; give diagnostic criteria where applicable.</w:t>
            </w:r>
          </w:p>
        </w:tc>
        <w:tc>
          <w:tcPr>
            <w:tcW w:type="dxa" w:w="518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pp. 9–13; Supplementary Table S1.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Data sources/measurement</w:t>
            </w:r>
          </w:p>
        </w:tc>
        <w:tc>
          <w:tcPr>
            <w:tcW w:type="dxa" w:w="79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8</w:t>
            </w:r>
          </w:p>
        </w:tc>
        <w:tc>
          <w:tcPr>
            <w:tcW w:type="dxa" w:w="669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For each variable, give data sources and measurement methods; describe comparability if more than one group was assessed.</w:t>
            </w:r>
          </w:p>
        </w:tc>
        <w:tc>
          <w:tcPr>
            <w:tcW w:type="dxa" w:w="518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pp. 9–11; Supplementary Information pp. 1–2 (Supplementary Methods).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Bias</w:t>
            </w:r>
          </w:p>
        </w:tc>
        <w:tc>
          <w:tcPr>
            <w:tcW w:type="dxa" w:w="79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9</w:t>
            </w:r>
          </w:p>
        </w:tc>
        <w:tc>
          <w:tcPr>
            <w:tcW w:type="dxa" w:w="669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Describe efforts to address potential sources of bias.</w:t>
            </w:r>
          </w:p>
        </w:tc>
        <w:tc>
          <w:tcPr>
            <w:tcW w:type="dxa" w:w="518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pp. 9–13 (delayed entry, centre stratification, PH diagnostics, sensitivity analyses and Day-5 availability/IPW); pp. 7–8 (limitations); Supplementary Figs. S1–S8.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Study size</w:t>
            </w:r>
          </w:p>
        </w:tc>
        <w:tc>
          <w:tcPr>
            <w:tcW w:type="dxa" w:w="79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10</w:t>
            </w:r>
          </w:p>
        </w:tc>
        <w:tc>
          <w:tcPr>
            <w:tcW w:type="dxa" w:w="669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Explain how the study size was determined.</w:t>
            </w:r>
          </w:p>
        </w:tc>
        <w:tc>
          <w:tcPr>
            <w:tcW w:type="dxa" w:w="518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p. 9 (all eligible Day-1 SIC participants and available molecular measurements were included; no prospective sample-size calculation).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Quantitative variables</w:t>
            </w:r>
          </w:p>
        </w:tc>
        <w:tc>
          <w:tcPr>
            <w:tcW w:type="dxa" w:w="79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11</w:t>
            </w:r>
          </w:p>
        </w:tc>
        <w:tc>
          <w:tcPr>
            <w:tcW w:type="dxa" w:w="669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Explain how quantitative variables were handled and, if applicable, why groupings were chosen.</w:t>
            </w:r>
          </w:p>
        </w:tc>
        <w:tc>
          <w:tcPr>
            <w:tcW w:type="dxa" w:w="518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pp. 9–13; Supplementary Tables S1–S2.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Statistical methods</w:t>
            </w:r>
          </w:p>
        </w:tc>
        <w:tc>
          <w:tcPr>
            <w:tcW w:type="dxa" w:w="79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12(a)</w:t>
            </w:r>
          </w:p>
        </w:tc>
        <w:tc>
          <w:tcPr>
            <w:tcW w:type="dxa" w:w="669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Describe all statistical methods, including those used to control confounding.</w:t>
            </w:r>
          </w:p>
        </w:tc>
        <w:tc>
          <w:tcPr>
            <w:tcW w:type="dxa" w:w="518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pp. 9–13; Supplementary Information pp. 1–2.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Statistical methods</w:t>
            </w:r>
          </w:p>
        </w:tc>
        <w:tc>
          <w:tcPr>
            <w:tcW w:type="dxa" w:w="79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12(b)</w:t>
            </w:r>
          </w:p>
        </w:tc>
        <w:tc>
          <w:tcPr>
            <w:tcW w:type="dxa" w:w="669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Describe methods used to examine subgroups and interactions.</w:t>
            </w:r>
          </w:p>
        </w:tc>
        <w:tc>
          <w:tcPr>
            <w:tcW w:type="dxa" w:w="518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No subgroup analysis informed the primary conclusions. Prespecified contemporaneous, forward and reverse-order cross-omic models are described on pp. 11–12 and in Supplementary Methods.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Statistical methods</w:t>
            </w:r>
          </w:p>
        </w:tc>
        <w:tc>
          <w:tcPr>
            <w:tcW w:type="dxa" w:w="79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12(c)</w:t>
            </w:r>
          </w:p>
        </w:tc>
        <w:tc>
          <w:tcPr>
            <w:tcW w:type="dxa" w:w="669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Explain how missing data were addressed.</w:t>
            </w:r>
          </w:p>
        </w:tc>
        <w:tc>
          <w:tcPr>
            <w:tcW w:type="dxa" w:w="518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p. 13; Supplementary Methods; Supplementary Tables S1 and S8.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Statistical methods</w:t>
            </w:r>
          </w:p>
        </w:tc>
        <w:tc>
          <w:tcPr>
            <w:tcW w:type="dxa" w:w="79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12(d)</w:t>
            </w:r>
          </w:p>
        </w:tc>
        <w:tc>
          <w:tcPr>
            <w:tcW w:type="dxa" w:w="669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If applicable, explain how loss to follow-up was addressed.</w:t>
            </w:r>
          </w:p>
        </w:tc>
        <w:tc>
          <w:tcPr>
            <w:tcW w:type="dxa" w:w="518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p. 10 (60-day outcome and administrative censoring). Molecular sample non-observation was examined separately on pp. 12–13 and in Supplementary Table S8.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Statistical methods</w:t>
            </w:r>
          </w:p>
        </w:tc>
        <w:tc>
          <w:tcPr>
            <w:tcW w:type="dxa" w:w="79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12(e)</w:t>
            </w:r>
          </w:p>
        </w:tc>
        <w:tc>
          <w:tcPr>
            <w:tcW w:type="dxa" w:w="669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Describe sensitivity analyses.</w:t>
            </w:r>
          </w:p>
        </w:tc>
        <w:tc>
          <w:tcPr>
            <w:tcW w:type="dxa" w:w="518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pp. 10–13; Supplementary Figs. S1–S8; Supplementary Tables S4, S6 and S8.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Participants</w:t>
            </w:r>
          </w:p>
        </w:tc>
        <w:tc>
          <w:tcPr>
            <w:tcW w:type="dxa" w:w="79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13(a)</w:t>
            </w:r>
          </w:p>
        </w:tc>
        <w:tc>
          <w:tcPr>
            <w:tcW w:type="dxa" w:w="669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Report numbers at each stage: potentially eligible, eligible, included, followed and analysed.</w:t>
            </w:r>
          </w:p>
        </w:tc>
        <w:tc>
          <w:tcPr>
            <w:tcW w:type="dxa" w:w="518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p. 2; Figure 1 (Day-1 cohort, raw measured, risk-valid and positivity-supported analysis counts).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Participants</w:t>
            </w:r>
          </w:p>
        </w:tc>
        <w:tc>
          <w:tcPr>
            <w:tcW w:type="dxa" w:w="79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13(b)</w:t>
            </w:r>
          </w:p>
        </w:tc>
        <w:tc>
          <w:tcPr>
            <w:tcW w:type="dxa" w:w="669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Give reasons for non-participation at each stage.</w:t>
            </w:r>
          </w:p>
        </w:tc>
        <w:tc>
          <w:tcPr>
            <w:tcW w:type="dxa" w:w="518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p. 2; Figure 1 (structural deaths, raw-to-risk-valid exclusions and zero-observation-centre exclusions).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Participants</w:t>
            </w:r>
          </w:p>
        </w:tc>
        <w:tc>
          <w:tcPr>
            <w:tcW w:type="dxa" w:w="79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13(c)</w:t>
            </w:r>
          </w:p>
        </w:tc>
        <w:tc>
          <w:tcPr>
            <w:tcW w:type="dxa" w:w="669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Consider using a flow diagram.</w:t>
            </w:r>
          </w:p>
        </w:tc>
        <w:tc>
          <w:tcPr>
            <w:tcW w:type="dxa" w:w="518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Figure 1 (legend on p. 15).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Descriptive data</w:t>
            </w:r>
          </w:p>
        </w:tc>
        <w:tc>
          <w:tcPr>
            <w:tcW w:type="dxa" w:w="79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14(a)</w:t>
            </w:r>
          </w:p>
        </w:tc>
        <w:tc>
          <w:tcPr>
            <w:tcW w:type="dxa" w:w="669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Give participant characteristics and information on exposures and potential confounders.</w:t>
            </w:r>
          </w:p>
        </w:tc>
        <w:tc>
          <w:tcPr>
            <w:tcW w:type="dxa" w:w="518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Table 1, p. 16; complete baseline characteristics in Supplementary Table S9 (Supplementary Information p. 13).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Descriptive data</w:t>
            </w:r>
          </w:p>
        </w:tc>
        <w:tc>
          <w:tcPr>
            <w:tcW w:type="dxa" w:w="79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14(b)</w:t>
            </w:r>
          </w:p>
        </w:tc>
        <w:tc>
          <w:tcPr>
            <w:tcW w:type="dxa" w:w="669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Indicate numbers with missing data for each variable of interest.</w:t>
            </w:r>
          </w:p>
        </w:tc>
        <w:tc>
          <w:tcPr>
            <w:tcW w:type="dxa" w:w="518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p. 13; Supplementary Methods; Supplementary Tables S1 and S8.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Descriptive data</w:t>
            </w:r>
          </w:p>
        </w:tc>
        <w:tc>
          <w:tcPr>
            <w:tcW w:type="dxa" w:w="79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14(c)</w:t>
            </w:r>
          </w:p>
        </w:tc>
        <w:tc>
          <w:tcPr>
            <w:tcW w:type="dxa" w:w="669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Summarise follow-up time.</w:t>
            </w:r>
          </w:p>
        </w:tc>
        <w:tc>
          <w:tcPr>
            <w:tcW w:type="dxa" w:w="518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p. 10 (60-day outcome follow-up and administrative censoring).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Outcome data</w:t>
            </w:r>
          </w:p>
        </w:tc>
        <w:tc>
          <w:tcPr>
            <w:tcW w:type="dxa" w:w="79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15</w:t>
            </w:r>
          </w:p>
        </w:tc>
        <w:tc>
          <w:tcPr>
            <w:tcW w:type="dxa" w:w="669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Report numbers of outcome events or summary measures over time.</w:t>
            </w:r>
          </w:p>
        </w:tc>
        <w:tc>
          <w:tcPr>
            <w:tcW w:type="dxa" w:w="518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p. 2; Figure 1.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Main results</w:t>
            </w:r>
          </w:p>
        </w:tc>
        <w:tc>
          <w:tcPr>
            <w:tcW w:type="dxa" w:w="79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16(a)</w:t>
            </w:r>
          </w:p>
        </w:tc>
        <w:tc>
          <w:tcPr>
            <w:tcW w:type="dxa" w:w="669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Give unadjusted and, if applicable, adjusted estimates with precision; identify adjusted confounders and their rationale.</w:t>
            </w:r>
          </w:p>
        </w:tc>
        <w:tc>
          <w:tcPr>
            <w:tcW w:type="dxa" w:w="518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pp. 2–4; Figures 2–4; Supplementary Tables S2–S7. Adjusted covariates and their rationale are specified on pp. 11–12.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Main results</w:t>
            </w:r>
          </w:p>
        </w:tc>
        <w:tc>
          <w:tcPr>
            <w:tcW w:type="dxa" w:w="79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16(b)</w:t>
            </w:r>
          </w:p>
        </w:tc>
        <w:tc>
          <w:tcPr>
            <w:tcW w:type="dxa" w:w="669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Report category boundaries when continuous variables were categorised.</w:t>
            </w:r>
          </w:p>
        </w:tc>
        <w:tc>
          <w:tcPr>
            <w:tcW w:type="dxa" w:w="518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Not applicable to the primary molecular analyses: continuous features were standardised. Clinical Cox contrasts used prespecified increments (pp. 9–10; Supplementary Table S2).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Main results</w:t>
            </w:r>
          </w:p>
        </w:tc>
        <w:tc>
          <w:tcPr>
            <w:tcW w:type="dxa" w:w="79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16(c)</w:t>
            </w:r>
          </w:p>
        </w:tc>
        <w:tc>
          <w:tcPr>
            <w:tcW w:type="dxa" w:w="669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If relevant, consider translating relative-risk estimates into absolute risk over a meaningful period.</w:t>
            </w:r>
          </w:p>
        </w:tc>
        <w:tc>
          <w:tcPr>
            <w:tcW w:type="dxa" w:w="518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Not applicable: the study characterised prognostic molecular associations and did not develop an absolute-risk model.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Other analyses</w:t>
            </w:r>
          </w:p>
        </w:tc>
        <w:tc>
          <w:tcPr>
            <w:tcW w:type="dxa" w:w="79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17</w:t>
            </w:r>
          </w:p>
        </w:tc>
        <w:tc>
          <w:tcPr>
            <w:tcW w:type="dxa" w:w="669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Report other analyses, including subgroup, interaction and sensitivity analyses.</w:t>
            </w:r>
          </w:p>
        </w:tc>
        <w:tc>
          <w:tcPr>
            <w:tcW w:type="dxa" w:w="518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pp. 2–4 and 10–13; Supplementary Figs. S1–S9; Supplementary Tables S4, S6 and S8.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Key results</w:t>
            </w:r>
          </w:p>
        </w:tc>
        <w:tc>
          <w:tcPr>
            <w:tcW w:type="dxa" w:w="79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18</w:t>
            </w:r>
          </w:p>
        </w:tc>
        <w:tc>
          <w:tcPr>
            <w:tcW w:type="dxa" w:w="669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Summarise key results with reference to the study objectives.</w:t>
            </w:r>
          </w:p>
        </w:tc>
        <w:tc>
          <w:tcPr>
            <w:tcW w:type="dxa" w:w="518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p. 5 (opening Discussion paragraphs).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Limitations</w:t>
            </w:r>
          </w:p>
        </w:tc>
        <w:tc>
          <w:tcPr>
            <w:tcW w:type="dxa" w:w="79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19</w:t>
            </w:r>
          </w:p>
        </w:tc>
        <w:tc>
          <w:tcPr>
            <w:tcW w:type="dxa" w:w="669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Discuss limitations, including the direction and magnitude of potential bias or imprecision.</w:t>
            </w:r>
          </w:p>
        </w:tc>
        <w:tc>
          <w:tcPr>
            <w:tcW w:type="dxa" w:w="518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pp. 7–8 (limitations and potential sources of bias or imprecision).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Interpretation</w:t>
            </w:r>
          </w:p>
        </w:tc>
        <w:tc>
          <w:tcPr>
            <w:tcW w:type="dxa" w:w="79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20</w:t>
            </w:r>
          </w:p>
        </w:tc>
        <w:tc>
          <w:tcPr>
            <w:tcW w:type="dxa" w:w="669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Provide a cautious overall interpretation considering objectives, limitations, multiplicity and other evidence.</w:t>
            </w:r>
          </w:p>
        </w:tc>
        <w:tc>
          <w:tcPr>
            <w:tcW w:type="dxa" w:w="518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pp. 5–8 (Discussion, including multiplicity, alternative explanations and claim boundaries).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Generalisability</w:t>
            </w:r>
          </w:p>
        </w:tc>
        <w:tc>
          <w:tcPr>
            <w:tcW w:type="dxa" w:w="79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21</w:t>
            </w:r>
          </w:p>
        </w:tc>
        <w:tc>
          <w:tcPr>
            <w:tcW w:type="dxa" w:w="669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Discuss generalisability (external validity).</w:t>
            </w:r>
          </w:p>
        </w:tc>
        <w:tc>
          <w:tcPr>
            <w:tcW w:type="dxa" w:w="518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pp. 7–8 (need for independent validation and limits to external validity).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Funding</w:t>
            </w:r>
          </w:p>
        </w:tc>
        <w:tc>
          <w:tcPr>
            <w:tcW w:type="dxa" w:w="792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22</w:t>
            </w:r>
          </w:p>
        </w:tc>
        <w:tc>
          <w:tcPr>
            <w:tcW w:type="dxa" w:w="6696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Give funding sources for the present and parent study, if applicable.</w:t>
            </w:r>
          </w:p>
        </w:tc>
        <w:tc>
          <w:tcPr>
            <w:tcW w:type="dxa" w:w="5184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p. 14 (Funding).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720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sz w:val="16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STROBE checklist for Scientific Reports submission</dc:title>
  <dc:subject>Landmark-specific transcriptomic and proteomic associations with 60-day mortality in Day-1-defined sepsis-induced coagulopathy: a multicentre longitudinal cohort study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