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python-data-backfill-automation"/>
    <w:p>
      <w:pPr>
        <w:pStyle w:val="Title"/>
      </w:pPr>
      <w:r>
        <w:t xml:space="preserve">Python Data Backfill Automation</w:t>
      </w:r>
    </w:p>
    <w:p>
      <w:pPr>
        <w:pStyle w:val="FirstParagraph"/>
      </w:pPr>
      <w:r>
        <w:rPr>
          <w:b/>
          <w:bCs/>
        </w:rPr>
        <w:t xml:space="preserve">Code-verified explanation and operational walkthrough</w:t>
      </w:r>
      <w:r>
        <w:br/>
      </w:r>
      <w:r>
        <w:rPr>
          <w:b/>
          <w:bCs/>
        </w:rPr>
        <w:t xml:space="preserve">Source reviewed:</w:t>
      </w:r>
      <w:r>
        <w:t xml:space="preserve"> </w:t>
      </w:r>
      <w:r>
        <w:rPr>
          <w:rStyle w:val="VerbatimChar"/>
        </w:rPr>
        <w:t xml:space="preserve">Pasted text(7).txt</w:t>
      </w:r>
      <w:r>
        <w:t xml:space="preserve"> </w:t>
      </w:r>
      <w:r>
        <w:t xml:space="preserve">(420-line Python script)</w:t>
      </w:r>
      <w:r>
        <w:br/>
      </w:r>
      <w:r>
        <w:rPr>
          <w:b/>
          <w:bCs/>
        </w:rPr>
        <w:t xml:space="preserve">Prepared:</w:t>
      </w:r>
      <w:r>
        <w:t xml:space="preserve"> </w:t>
      </w:r>
      <w:r>
        <w:t xml:space="preserve">19 October 2026</w:t>
      </w:r>
      <w:r>
        <w:br/>
      </w:r>
      <w:r>
        <w:rPr>
          <w:b/>
          <w:bCs/>
        </w:rPr>
        <w:t xml:space="preserve">Audience:</w:t>
      </w:r>
      <w:r>
        <w:t xml:space="preserve"> </w:t>
      </w:r>
      <w:r>
        <w:t xml:space="preserve">Technical and non-technical readers</w:t>
      </w:r>
    </w:p>
    <w:p>
      <w:pPr>
        <w:pStyle w:val="BlockText"/>
      </w:pPr>
      <w:r>
        <w:rPr>
          <w:b/>
          <w:bCs/>
        </w:rPr>
        <w:t xml:space="preserve">Evidence standard:</w:t>
      </w:r>
      <w:r>
        <w:t xml:space="preserve"> </w:t>
      </w:r>
      <w:r>
        <w:t xml:space="preserve">Everything described as</w:t>
      </w:r>
      <w:r>
        <w:t xml:space="preserve"> </w:t>
      </w:r>
      <w:r>
        <w:rPr>
          <w:i/>
          <w:iCs/>
        </w:rPr>
        <w:t xml:space="preserve">verified</w:t>
      </w:r>
      <w:r>
        <w:t xml:space="preserve"> </w:t>
      </w:r>
      <w:r>
        <w:t xml:space="preserve">is supported by the supplied Python script. Examples are explicitly hypothetical. The actual INI file, live database schema, real records, logs, and successful execution evidence were not supplied. This document does not claim to have inspected them.</w:t>
      </w:r>
    </w:p>
    <w:bookmarkStart w:id="21" w:name="X543717d43dc32799f2b69c095bcabd5d470e089"/>
    <w:p>
      <w:pPr>
        <w:pStyle w:val="Heading2"/>
      </w:pPr>
      <w:r>
        <w:t xml:space="preserve">1. Executive overview</w:t>
      </w:r>
    </w:p>
    <w:p>
      <w:pPr>
        <w:pStyle w:val="FirstParagraph"/>
      </w:pPr>
      <w:r>
        <w:t xml:space="preserve">The script performs a</w:t>
      </w:r>
      <w:r>
        <w:t xml:space="preserve"> </w:t>
      </w:r>
      <w:r>
        <w:rPr>
          <w:b/>
          <w:bCs/>
        </w:rPr>
        <w:t xml:space="preserve">date-based backfill within one SQL Server table</w:t>
      </w:r>
      <w:r>
        <w:t xml:space="preserve">. In simple terms, it finds existing records for a selected</w:t>
      </w:r>
      <w:r>
        <w:t xml:space="preserve"> </w:t>
      </w:r>
      <w:r>
        <w:rPr>
          <w:b/>
          <w:bCs/>
        </w:rPr>
        <w:t xml:space="preserve">source date</w:t>
      </w:r>
      <w:r>
        <w:t xml:space="preserve"> </w:t>
      </w:r>
      <w:r>
        <w:t xml:space="preserve">and can insert copies into the</w:t>
      </w:r>
      <w:r>
        <w:t xml:space="preserve"> </w:t>
      </w:r>
      <w:r>
        <w:rPr>
          <w:b/>
          <w:bCs/>
        </w:rPr>
        <w:t xml:space="preserve">same table</w:t>
      </w:r>
      <w:r>
        <w:t xml:space="preserve"> </w:t>
      </w:r>
      <w:r>
        <w:t xml:space="preserve">with a requested</w:t>
      </w:r>
      <w:r>
        <w:t xml:space="preserve"> </w:t>
      </w:r>
      <w:r>
        <w:rPr>
          <w:b/>
          <w:bCs/>
        </w:rPr>
        <w:t xml:space="preserve">target date</w:t>
      </w:r>
      <w:r>
        <w:t xml:space="preserve">. It builds the SQL from the table's column metadata, performs checks before writing, and requires an explicit</w:t>
      </w:r>
      <w:r>
        <w:t xml:space="preserve"> </w:t>
      </w:r>
      <w:r>
        <w:rPr>
          <w:rStyle w:val="VerbatimChar"/>
        </w:rPr>
        <w:t xml:space="preserve">--EXECUTE</w:t>
      </w:r>
      <w:r>
        <w:t xml:space="preserve"> </w:t>
      </w:r>
      <w:r>
        <w:t xml:space="preserve">option to send the</w:t>
      </w:r>
      <w:r>
        <w:t xml:space="preserve"> </w:t>
      </w:r>
      <w:r>
        <w:rPr>
          <w:rStyle w:val="VerbatimChar"/>
        </w:rPr>
        <w:t xml:space="preserve">INSERT</w:t>
      </w:r>
      <w:r>
        <w:t xml:space="preserve"> </w:t>
      </w:r>
      <w:r>
        <w:t xml:space="preserve">statement.</w:t>
      </w:r>
    </w:p>
    <w:p>
      <w:pPr>
        <w:pStyle w:val="BodyText"/>
      </w:pPr>
      <w:r>
        <w:t xml:space="preserve">It supports one approved table and one source/target date pair per run. It does</w:t>
      </w:r>
      <w:r>
        <w:t xml:space="preserve"> </w:t>
      </w:r>
      <w:r>
        <w:rPr>
          <w:b/>
          <w:bCs/>
        </w:rPr>
        <w:t xml:space="preserve">not</w:t>
      </w:r>
      <w:r>
        <w:t xml:space="preserve"> </w:t>
      </w:r>
      <w:r>
        <w:t xml:space="preserve">read data from a CSV, Excel file, external API, or different source table. The generated SQL reads and writes the same three-part SQL Server table name.</w:t>
      </w:r>
      <w:r>
        <w:t xml:space="preserve"> </w:t>
      </w:r>
      <w:r>
        <w:rPr>
          <w:b/>
          <w:bCs/>
        </w:rPr>
        <w:t xml:space="preserve">Evidence:</w:t>
      </w:r>
      <w:r>
        <w:t xml:space="preserve"> </w:t>
      </w:r>
      <w:r>
        <w:rPr>
          <w:rStyle w:val="VerbatimChar"/>
        </w:rPr>
        <w:t xml:space="preserve">build_insert_sql()</w:t>
      </w:r>
      <w:r>
        <w:t xml:space="preserve"> </w:t>
      </w:r>
      <w:r>
        <w:t xml:space="preserve">(lines 209–227);</w:t>
      </w:r>
      <w:r>
        <w:t xml:space="preserve"> </w:t>
      </w:r>
      <w:r>
        <w:rPr>
          <w:rStyle w:val="VerbatimChar"/>
        </w:rPr>
        <w:t xml:space="preserve">run_backfill()</w:t>
      </w:r>
      <w:r>
        <w:t xml:space="preserve"> </w:t>
      </w:r>
      <w:r>
        <w:t xml:space="preserve">(lines 277–372).</w:t>
      </w:r>
    </w:p>
    <w:bookmarkStart w:id="20" w:name="a-simple-analogy"/>
    <w:p>
      <w:pPr>
        <w:pStyle w:val="Heading3"/>
      </w:pPr>
      <w:r>
        <w:t xml:space="preserve">A simple analogy</w:t>
      </w:r>
    </w:p>
    <w:p>
      <w:pPr>
        <w:pStyle w:val="FirstParagraph"/>
      </w:pPr>
      <w:r>
        <w:t xml:space="preserve">Imagine a cupboard containing folders labelled by date. The script can look at folders marked</w:t>
      </w:r>
      <w:r>
        <w:t xml:space="preserve"> </w:t>
      </w:r>
      <w:r>
        <w:rPr>
          <w:b/>
          <w:bCs/>
        </w:rPr>
        <w:t xml:space="preserve">Date A</w:t>
      </w:r>
      <w:r>
        <w:t xml:space="preserve">, check that there are no folders for</w:t>
      </w:r>
      <w:r>
        <w:t xml:space="preserve"> </w:t>
      </w:r>
      <w:r>
        <w:rPr>
          <w:b/>
          <w:bCs/>
        </w:rPr>
        <w:t xml:space="preserve">Date B</w:t>
      </w:r>
      <w:r>
        <w:t xml:space="preserve">, and prepare copies of the Date A folders relabelled Date B. It first tells you what it plans to do. Only when you explicitly enable execution does it try to add the new folders.</w:t>
      </w:r>
    </w:p>
    <w:p>
      <w:pPr>
        <w:pStyle w:val="BodyText"/>
      </w:pPr>
      <w:r>
        <w:rPr>
          <w:b/>
          <w:bCs/>
        </w:rPr>
        <w:t xml:space="preserve">What this analogy does not imply:</w:t>
      </w:r>
      <w:r>
        <w:t xml:space="preserve"> </w:t>
      </w:r>
      <w:r>
        <w:t xml:space="preserve">The Python script does not know your business reasons for copying the records, and it does not validate that each copied record is correct at the business level.</w:t>
      </w:r>
    </w:p>
    <w:bookmarkEnd w:id="20"/>
    <w:bookmarkEnd w:id="21"/>
    <w:bookmarkStart w:id="22" w:name="Xcf558a20825d46766d1e13bb07c6468a75f5dde"/>
    <w:p>
      <w:pPr>
        <w:pStyle w:val="Heading2"/>
      </w:pPr>
      <w:r>
        <w:t xml:space="preserve">2. Verified data sources, destination, and boundaries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Element</w:t>
            </w:r>
          </w:p>
        </w:tc>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What the code establishes</w:t>
            </w:r>
          </w:p>
        </w:tc>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Source</w:t>
            </w:r>
          </w:p>
        </w:tc>
      </w:tr>
      <w:tr>
        <w:tc>
          <w:tcPr>
            <w:vAlign w:val="center"/>
            <w:tcMar>
              <w:top w:w="65" w:type="dxa"/>
              <w:left w:w="65" w:type="dxa"/>
              <w:bottom w:w="65" w:type="dxa"/>
              <w:right w:w="65" w:type="dxa"/>
            </w:tcMar>
          </w:tcPr>
          <w:p>
            <w:pPr>
              <w:pStyle w:val="Compact"/>
              <w:spacing w:after="20" w:before="20"/>
              <w:jc w:val="left"/>
            </w:pPr>
            <w:r>
              <w:rPr>
                <w:sz w:val="15"/>
              </w:rPr>
              <w:t xml:space="preserve">Existing business rows</w:t>
            </w:r>
          </w:p>
        </w:tc>
        <w:tc>
          <w:tcPr>
            <w:vAlign w:val="center"/>
            <w:tcMar>
              <w:top w:w="65" w:type="dxa"/>
              <w:left w:w="65" w:type="dxa"/>
              <w:bottom w:w="65" w:type="dxa"/>
              <w:right w:w="65" w:type="dxa"/>
            </w:tcMar>
          </w:tcPr>
          <w:p>
            <w:pPr>
              <w:pStyle w:val="Compact"/>
              <w:spacing w:after="20" w:before="20"/>
              <w:jc w:val="left"/>
            </w:pPr>
            <w:r>
              <w:rPr>
                <w:sz w:val="15"/>
              </w:rPr>
              <w:t xml:space="preserve">Read from the selected table using</w:t>
            </w:r>
            <w:r>
              <w:rPr>
                <w:sz w:val="15"/>
              </w:rPr>
              <w:t xml:space="preserve"> </w:t>
            </w:r>
            <w:r>
              <w:rPr>
                <w:rStyle w:val="VerbatimChar"/>
                <w:sz w:val="15"/>
              </w:rPr>
              <w:t xml:space="preserve">WHERE &lt;date_column&gt; = ?</w:t>
            </w:r>
            <w:r>
              <w:rPr>
                <w:sz w:val="15"/>
              </w:rPr>
              <w:t xml:space="preserve">.</w:t>
            </w:r>
          </w:p>
        </w:tc>
        <w:tc>
          <w:tcPr>
            <w:vAlign w:val="center"/>
            <w:tcMar>
              <w:top w:w="65" w:type="dxa"/>
              <w:left w:w="65" w:type="dxa"/>
              <w:bottom w:w="65" w:type="dxa"/>
              <w:right w:w="65" w:type="dxa"/>
            </w:tcMar>
          </w:tcPr>
          <w:p>
            <w:pPr>
              <w:pStyle w:val="Compact"/>
              <w:spacing w:after="20" w:before="20"/>
              <w:jc w:val="left"/>
            </w:pPr>
            <w:r>
              <w:rPr>
                <w:sz w:val="15"/>
              </w:rPr>
              <w:t xml:space="preserve">Lines 209–227</w:t>
            </w:r>
          </w:p>
        </w:tc>
      </w:tr>
      <w:tr>
        <w:tc>
          <w:tcPr>
            <w:vAlign w:val="center"/>
            <w:tcMar>
              <w:top w:w="65" w:type="dxa"/>
              <w:left w:w="65" w:type="dxa"/>
              <w:bottom w:w="65" w:type="dxa"/>
              <w:right w:w="65" w:type="dxa"/>
            </w:tcMar>
            <w:shd w:fill="EFF4F8"/>
          </w:tcPr>
          <w:p>
            <w:pPr>
              <w:pStyle w:val="Compact"/>
              <w:spacing w:after="20" w:before="20"/>
              <w:jc w:val="left"/>
            </w:pPr>
            <w:r>
              <w:rPr>
                <w:sz w:val="15"/>
              </w:rPr>
              <w:t xml:space="preserve">New business rows</w:t>
            </w:r>
          </w:p>
        </w:tc>
        <w:tc>
          <w:tcPr>
            <w:vAlign w:val="center"/>
            <w:tcMar>
              <w:top w:w="65" w:type="dxa"/>
              <w:left w:w="65" w:type="dxa"/>
              <w:bottom w:w="65" w:type="dxa"/>
              <w:right w:w="65" w:type="dxa"/>
            </w:tcMar>
            <w:shd w:fill="EFF4F8"/>
          </w:tcPr>
          <w:p>
            <w:pPr>
              <w:pStyle w:val="Compact"/>
              <w:spacing w:after="20" w:before="20"/>
              <w:jc w:val="left"/>
            </w:pPr>
            <w:r>
              <w:rPr>
                <w:sz w:val="15"/>
              </w:rPr>
              <w:t xml:space="preserve">Inserted back into that</w:t>
            </w:r>
            <w:r>
              <w:rPr>
                <w:sz w:val="15"/>
              </w:rPr>
              <w:t xml:space="preserve"> </w:t>
            </w:r>
            <w:r>
              <w:rPr>
                <w:b/>
                <w:bCs/>
                <w:sz w:val="15"/>
              </w:rPr>
              <w:t xml:space="preserve">same</w:t>
            </w:r>
            <w:r>
              <w:rPr>
                <w:sz w:val="15"/>
              </w:rPr>
              <w:t xml:space="preserve"> </w:t>
            </w:r>
            <w:r>
              <w:rPr>
                <w:sz w:val="15"/>
              </w:rPr>
              <w:t xml:space="preserve">selected table using</w:t>
            </w:r>
            <w:r>
              <w:rPr>
                <w:sz w:val="15"/>
              </w:rPr>
              <w:t xml:space="preserve"> </w:t>
            </w:r>
            <w:r>
              <w:rPr>
                <w:rStyle w:val="VerbatimChar"/>
                <w:sz w:val="15"/>
              </w:rPr>
              <w:t xml:space="preserve">INSERT INTO ... SELECT</w:t>
            </w:r>
            <w:r>
              <w:rPr>
                <w:sz w:val="15"/>
              </w:rPr>
              <w:t xml:space="preserve">.</w:t>
            </w:r>
          </w:p>
        </w:tc>
        <w:tc>
          <w:tcPr>
            <w:vAlign w:val="center"/>
            <w:tcMar>
              <w:top w:w="65" w:type="dxa"/>
              <w:left w:w="65" w:type="dxa"/>
              <w:bottom w:w="65" w:type="dxa"/>
              <w:right w:w="65" w:type="dxa"/>
            </w:tcMar>
            <w:shd w:fill="EFF4F8"/>
          </w:tcPr>
          <w:p>
            <w:pPr>
              <w:pStyle w:val="Compact"/>
              <w:spacing w:after="20" w:before="20"/>
              <w:jc w:val="left"/>
            </w:pPr>
            <w:r>
              <w:rPr>
                <w:sz w:val="15"/>
              </w:rPr>
              <w:t xml:space="preserve">Lines 209–227</w:t>
            </w:r>
          </w:p>
        </w:tc>
      </w:tr>
      <w:tr>
        <w:tc>
          <w:tcPr>
            <w:vAlign w:val="center"/>
            <w:tcMar>
              <w:top w:w="65" w:type="dxa"/>
              <w:left w:w="65" w:type="dxa"/>
              <w:bottom w:w="65" w:type="dxa"/>
              <w:right w:w="65" w:type="dxa"/>
            </w:tcMar>
          </w:tcPr>
          <w:p>
            <w:pPr>
              <w:pStyle w:val="Compact"/>
              <w:spacing w:after="20" w:before="20"/>
              <w:jc w:val="left"/>
            </w:pPr>
            <w:r>
              <w:rPr>
                <w:sz w:val="15"/>
              </w:rPr>
              <w:t xml:space="preserve">Table identity</w:t>
            </w:r>
          </w:p>
        </w:tc>
        <w:tc>
          <w:tcPr>
            <w:vAlign w:val="center"/>
            <w:tcMar>
              <w:top w:w="65" w:type="dxa"/>
              <w:left w:w="65" w:type="dxa"/>
              <w:bottom w:w="65" w:type="dxa"/>
              <w:right w:w="65" w:type="dxa"/>
            </w:tcMar>
          </w:tcPr>
          <w:p>
            <w:pPr>
              <w:pStyle w:val="Compact"/>
              <w:spacing w:after="20" w:before="20"/>
              <w:jc w:val="left"/>
            </w:pPr>
            <w:r>
              <w:rPr>
                <w:sz w:val="15"/>
              </w:rPr>
              <w:t xml:space="preserve">Built as</w:t>
            </w:r>
            <w:r>
              <w:rPr>
                <w:sz w:val="15"/>
              </w:rPr>
              <w:t xml:space="preserve"> </w:t>
            </w:r>
            <w:r>
              <w:rPr>
                <w:rStyle w:val="VerbatimChar"/>
                <w:sz w:val="15"/>
              </w:rPr>
              <w:t xml:space="preserve">LIQUIDITY.LST_SF_EXTRACT.&lt;TABLE&gt;</w:t>
            </w:r>
            <w:r>
              <w:rPr>
                <w:sz w:val="15"/>
              </w:rPr>
              <w:t xml:space="preserve">.</w:t>
            </w:r>
          </w:p>
        </w:tc>
        <w:tc>
          <w:tcPr>
            <w:vAlign w:val="center"/>
            <w:tcMar>
              <w:top w:w="65" w:type="dxa"/>
              <w:left w:w="65" w:type="dxa"/>
              <w:bottom w:w="65" w:type="dxa"/>
              <w:right w:w="65" w:type="dxa"/>
            </w:tcMar>
          </w:tcPr>
          <w:p>
            <w:pPr>
              <w:pStyle w:val="Compact"/>
              <w:spacing w:after="20" w:before="20"/>
              <w:jc w:val="left"/>
            </w:pPr>
            <w:r>
              <w:rPr>
                <w:sz w:val="15"/>
              </w:rPr>
              <w:t xml:space="preserve">Lines 27–29, 112–113</w:t>
            </w:r>
          </w:p>
        </w:tc>
      </w:tr>
      <w:tr>
        <w:tc>
          <w:tcPr>
            <w:vAlign w:val="center"/>
            <w:tcMar>
              <w:top w:w="65" w:type="dxa"/>
              <w:left w:w="65" w:type="dxa"/>
              <w:bottom w:w="65" w:type="dxa"/>
              <w:right w:w="65" w:type="dxa"/>
            </w:tcMar>
            <w:shd w:fill="EFF4F8"/>
          </w:tcPr>
          <w:p>
            <w:pPr>
              <w:pStyle w:val="Compact"/>
              <w:spacing w:after="20" w:before="20"/>
              <w:jc w:val="left"/>
            </w:pPr>
            <w:r>
              <w:rPr>
                <w:sz w:val="15"/>
              </w:rPr>
              <w:t xml:space="preserve">SQL Server connection</w:t>
            </w:r>
          </w:p>
        </w:tc>
        <w:tc>
          <w:tcPr>
            <w:vAlign w:val="center"/>
            <w:tcMar>
              <w:top w:w="65" w:type="dxa"/>
              <w:left w:w="65" w:type="dxa"/>
              <w:bottom w:w="65" w:type="dxa"/>
              <w:right w:w="65" w:type="dxa"/>
            </w:tcMar>
            <w:shd w:fill="EFF4F8"/>
          </w:tcPr>
          <w:p>
            <w:pPr>
              <w:pStyle w:val="Compact"/>
              <w:spacing w:after="20" w:before="20"/>
              <w:jc w:val="left"/>
            </w:pPr>
            <w:r>
              <w:rPr>
                <w:sz w:val="15"/>
              </w:rPr>
              <w:t xml:space="preserve">Created with</w:t>
            </w:r>
            <w:r>
              <w:rPr>
                <w:sz w:val="15"/>
              </w:rPr>
              <w:t xml:space="preserve"> </w:t>
            </w:r>
            <w:r>
              <w:rPr>
                <w:rStyle w:val="VerbatimChar"/>
                <w:sz w:val="15"/>
              </w:rPr>
              <w:t xml:space="preserve">pyodbc</w:t>
            </w:r>
            <w:r>
              <w:rPr>
                <w:sz w:val="15"/>
              </w:rPr>
              <w:t xml:space="preserve">; server, initial database, and connection options come from an INI section.</w:t>
            </w:r>
          </w:p>
        </w:tc>
        <w:tc>
          <w:tcPr>
            <w:vAlign w:val="center"/>
            <w:tcMar>
              <w:top w:w="65" w:type="dxa"/>
              <w:left w:w="65" w:type="dxa"/>
              <w:bottom w:w="65" w:type="dxa"/>
              <w:right w:w="65" w:type="dxa"/>
            </w:tcMar>
            <w:shd w:fill="EFF4F8"/>
          </w:tcPr>
          <w:p>
            <w:pPr>
              <w:pStyle w:val="Compact"/>
              <w:spacing w:after="20" w:before="20"/>
              <w:jc w:val="left"/>
            </w:pPr>
            <w:r>
              <w:rPr>
                <w:sz w:val="15"/>
              </w:rPr>
              <w:t xml:space="preserve">Lines 47–100, 289–290</w:t>
            </w:r>
          </w:p>
        </w:tc>
      </w:tr>
      <w:tr>
        <w:tc>
          <w:tcPr>
            <w:vAlign w:val="center"/>
            <w:tcMar>
              <w:top w:w="65" w:type="dxa"/>
              <w:left w:w="65" w:type="dxa"/>
              <w:bottom w:w="65" w:type="dxa"/>
              <w:right w:w="65" w:type="dxa"/>
            </w:tcMar>
          </w:tcPr>
          <w:p>
            <w:pPr>
              <w:pStyle w:val="Compact"/>
              <w:spacing w:after="20" w:before="20"/>
              <w:jc w:val="left"/>
            </w:pPr>
            <w:r>
              <w:rPr>
                <w:sz w:val="15"/>
              </w:rPr>
              <w:t xml:space="preserve">Table existence metadata</w:t>
            </w:r>
          </w:p>
        </w:tc>
        <w:tc>
          <w:tcPr>
            <w:vAlign w:val="center"/>
            <w:tcMar>
              <w:top w:w="65" w:type="dxa"/>
              <w:left w:w="65" w:type="dxa"/>
              <w:bottom w:w="65" w:type="dxa"/>
              <w:right w:w="65" w:type="dxa"/>
            </w:tcMar>
          </w:tcPr>
          <w:p>
            <w:pPr>
              <w:pStyle w:val="Compact"/>
              <w:spacing w:after="20" w:before="20"/>
              <w:jc w:val="left"/>
            </w:pPr>
            <w:r>
              <w:rPr>
                <w:sz w:val="15"/>
              </w:rPr>
              <w:t xml:space="preserve">Obtained from</w:t>
            </w:r>
            <w:r>
              <w:rPr>
                <w:sz w:val="15"/>
              </w:rPr>
              <w:t xml:space="preserve"> </w:t>
            </w:r>
            <w:r>
              <w:rPr>
                <w:rStyle w:val="VerbatimChar"/>
                <w:sz w:val="15"/>
              </w:rPr>
              <w:t xml:space="preserve">INFORMATION_SCHEMA.TABLES</w:t>
            </w:r>
            <w:r>
              <w:rPr>
                <w:sz w:val="15"/>
              </w:rPr>
              <w:t xml:space="preserve">.</w:t>
            </w:r>
          </w:p>
        </w:tc>
        <w:tc>
          <w:tcPr>
            <w:vAlign w:val="center"/>
            <w:tcMar>
              <w:top w:w="65" w:type="dxa"/>
              <w:left w:w="65" w:type="dxa"/>
              <w:bottom w:w="65" w:type="dxa"/>
              <w:right w:w="65" w:type="dxa"/>
            </w:tcMar>
          </w:tcPr>
          <w:p>
            <w:pPr>
              <w:pStyle w:val="Compact"/>
              <w:spacing w:after="20" w:before="20"/>
              <w:jc w:val="left"/>
            </w:pPr>
            <w:r>
              <w:rPr>
                <w:sz w:val="15"/>
              </w:rPr>
              <w:t xml:space="preserve">Lines 129–142</w:t>
            </w:r>
          </w:p>
        </w:tc>
      </w:tr>
      <w:tr>
        <w:tc>
          <w:tcPr>
            <w:vAlign w:val="center"/>
            <w:tcMar>
              <w:top w:w="65" w:type="dxa"/>
              <w:left w:w="65" w:type="dxa"/>
              <w:bottom w:w="65" w:type="dxa"/>
              <w:right w:w="65" w:type="dxa"/>
            </w:tcMar>
            <w:shd w:fill="EFF4F8"/>
          </w:tcPr>
          <w:p>
            <w:pPr>
              <w:pStyle w:val="Compact"/>
              <w:spacing w:after="20" w:before="20"/>
              <w:jc w:val="left"/>
            </w:pPr>
            <w:r>
              <w:rPr>
                <w:sz w:val="15"/>
              </w:rPr>
              <w:t xml:space="preserve">Column metadata</w:t>
            </w:r>
          </w:p>
        </w:tc>
        <w:tc>
          <w:tcPr>
            <w:vAlign w:val="center"/>
            <w:tcMar>
              <w:top w:w="65" w:type="dxa"/>
              <w:left w:w="65" w:type="dxa"/>
              <w:bottom w:w="65" w:type="dxa"/>
              <w:right w:w="65" w:type="dxa"/>
            </w:tcMar>
            <w:shd w:fill="EFF4F8"/>
          </w:tcPr>
          <w:p>
            <w:pPr>
              <w:pStyle w:val="Compact"/>
              <w:spacing w:after="20" w:before="20"/>
              <w:jc w:val="left"/>
            </w:pPr>
            <w:r>
              <w:rPr>
                <w:sz w:val="15"/>
              </w:rPr>
              <w:t xml:space="preserve">Obtained from</w:t>
            </w:r>
            <w:r>
              <w:rPr>
                <w:sz w:val="15"/>
              </w:rPr>
              <w:t xml:space="preserve"> </w:t>
            </w:r>
            <w:r>
              <w:rPr>
                <w:rStyle w:val="VerbatimChar"/>
                <w:sz w:val="15"/>
              </w:rPr>
              <w:t xml:space="preserve">sys.columns</w:t>
            </w:r>
            <w:r>
              <w:rPr>
                <w:sz w:val="15"/>
              </w:rPr>
              <w:t xml:space="preserve">,</w:t>
            </w:r>
            <w:r>
              <w:rPr>
                <w:sz w:val="15"/>
              </w:rPr>
              <w:t xml:space="preserve"> </w:t>
            </w:r>
            <w:r>
              <w:rPr>
                <w:rStyle w:val="VerbatimChar"/>
                <w:sz w:val="15"/>
              </w:rPr>
              <w:t xml:space="preserve">sys.tables</w:t>
            </w:r>
            <w:r>
              <w:rPr>
                <w:sz w:val="15"/>
              </w:rPr>
              <w:t xml:space="preserve">,</w:t>
            </w:r>
            <w:r>
              <w:rPr>
                <w:sz w:val="15"/>
              </w:rPr>
              <w:t xml:space="preserve"> </w:t>
            </w:r>
            <w:r>
              <w:rPr>
                <w:rStyle w:val="VerbatimChar"/>
                <w:sz w:val="15"/>
              </w:rPr>
              <w:t xml:space="preserve">sys.schemas</w:t>
            </w:r>
            <w:r>
              <w:rPr>
                <w:sz w:val="15"/>
              </w:rPr>
              <w:t xml:space="preserve">, and</w:t>
            </w:r>
            <w:r>
              <w:rPr>
                <w:sz w:val="15"/>
              </w:rPr>
              <w:t xml:space="preserve"> </w:t>
            </w:r>
            <w:r>
              <w:rPr>
                <w:rStyle w:val="VerbatimChar"/>
                <w:sz w:val="15"/>
              </w:rPr>
              <w:t xml:space="preserve">sys.types</w:t>
            </w:r>
            <w:r>
              <w:rPr>
                <w:sz w:val="15"/>
              </w:rPr>
              <w:t xml:space="preserve">.</w:t>
            </w:r>
          </w:p>
        </w:tc>
        <w:tc>
          <w:tcPr>
            <w:vAlign w:val="center"/>
            <w:tcMar>
              <w:top w:w="65" w:type="dxa"/>
              <w:left w:w="65" w:type="dxa"/>
              <w:bottom w:w="65" w:type="dxa"/>
              <w:right w:w="65" w:type="dxa"/>
            </w:tcMar>
            <w:shd w:fill="EFF4F8"/>
          </w:tcPr>
          <w:p>
            <w:pPr>
              <w:pStyle w:val="Compact"/>
              <w:spacing w:after="20" w:before="20"/>
              <w:jc w:val="left"/>
            </w:pPr>
            <w:r>
              <w:rPr>
                <w:sz w:val="15"/>
              </w:rPr>
              <w:t xml:space="preserve">Lines 145–178</w:t>
            </w:r>
          </w:p>
        </w:tc>
      </w:tr>
      <w:tr>
        <w:tc>
          <w:tcPr>
            <w:vAlign w:val="center"/>
            <w:tcMar>
              <w:top w:w="65" w:type="dxa"/>
              <w:left w:w="65" w:type="dxa"/>
              <w:bottom w:w="65" w:type="dxa"/>
              <w:right w:w="65" w:type="dxa"/>
            </w:tcMar>
          </w:tcPr>
          <w:p>
            <w:pPr>
              <w:pStyle w:val="Compact"/>
              <w:spacing w:after="20" w:before="20"/>
              <w:jc w:val="left"/>
            </w:pPr>
            <w:r>
              <w:rPr>
                <w:sz w:val="15"/>
              </w:rPr>
              <w:t xml:space="preserve">Runtime input</w:t>
            </w:r>
          </w:p>
        </w:tc>
        <w:tc>
          <w:tcPr>
            <w:vAlign w:val="center"/>
            <w:tcMar>
              <w:top w:w="65" w:type="dxa"/>
              <w:left w:w="65" w:type="dxa"/>
              <w:bottom w:w="65" w:type="dxa"/>
              <w:right w:w="65" w:type="dxa"/>
            </w:tcMar>
          </w:tcPr>
          <w:p>
            <w:pPr>
              <w:pStyle w:val="Compact"/>
              <w:spacing w:after="20" w:before="20"/>
              <w:jc w:val="left"/>
            </w:pPr>
            <w:r>
              <w:rPr>
                <w:sz w:val="15"/>
              </w:rPr>
              <w:t xml:space="preserve">Arguments passed on the command line.</w:t>
            </w:r>
          </w:p>
        </w:tc>
        <w:tc>
          <w:tcPr>
            <w:vAlign w:val="center"/>
            <w:tcMar>
              <w:top w:w="65" w:type="dxa"/>
              <w:left w:w="65" w:type="dxa"/>
              <w:bottom w:w="65" w:type="dxa"/>
              <w:right w:w="65" w:type="dxa"/>
            </w:tcMar>
          </w:tcPr>
          <w:p>
            <w:pPr>
              <w:pStyle w:val="Compact"/>
              <w:spacing w:after="20" w:before="20"/>
              <w:jc w:val="left"/>
            </w:pPr>
            <w:r>
              <w:rPr>
                <w:sz w:val="15"/>
              </w:rPr>
              <w:t xml:space="preserve">Lines 394–402</w:t>
            </w:r>
          </w:p>
        </w:tc>
      </w:tr>
      <w:tr>
        <w:tc>
          <w:tcPr>
            <w:vAlign w:val="center"/>
            <w:tcMar>
              <w:top w:w="65" w:type="dxa"/>
              <w:left w:w="65" w:type="dxa"/>
              <w:bottom w:w="65" w:type="dxa"/>
              <w:right w:w="65" w:type="dxa"/>
            </w:tcMar>
            <w:shd w:fill="EFF4F8"/>
          </w:tcPr>
          <w:p>
            <w:pPr>
              <w:pStyle w:val="Compact"/>
              <w:spacing w:after="20" w:before="20"/>
              <w:jc w:val="left"/>
            </w:pPr>
            <w:r>
              <w:rPr>
                <w:sz w:val="15"/>
              </w:rPr>
              <w:t xml:space="preserve">Other data sources</w:t>
            </w:r>
          </w:p>
        </w:tc>
        <w:tc>
          <w:tcPr>
            <w:vAlign w:val="center"/>
            <w:tcMar>
              <w:top w:w="65" w:type="dxa"/>
              <w:left w:w="65" w:type="dxa"/>
              <w:bottom w:w="65" w:type="dxa"/>
              <w:right w:w="65" w:type="dxa"/>
            </w:tcMar>
            <w:shd w:fill="EFF4F8"/>
          </w:tcPr>
          <w:p>
            <w:pPr>
              <w:pStyle w:val="Compact"/>
              <w:spacing w:after="20" w:before="20"/>
              <w:jc w:val="left"/>
            </w:pPr>
            <w:r>
              <w:rPr>
                <w:sz w:val="15"/>
              </w:rPr>
              <w:t xml:space="preserve">No file-based import, API download, or additional business-row source table appears in the script.</w:t>
            </w:r>
          </w:p>
        </w:tc>
        <w:tc>
          <w:tcPr>
            <w:vAlign w:val="center"/>
            <w:tcMar>
              <w:top w:w="65" w:type="dxa"/>
              <w:left w:w="65" w:type="dxa"/>
              <w:bottom w:w="65" w:type="dxa"/>
              <w:right w:w="65" w:type="dxa"/>
            </w:tcMar>
            <w:shd w:fill="EFF4F8"/>
          </w:tcPr>
          <w:p>
            <w:pPr>
              <w:pStyle w:val="Compact"/>
              <w:spacing w:after="20" w:before="20"/>
              <w:jc w:val="left"/>
            </w:pPr>
            <w:r>
              <w:rPr>
                <w:sz w:val="15"/>
              </w:rPr>
              <w:t xml:space="preserve">Full supplied source</w:t>
            </w:r>
          </w:p>
        </w:tc>
      </w:tr>
    </w:tbl>
    <w:p>
      <w:pPr>
        <w:pStyle w:val="BodyText"/>
      </w:pPr>
      <w:r>
        <w:rPr>
          <w:b/>
          <w:bCs/>
        </w:rPr>
        <w:t xml:space="preserve">Important distinction:</w:t>
      </w:r>
      <w:r>
        <w:t xml:space="preserve"> </w:t>
      </w:r>
      <w:r>
        <w:t xml:space="preserve">The initial</w:t>
      </w:r>
      <w:r>
        <w:t xml:space="preserve"> </w:t>
      </w:r>
      <w:r>
        <w:rPr>
          <w:rStyle w:val="VerbatimChar"/>
        </w:rPr>
        <w:t xml:space="preserve">DATABASE</w:t>
      </w:r>
      <w:r>
        <w:t xml:space="preserve"> </w:t>
      </w:r>
      <w:r>
        <w:t xml:space="preserve">value in the ODBC connection is read from the INI file. The row-count and</w:t>
      </w:r>
      <w:r>
        <w:t xml:space="preserve"> </w:t>
      </w:r>
      <w:r>
        <w:rPr>
          <w:rStyle w:val="VerbatimChar"/>
        </w:rPr>
        <w:t xml:space="preserve">INSERT</w:t>
      </w:r>
      <w:r>
        <w:t xml:space="preserve"> </w:t>
      </w:r>
      <w:r>
        <w:t xml:space="preserve">queries use the fixed database name</w:t>
      </w:r>
      <w:r>
        <w:t xml:space="preserve"> </w:t>
      </w:r>
      <w:r>
        <w:rPr>
          <w:rStyle w:val="VerbatimChar"/>
        </w:rPr>
        <w:t xml:space="preserve">LIQUIDITY</w:t>
      </w:r>
      <w:r>
        <w:t xml:space="preserve">, but the catalog queries do</w:t>
      </w:r>
      <w:r>
        <w:t xml:space="preserve"> </w:t>
      </w:r>
      <w:r>
        <w:rPr>
          <w:b/>
          <w:bCs/>
        </w:rPr>
        <w:t xml:space="preserve">not</w:t>
      </w:r>
      <w:r>
        <w:t xml:space="preserve"> </w:t>
      </w:r>
      <w:r>
        <w:t xml:space="preserve">explicitly name that database. As the INI contents were not supplied, this document cannot confirm whether the configured initial database is</w:t>
      </w:r>
      <w:r>
        <w:t xml:space="preserve"> </w:t>
      </w:r>
      <w:r>
        <w:rPr>
          <w:rStyle w:val="VerbatimChar"/>
        </w:rPr>
        <w:t xml:space="preserve">LIQUIDITY</w:t>
      </w:r>
      <w:r>
        <w:t xml:space="preserve">.</w:t>
      </w:r>
      <w:r>
        <w:t xml:space="preserve"> </w:t>
      </w:r>
      <w:r>
        <w:rPr>
          <w:b/>
          <w:bCs/>
        </w:rPr>
        <w:t xml:space="preserve">Evidence:</w:t>
      </w:r>
      <w:r>
        <w:t xml:space="preserve"> </w:t>
      </w:r>
      <w:r>
        <w:t xml:space="preserve">lines 57–60, 112–113, 129–160, 209–235.</w:t>
      </w:r>
    </w:p>
    <w:bookmarkEnd w:id="22"/>
    <w:bookmarkStart w:id="23" w:name="X4c812d83f9b06e609aa2fb76e4338f566081f18"/>
    <w:p>
      <w:pPr>
        <w:pStyle w:val="Heading2"/>
      </w:pPr>
      <w:r>
        <w:t xml:space="preserve">3. Supported tables and date rules</w:t>
      </w:r>
    </w:p>
    <w:p>
      <w:pPr>
        <w:pStyle w:val="FirstParagraph"/>
      </w:pPr>
      <w:r>
        <w:t xml:space="preserve">The script accepts exactly these 12 table names through a hard-coded allowlist:</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w:t>
            </w:r>
          </w:p>
        </w:tc>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Approved table</w:t>
            </w:r>
          </w:p>
        </w:tc>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Source filter/date overwritten</w:t>
            </w:r>
          </w:p>
        </w:tc>
      </w:tr>
      <w:tr>
        <w:tc>
          <w:tcPr>
            <w:vAlign w:val="center"/>
            <w:tcMar>
              <w:top w:w="65" w:type="dxa"/>
              <w:left w:w="65" w:type="dxa"/>
              <w:bottom w:w="65" w:type="dxa"/>
              <w:right w:w="65" w:type="dxa"/>
            </w:tcMar>
          </w:tcPr>
          <w:p>
            <w:pPr>
              <w:pStyle w:val="Compact"/>
              <w:spacing w:after="20" w:before="20"/>
              <w:jc w:val="left"/>
            </w:pPr>
            <w:r>
              <w:rPr>
                <w:sz w:val="15"/>
              </w:rPr>
              <w:t xml:space="preserve">1</w:t>
            </w:r>
          </w:p>
        </w:tc>
        <w:tc>
          <w:tcPr>
            <w:vAlign w:val="center"/>
            <w:tcMar>
              <w:top w:w="65" w:type="dxa"/>
              <w:left w:w="65" w:type="dxa"/>
              <w:bottom w:w="65" w:type="dxa"/>
              <w:right w:w="65" w:type="dxa"/>
            </w:tcMar>
          </w:tcPr>
          <w:p>
            <w:pPr>
              <w:pStyle w:val="Compact"/>
              <w:spacing w:after="20" w:before="20"/>
              <w:jc w:val="left"/>
            </w:pPr>
            <w:r>
              <w:rPr>
                <w:rStyle w:val="VerbatimChar"/>
                <w:sz w:val="15"/>
              </w:rPr>
              <w:t xml:space="preserve">BANKING_COMMERCIAL_PAPER</w:t>
            </w:r>
          </w:p>
        </w:tc>
        <w:tc>
          <w:tcPr>
            <w:vAlign w:val="center"/>
            <w:tcMar>
              <w:top w:w="65" w:type="dxa"/>
              <w:left w:w="65" w:type="dxa"/>
              <w:bottom w:w="65" w:type="dxa"/>
              <w:right w:w="65" w:type="dxa"/>
            </w:tcMar>
          </w:tcPr>
          <w:p>
            <w:pPr>
              <w:pStyle w:val="Compact"/>
              <w:spacing w:after="20" w:before="20"/>
              <w:jc w:val="left"/>
            </w:pPr>
            <w:r>
              <w:rPr>
                <w:rStyle w:val="VerbatimChar"/>
                <w:sz w:val="15"/>
              </w:rPr>
              <w:t xml:space="preserve">AS_OF_DATE</w:t>
            </w:r>
          </w:p>
        </w:tc>
      </w:tr>
      <w:tr>
        <w:tc>
          <w:tcPr>
            <w:vAlign w:val="center"/>
            <w:tcMar>
              <w:top w:w="65" w:type="dxa"/>
              <w:left w:w="65" w:type="dxa"/>
              <w:bottom w:w="65" w:type="dxa"/>
              <w:right w:w="65" w:type="dxa"/>
            </w:tcMar>
            <w:shd w:fill="EFF4F8"/>
          </w:tcPr>
          <w:p>
            <w:pPr>
              <w:pStyle w:val="Compact"/>
              <w:spacing w:after="20" w:before="20"/>
              <w:jc w:val="left"/>
            </w:pPr>
            <w:r>
              <w:rPr>
                <w:sz w:val="15"/>
              </w:rPr>
              <w:t xml:space="preserve">2</w:t>
            </w:r>
          </w:p>
        </w:tc>
        <w:tc>
          <w:tcPr>
            <w:vAlign w:val="center"/>
            <w:tcMar>
              <w:top w:w="65" w:type="dxa"/>
              <w:left w:w="65" w:type="dxa"/>
              <w:bottom w:w="65" w:type="dxa"/>
              <w:right w:w="65" w:type="dxa"/>
            </w:tcMar>
            <w:shd w:fill="EFF4F8"/>
          </w:tcPr>
          <w:p>
            <w:pPr>
              <w:pStyle w:val="Compact"/>
              <w:spacing w:after="20" w:before="20"/>
              <w:jc w:val="left"/>
            </w:pPr>
            <w:r>
              <w:rPr>
                <w:rStyle w:val="VerbatimChar"/>
                <w:sz w:val="15"/>
              </w:rPr>
              <w:t xml:space="preserve">BANKING_DEPOSITS</w:t>
            </w:r>
          </w:p>
        </w:tc>
        <w:tc>
          <w:tcPr>
            <w:vAlign w:val="center"/>
            <w:tcMar>
              <w:top w:w="65" w:type="dxa"/>
              <w:left w:w="65" w:type="dxa"/>
              <w:bottom w:w="65" w:type="dxa"/>
              <w:right w:w="65" w:type="dxa"/>
            </w:tcMar>
            <w:shd w:fill="EFF4F8"/>
          </w:tcPr>
          <w:p>
            <w:pPr>
              <w:pStyle w:val="Compact"/>
              <w:spacing w:after="20" w:before="20"/>
              <w:jc w:val="left"/>
            </w:pPr>
            <w:r>
              <w:rPr>
                <w:rStyle w:val="VerbatimChar"/>
                <w:sz w:val="15"/>
              </w:rPr>
              <w:t xml:space="preserve">AS_OF_DATE</w:t>
            </w:r>
          </w:p>
        </w:tc>
      </w:tr>
      <w:tr>
        <w:tc>
          <w:tcPr>
            <w:vAlign w:val="center"/>
            <w:tcMar>
              <w:top w:w="65" w:type="dxa"/>
              <w:left w:w="65" w:type="dxa"/>
              <w:bottom w:w="65" w:type="dxa"/>
              <w:right w:w="65" w:type="dxa"/>
            </w:tcMar>
          </w:tcPr>
          <w:p>
            <w:pPr>
              <w:pStyle w:val="Compact"/>
              <w:spacing w:after="20" w:before="20"/>
              <w:jc w:val="left"/>
            </w:pPr>
            <w:r>
              <w:rPr>
                <w:sz w:val="15"/>
              </w:rPr>
              <w:t xml:space="preserve">3</w:t>
            </w:r>
          </w:p>
        </w:tc>
        <w:tc>
          <w:tcPr>
            <w:vAlign w:val="center"/>
            <w:tcMar>
              <w:top w:w="65" w:type="dxa"/>
              <w:left w:w="65" w:type="dxa"/>
              <w:bottom w:w="65" w:type="dxa"/>
              <w:right w:w="65" w:type="dxa"/>
            </w:tcMar>
          </w:tcPr>
          <w:p>
            <w:pPr>
              <w:pStyle w:val="Compact"/>
              <w:spacing w:after="20" w:before="20"/>
              <w:jc w:val="left"/>
            </w:pPr>
            <w:r>
              <w:rPr>
                <w:rStyle w:val="VerbatimChar"/>
                <w:sz w:val="15"/>
              </w:rPr>
              <w:t xml:space="preserve">BANKING_LOANS</w:t>
            </w:r>
          </w:p>
        </w:tc>
        <w:tc>
          <w:tcPr>
            <w:vAlign w:val="center"/>
            <w:tcMar>
              <w:top w:w="65" w:type="dxa"/>
              <w:left w:w="65" w:type="dxa"/>
              <w:bottom w:w="65" w:type="dxa"/>
              <w:right w:w="65" w:type="dxa"/>
            </w:tcMar>
          </w:tcPr>
          <w:p>
            <w:pPr>
              <w:pStyle w:val="Compact"/>
              <w:spacing w:after="20" w:before="20"/>
              <w:jc w:val="left"/>
            </w:pPr>
            <w:r>
              <w:rPr>
                <w:rStyle w:val="VerbatimChar"/>
                <w:sz w:val="15"/>
              </w:rPr>
              <w:t xml:space="preserve">AS_OF_DATE</w:t>
            </w:r>
          </w:p>
        </w:tc>
      </w:tr>
      <w:tr>
        <w:tc>
          <w:tcPr>
            <w:vAlign w:val="center"/>
            <w:tcMar>
              <w:top w:w="65" w:type="dxa"/>
              <w:left w:w="65" w:type="dxa"/>
              <w:bottom w:w="65" w:type="dxa"/>
              <w:right w:w="65" w:type="dxa"/>
            </w:tcMar>
            <w:shd w:fill="EFF4F8"/>
          </w:tcPr>
          <w:p>
            <w:pPr>
              <w:pStyle w:val="Compact"/>
              <w:spacing w:after="20" w:before="20"/>
              <w:jc w:val="left"/>
            </w:pPr>
            <w:r>
              <w:rPr>
                <w:sz w:val="15"/>
              </w:rPr>
              <w:t xml:space="preserve">4</w:t>
            </w:r>
          </w:p>
        </w:tc>
        <w:tc>
          <w:tcPr>
            <w:vAlign w:val="center"/>
            <w:tcMar>
              <w:top w:w="65" w:type="dxa"/>
              <w:left w:w="65" w:type="dxa"/>
              <w:bottom w:w="65" w:type="dxa"/>
              <w:right w:w="65" w:type="dxa"/>
            </w:tcMar>
            <w:shd w:fill="EFF4F8"/>
          </w:tcPr>
          <w:p>
            <w:pPr>
              <w:pStyle w:val="Compact"/>
              <w:spacing w:after="20" w:before="20"/>
              <w:jc w:val="left"/>
            </w:pPr>
            <w:r>
              <w:rPr>
                <w:rStyle w:val="VerbatimChar"/>
                <w:sz w:val="15"/>
              </w:rPr>
              <w:t xml:space="preserve">BANKING_SFTS</w:t>
            </w:r>
          </w:p>
        </w:tc>
        <w:tc>
          <w:tcPr>
            <w:vAlign w:val="center"/>
            <w:tcMar>
              <w:top w:w="65" w:type="dxa"/>
              <w:left w:w="65" w:type="dxa"/>
              <w:bottom w:w="65" w:type="dxa"/>
              <w:right w:w="65" w:type="dxa"/>
            </w:tcMar>
            <w:shd w:fill="EFF4F8"/>
          </w:tcPr>
          <w:p>
            <w:pPr>
              <w:pStyle w:val="Compact"/>
              <w:spacing w:after="20" w:before="20"/>
              <w:jc w:val="left"/>
            </w:pPr>
            <w:r>
              <w:rPr>
                <w:rStyle w:val="VerbatimChar"/>
                <w:sz w:val="15"/>
              </w:rPr>
              <w:t xml:space="preserve">AS_OF_DATE</w:t>
            </w:r>
          </w:p>
        </w:tc>
      </w:tr>
      <w:tr>
        <w:tc>
          <w:tcPr>
            <w:vAlign w:val="center"/>
            <w:tcMar>
              <w:top w:w="65" w:type="dxa"/>
              <w:left w:w="65" w:type="dxa"/>
              <w:bottom w:w="65" w:type="dxa"/>
              <w:right w:w="65" w:type="dxa"/>
            </w:tcMar>
          </w:tcPr>
          <w:p>
            <w:pPr>
              <w:pStyle w:val="Compact"/>
              <w:spacing w:after="20" w:before="20"/>
              <w:jc w:val="left"/>
            </w:pPr>
            <w:r>
              <w:rPr>
                <w:sz w:val="15"/>
              </w:rPr>
              <w:t xml:space="preserve">5</w:t>
            </w:r>
          </w:p>
        </w:tc>
        <w:tc>
          <w:tcPr>
            <w:vAlign w:val="center"/>
            <w:tcMar>
              <w:top w:w="65" w:type="dxa"/>
              <w:left w:w="65" w:type="dxa"/>
              <w:bottom w:w="65" w:type="dxa"/>
              <w:right w:w="65" w:type="dxa"/>
            </w:tcMar>
          </w:tcPr>
          <w:p>
            <w:pPr>
              <w:pStyle w:val="Compact"/>
              <w:spacing w:after="20" w:before="20"/>
              <w:jc w:val="left"/>
            </w:pPr>
            <w:r>
              <w:rPr>
                <w:rStyle w:val="VerbatimChar"/>
                <w:sz w:val="15"/>
              </w:rPr>
              <w:t xml:space="preserve">CM_DERIVS_CASHFLOWS</w:t>
            </w:r>
          </w:p>
        </w:tc>
        <w:tc>
          <w:tcPr>
            <w:vAlign w:val="center"/>
            <w:tcMar>
              <w:top w:w="65" w:type="dxa"/>
              <w:left w:w="65" w:type="dxa"/>
              <w:bottom w:w="65" w:type="dxa"/>
              <w:right w:w="65" w:type="dxa"/>
            </w:tcMar>
          </w:tcPr>
          <w:p>
            <w:pPr>
              <w:pStyle w:val="Compact"/>
              <w:spacing w:after="20" w:before="20"/>
              <w:jc w:val="left"/>
            </w:pPr>
            <w:r>
              <w:rPr>
                <w:rStyle w:val="VerbatimChar"/>
                <w:sz w:val="15"/>
              </w:rPr>
              <w:t xml:space="preserve">AS_OF_DATE</w:t>
            </w:r>
          </w:p>
        </w:tc>
      </w:tr>
      <w:tr>
        <w:tc>
          <w:tcPr>
            <w:vAlign w:val="center"/>
            <w:tcMar>
              <w:top w:w="65" w:type="dxa"/>
              <w:left w:w="65" w:type="dxa"/>
              <w:bottom w:w="65" w:type="dxa"/>
              <w:right w:w="65" w:type="dxa"/>
            </w:tcMar>
            <w:shd w:fill="EFF4F8"/>
          </w:tcPr>
          <w:p>
            <w:pPr>
              <w:pStyle w:val="Compact"/>
              <w:spacing w:after="20" w:before="20"/>
              <w:jc w:val="left"/>
            </w:pPr>
            <w:r>
              <w:rPr>
                <w:sz w:val="15"/>
              </w:rPr>
              <w:t xml:space="preserve">6</w:t>
            </w:r>
          </w:p>
        </w:tc>
        <w:tc>
          <w:tcPr>
            <w:vAlign w:val="center"/>
            <w:tcMar>
              <w:top w:w="65" w:type="dxa"/>
              <w:left w:w="65" w:type="dxa"/>
              <w:bottom w:w="65" w:type="dxa"/>
              <w:right w:w="65" w:type="dxa"/>
            </w:tcMar>
            <w:shd w:fill="EFF4F8"/>
          </w:tcPr>
          <w:p>
            <w:pPr>
              <w:pStyle w:val="Compact"/>
              <w:spacing w:after="20" w:before="20"/>
              <w:jc w:val="left"/>
            </w:pPr>
            <w:r>
              <w:rPr>
                <w:rStyle w:val="VerbatimChar"/>
                <w:sz w:val="15"/>
              </w:rPr>
              <w:t xml:space="preserve">CM_NOTES</w:t>
            </w:r>
          </w:p>
        </w:tc>
        <w:tc>
          <w:tcPr>
            <w:vAlign w:val="center"/>
            <w:tcMar>
              <w:top w:w="65" w:type="dxa"/>
              <w:left w:w="65" w:type="dxa"/>
              <w:bottom w:w="65" w:type="dxa"/>
              <w:right w:w="65" w:type="dxa"/>
            </w:tcMar>
            <w:shd w:fill="EFF4F8"/>
          </w:tcPr>
          <w:p>
            <w:pPr>
              <w:pStyle w:val="Compact"/>
              <w:spacing w:after="20" w:before="20"/>
              <w:jc w:val="left"/>
            </w:pPr>
            <w:r>
              <w:rPr>
                <w:rStyle w:val="VerbatimChar"/>
                <w:sz w:val="15"/>
              </w:rPr>
              <w:t xml:space="preserve">AS_OF_DATE</w:t>
            </w:r>
          </w:p>
        </w:tc>
      </w:tr>
      <w:tr>
        <w:tc>
          <w:tcPr>
            <w:vAlign w:val="center"/>
            <w:tcMar>
              <w:top w:w="65" w:type="dxa"/>
              <w:left w:w="65" w:type="dxa"/>
              <w:bottom w:w="65" w:type="dxa"/>
              <w:right w:w="65" w:type="dxa"/>
            </w:tcMar>
          </w:tcPr>
          <w:p>
            <w:pPr>
              <w:pStyle w:val="Compact"/>
              <w:spacing w:after="20" w:before="20"/>
              <w:jc w:val="left"/>
            </w:pPr>
            <w:r>
              <w:rPr>
                <w:sz w:val="15"/>
              </w:rPr>
              <w:t xml:space="preserve">7</w:t>
            </w:r>
          </w:p>
        </w:tc>
        <w:tc>
          <w:tcPr>
            <w:vAlign w:val="center"/>
            <w:tcMar>
              <w:top w:w="65" w:type="dxa"/>
              <w:left w:w="65" w:type="dxa"/>
              <w:bottom w:w="65" w:type="dxa"/>
              <w:right w:w="65" w:type="dxa"/>
            </w:tcMar>
          </w:tcPr>
          <w:p>
            <w:pPr>
              <w:pStyle w:val="Compact"/>
              <w:spacing w:after="20" w:before="20"/>
              <w:jc w:val="left"/>
            </w:pPr>
            <w:r>
              <w:rPr>
                <w:rStyle w:val="VerbatimChar"/>
                <w:sz w:val="15"/>
              </w:rPr>
              <w:t xml:space="preserve">CM_SFTS</w:t>
            </w:r>
          </w:p>
        </w:tc>
        <w:tc>
          <w:tcPr>
            <w:vAlign w:val="center"/>
            <w:tcMar>
              <w:top w:w="65" w:type="dxa"/>
              <w:left w:w="65" w:type="dxa"/>
              <w:bottom w:w="65" w:type="dxa"/>
              <w:right w:w="65" w:type="dxa"/>
            </w:tcMar>
          </w:tcPr>
          <w:p>
            <w:pPr>
              <w:pStyle w:val="Compact"/>
              <w:spacing w:after="20" w:before="20"/>
              <w:jc w:val="left"/>
            </w:pPr>
            <w:r>
              <w:rPr>
                <w:rStyle w:val="VerbatimChar"/>
                <w:sz w:val="15"/>
              </w:rPr>
              <w:t xml:space="preserve">AS_OF_DATE</w:t>
            </w:r>
          </w:p>
        </w:tc>
      </w:tr>
      <w:tr>
        <w:tc>
          <w:tcPr>
            <w:vAlign w:val="center"/>
            <w:tcMar>
              <w:top w:w="65" w:type="dxa"/>
              <w:left w:w="65" w:type="dxa"/>
              <w:bottom w:w="65" w:type="dxa"/>
              <w:right w:w="65" w:type="dxa"/>
            </w:tcMar>
            <w:shd w:fill="EFF4F8"/>
          </w:tcPr>
          <w:p>
            <w:pPr>
              <w:pStyle w:val="Compact"/>
              <w:spacing w:after="20" w:before="20"/>
              <w:jc w:val="left"/>
            </w:pPr>
            <w:r>
              <w:rPr>
                <w:sz w:val="15"/>
              </w:rPr>
              <w:t xml:space="preserve">8</w:t>
            </w:r>
          </w:p>
        </w:tc>
        <w:tc>
          <w:tcPr>
            <w:vAlign w:val="center"/>
            <w:tcMar>
              <w:top w:w="65" w:type="dxa"/>
              <w:left w:w="65" w:type="dxa"/>
              <w:bottom w:w="65" w:type="dxa"/>
              <w:right w:w="65" w:type="dxa"/>
            </w:tcMar>
            <w:shd w:fill="EFF4F8"/>
          </w:tcPr>
          <w:p>
            <w:pPr>
              <w:pStyle w:val="Compact"/>
              <w:spacing w:after="20" w:before="20"/>
              <w:jc w:val="left"/>
            </w:pPr>
            <w:r>
              <w:rPr>
                <w:rStyle w:val="VerbatimChar"/>
                <w:sz w:val="15"/>
              </w:rPr>
              <w:t xml:space="preserve">CM_SLEEPER_COLLATERAL</w:t>
            </w:r>
          </w:p>
        </w:tc>
        <w:tc>
          <w:tcPr>
            <w:vAlign w:val="center"/>
            <w:tcMar>
              <w:top w:w="65" w:type="dxa"/>
              <w:left w:w="65" w:type="dxa"/>
              <w:bottom w:w="65" w:type="dxa"/>
              <w:right w:w="65" w:type="dxa"/>
            </w:tcMar>
            <w:shd w:fill="EFF4F8"/>
          </w:tcPr>
          <w:p>
            <w:pPr>
              <w:pStyle w:val="Compact"/>
              <w:spacing w:after="20" w:before="20"/>
              <w:jc w:val="left"/>
            </w:pPr>
            <w:r>
              <w:rPr>
                <w:rStyle w:val="VerbatimChar"/>
                <w:sz w:val="15"/>
              </w:rPr>
              <w:t xml:space="preserve">AS_OF_DATE</w:t>
            </w:r>
          </w:p>
        </w:tc>
      </w:tr>
      <w:tr>
        <w:tc>
          <w:tcPr>
            <w:vAlign w:val="center"/>
            <w:tcMar>
              <w:top w:w="65" w:type="dxa"/>
              <w:left w:w="65" w:type="dxa"/>
              <w:bottom w:w="65" w:type="dxa"/>
              <w:right w:w="65" w:type="dxa"/>
            </w:tcMar>
          </w:tcPr>
          <w:p>
            <w:pPr>
              <w:pStyle w:val="Compact"/>
              <w:spacing w:after="20" w:before="20"/>
              <w:jc w:val="left"/>
            </w:pPr>
            <w:r>
              <w:rPr>
                <w:sz w:val="15"/>
              </w:rPr>
              <w:t xml:space="preserve">9</w:t>
            </w:r>
          </w:p>
        </w:tc>
        <w:tc>
          <w:tcPr>
            <w:vAlign w:val="center"/>
            <w:tcMar>
              <w:top w:w="65" w:type="dxa"/>
              <w:left w:w="65" w:type="dxa"/>
              <w:bottom w:w="65" w:type="dxa"/>
              <w:right w:w="65" w:type="dxa"/>
            </w:tcMar>
          </w:tcPr>
          <w:p>
            <w:pPr>
              <w:pStyle w:val="Compact"/>
              <w:spacing w:after="20" w:before="20"/>
              <w:jc w:val="left"/>
            </w:pPr>
            <w:r>
              <w:rPr>
                <w:rStyle w:val="VerbatimChar"/>
                <w:sz w:val="15"/>
              </w:rPr>
              <w:t xml:space="preserve">CM_TENDER_OPTION_BONDS</w:t>
            </w:r>
          </w:p>
        </w:tc>
        <w:tc>
          <w:tcPr>
            <w:vAlign w:val="center"/>
            <w:tcMar>
              <w:top w:w="65" w:type="dxa"/>
              <w:left w:w="65" w:type="dxa"/>
              <w:bottom w:w="65" w:type="dxa"/>
              <w:right w:w="65" w:type="dxa"/>
            </w:tcMar>
          </w:tcPr>
          <w:p>
            <w:pPr>
              <w:pStyle w:val="Compact"/>
              <w:spacing w:after="20" w:before="20"/>
              <w:jc w:val="left"/>
            </w:pPr>
            <w:r>
              <w:rPr>
                <w:rStyle w:val="VerbatimChar"/>
                <w:sz w:val="15"/>
              </w:rPr>
              <w:t xml:space="preserve">AS_OF_DATE</w:t>
            </w:r>
          </w:p>
        </w:tc>
      </w:tr>
      <w:tr>
        <w:tc>
          <w:tcPr>
            <w:vAlign w:val="center"/>
            <w:tcMar>
              <w:top w:w="65" w:type="dxa"/>
              <w:left w:w="65" w:type="dxa"/>
              <w:bottom w:w="65" w:type="dxa"/>
              <w:right w:w="65" w:type="dxa"/>
            </w:tcMar>
            <w:shd w:fill="EFF4F8"/>
          </w:tcPr>
          <w:p>
            <w:pPr>
              <w:pStyle w:val="Compact"/>
              <w:spacing w:after="20" w:before="20"/>
              <w:jc w:val="left"/>
            </w:pPr>
            <w:r>
              <w:rPr>
                <w:sz w:val="15"/>
              </w:rPr>
              <w:t xml:space="preserve">10</w:t>
            </w:r>
          </w:p>
        </w:tc>
        <w:tc>
          <w:tcPr>
            <w:vAlign w:val="center"/>
            <w:tcMar>
              <w:top w:w="65" w:type="dxa"/>
              <w:left w:w="65" w:type="dxa"/>
              <w:bottom w:w="65" w:type="dxa"/>
              <w:right w:w="65" w:type="dxa"/>
            </w:tcMar>
            <w:shd w:fill="EFF4F8"/>
          </w:tcPr>
          <w:p>
            <w:pPr>
              <w:pStyle w:val="Compact"/>
              <w:spacing w:after="20" w:before="20"/>
              <w:jc w:val="left"/>
            </w:pPr>
            <w:r>
              <w:rPr>
                <w:rStyle w:val="VerbatimChar"/>
                <w:sz w:val="15"/>
              </w:rPr>
              <w:t xml:space="preserve">CM_TOTAL_RETURN_SWAPS</w:t>
            </w:r>
          </w:p>
        </w:tc>
        <w:tc>
          <w:tcPr>
            <w:vAlign w:val="center"/>
            <w:tcMar>
              <w:top w:w="65" w:type="dxa"/>
              <w:left w:w="65" w:type="dxa"/>
              <w:bottom w:w="65" w:type="dxa"/>
              <w:right w:w="65" w:type="dxa"/>
            </w:tcMar>
            <w:shd w:fill="EFF4F8"/>
          </w:tcPr>
          <w:p>
            <w:pPr>
              <w:pStyle w:val="Compact"/>
              <w:spacing w:after="20" w:before="20"/>
              <w:jc w:val="left"/>
            </w:pPr>
            <w:r>
              <w:rPr>
                <w:rStyle w:val="VerbatimChar"/>
                <w:sz w:val="15"/>
              </w:rPr>
              <w:t xml:space="preserve">AS_OF_DATE</w:t>
            </w:r>
          </w:p>
        </w:tc>
      </w:tr>
      <w:tr>
        <w:tc>
          <w:tcPr>
            <w:vAlign w:val="center"/>
            <w:tcMar>
              <w:top w:w="65" w:type="dxa"/>
              <w:left w:w="65" w:type="dxa"/>
              <w:bottom w:w="65" w:type="dxa"/>
              <w:right w:w="65" w:type="dxa"/>
            </w:tcMar>
          </w:tcPr>
          <w:p>
            <w:pPr>
              <w:pStyle w:val="Compact"/>
              <w:spacing w:after="20" w:before="20"/>
              <w:jc w:val="left"/>
            </w:pPr>
            <w:r>
              <w:rPr>
                <w:sz w:val="15"/>
              </w:rPr>
              <w:t xml:space="preserve">11</w:t>
            </w:r>
          </w:p>
        </w:tc>
        <w:tc>
          <w:tcPr>
            <w:vAlign w:val="center"/>
            <w:tcMar>
              <w:top w:w="65" w:type="dxa"/>
              <w:left w:w="65" w:type="dxa"/>
              <w:bottom w:w="65" w:type="dxa"/>
              <w:right w:w="65" w:type="dxa"/>
            </w:tcMar>
          </w:tcPr>
          <w:p>
            <w:pPr>
              <w:pStyle w:val="Compact"/>
              <w:spacing w:after="20" w:before="20"/>
              <w:jc w:val="left"/>
            </w:pPr>
            <w:r>
              <w:rPr>
                <w:rStyle w:val="VerbatimChar"/>
                <w:sz w:val="15"/>
              </w:rPr>
              <w:t xml:space="preserve">DERIVS_COLLATERAL</w:t>
            </w:r>
          </w:p>
        </w:tc>
        <w:tc>
          <w:tcPr>
            <w:vAlign w:val="center"/>
            <w:tcMar>
              <w:top w:w="65" w:type="dxa"/>
              <w:left w:w="65" w:type="dxa"/>
              <w:bottom w:w="65" w:type="dxa"/>
              <w:right w:w="65" w:type="dxa"/>
            </w:tcMar>
          </w:tcPr>
          <w:p>
            <w:pPr>
              <w:pStyle w:val="Compact"/>
              <w:spacing w:after="20" w:before="20"/>
              <w:jc w:val="left"/>
            </w:pPr>
            <w:r>
              <w:rPr>
                <w:rStyle w:val="VerbatimChar"/>
                <w:sz w:val="15"/>
              </w:rPr>
              <w:t xml:space="preserve">AS_OF_DATE</w:t>
            </w:r>
          </w:p>
        </w:tc>
      </w:tr>
      <w:tr>
        <w:tc>
          <w:tcPr>
            <w:vAlign w:val="center"/>
            <w:tcMar>
              <w:top w:w="65" w:type="dxa"/>
              <w:left w:w="65" w:type="dxa"/>
              <w:bottom w:w="65" w:type="dxa"/>
              <w:right w:w="65" w:type="dxa"/>
            </w:tcMar>
            <w:shd w:fill="EFF4F8"/>
          </w:tcPr>
          <w:p>
            <w:pPr>
              <w:pStyle w:val="Compact"/>
              <w:spacing w:after="20" w:before="20"/>
              <w:jc w:val="left"/>
            </w:pPr>
            <w:r>
              <w:rPr>
                <w:sz w:val="15"/>
              </w:rPr>
              <w:t xml:space="preserve">12</w:t>
            </w:r>
          </w:p>
        </w:tc>
        <w:tc>
          <w:tcPr>
            <w:vAlign w:val="center"/>
            <w:tcMar>
              <w:top w:w="65" w:type="dxa"/>
              <w:left w:w="65" w:type="dxa"/>
              <w:bottom w:w="65" w:type="dxa"/>
              <w:right w:w="65" w:type="dxa"/>
            </w:tcMar>
            <w:shd w:fill="EFF4F8"/>
          </w:tcPr>
          <w:p>
            <w:pPr>
              <w:pStyle w:val="Compact"/>
              <w:spacing w:after="20" w:before="20"/>
              <w:jc w:val="left"/>
            </w:pPr>
            <w:r>
              <w:rPr>
                <w:rStyle w:val="VerbatimChar"/>
                <w:sz w:val="15"/>
              </w:rPr>
              <w:t xml:space="preserve">NET_LIABILITIES</w:t>
            </w:r>
          </w:p>
        </w:tc>
        <w:tc>
          <w:tcPr>
            <w:vAlign w:val="center"/>
            <w:tcMar>
              <w:top w:w="65" w:type="dxa"/>
              <w:left w:w="65" w:type="dxa"/>
              <w:bottom w:w="65" w:type="dxa"/>
              <w:right w:w="65" w:type="dxa"/>
            </w:tcMar>
            <w:shd w:fill="EFF4F8"/>
          </w:tcPr>
          <w:p>
            <w:pPr>
              <w:pStyle w:val="Compact"/>
              <w:spacing w:after="20" w:before="20"/>
              <w:jc w:val="left"/>
            </w:pPr>
            <w:r>
              <w:rPr>
                <w:sz w:val="15"/>
              </w:rPr>
              <w:t xml:space="preserve">Filter and overwrite</w:t>
            </w:r>
            <w:r>
              <w:rPr>
                <w:sz w:val="15"/>
              </w:rPr>
              <w:t xml:space="preserve"> </w:t>
            </w:r>
            <w:r>
              <w:rPr>
                <w:rStyle w:val="VerbatimChar"/>
                <w:sz w:val="15"/>
              </w:rPr>
              <w:t xml:space="preserve">POSDATE</w:t>
            </w:r>
            <w:r>
              <w:rPr>
                <w:sz w:val="15"/>
              </w:rPr>
              <w:t xml:space="preserve">;</w:t>
            </w:r>
            <w:r>
              <w:rPr>
                <w:sz w:val="15"/>
              </w:rPr>
              <w:t xml:space="preserve"> </w:t>
            </w:r>
            <w:r>
              <w:rPr>
                <w:b/>
                <w:bCs/>
                <w:sz w:val="15"/>
              </w:rPr>
              <w:t xml:space="preserve">also</w:t>
            </w:r>
            <w:r>
              <w:rPr>
                <w:sz w:val="15"/>
              </w:rPr>
              <w:t xml:space="preserve"> </w:t>
            </w:r>
            <w:r>
              <w:rPr>
                <w:sz w:val="15"/>
              </w:rPr>
              <w:t xml:space="preserve">overwrite</w:t>
            </w:r>
            <w:r>
              <w:rPr>
                <w:sz w:val="15"/>
              </w:rPr>
              <w:t xml:space="preserve"> </w:t>
            </w:r>
            <w:r>
              <w:rPr>
                <w:rStyle w:val="VerbatimChar"/>
                <w:sz w:val="15"/>
              </w:rPr>
              <w:t xml:space="preserve">DTPOS</w:t>
            </w:r>
          </w:p>
        </w:tc>
      </w:tr>
    </w:tbl>
    <w:p>
      <w:pPr>
        <w:pStyle w:val="BodyText"/>
      </w:pPr>
      <w:r>
        <w:t xml:space="preserve">For</w:t>
      </w:r>
      <w:r>
        <w:t xml:space="preserve"> </w:t>
      </w:r>
      <w:r>
        <w:rPr>
          <w:rStyle w:val="VerbatimChar"/>
        </w:rPr>
        <w:t xml:space="preserve">NET_LIABILITIES</w:t>
      </w:r>
      <w:r>
        <w:t xml:space="preserve">, the</w:t>
      </w:r>
      <w:r>
        <w:t xml:space="preserve"> </w:t>
      </w:r>
      <w:r>
        <w:rPr>
          <w:rStyle w:val="VerbatimChar"/>
        </w:rPr>
        <w:t xml:space="preserve">WHERE</w:t>
      </w:r>
      <w:r>
        <w:t xml:space="preserve"> </w:t>
      </w:r>
      <w:r>
        <w:t xml:space="preserve">condition is based on</w:t>
      </w:r>
      <w:r>
        <w:t xml:space="preserve"> </w:t>
      </w:r>
      <w:r>
        <w:rPr>
          <w:rStyle w:val="VerbatimChar"/>
        </w:rPr>
        <w:t xml:space="preserve">POSDATE</w:t>
      </w:r>
      <w:r>
        <w:t xml:space="preserve">,</w:t>
      </w:r>
      <w:r>
        <w:t xml:space="preserve"> </w:t>
      </w:r>
      <w:r>
        <w:rPr>
          <w:b/>
          <w:bCs/>
        </w:rPr>
        <w:t xml:space="preserve">not</w:t>
      </w:r>
      <w:r>
        <w:t xml:space="preserve"> </w:t>
      </w:r>
      <w:r>
        <w:t xml:space="preserve">on</w:t>
      </w:r>
      <w:r>
        <w:t xml:space="preserve"> </w:t>
      </w:r>
      <w:r>
        <w:rPr>
          <w:rStyle w:val="VerbatimChar"/>
        </w:rPr>
        <w:t xml:space="preserve">DTPOS</w:t>
      </w:r>
      <w:r>
        <w:t xml:space="preserve">. Both</w:t>
      </w:r>
      <w:r>
        <w:t xml:space="preserve"> </w:t>
      </w:r>
      <w:r>
        <w:rPr>
          <w:rStyle w:val="VerbatimChar"/>
        </w:rPr>
        <w:t xml:space="preserve">POSDATE</w:t>
      </w:r>
      <w:r>
        <w:t xml:space="preserve"> </w:t>
      </w:r>
      <w:r>
        <w:t xml:space="preserve">and</w:t>
      </w:r>
      <w:r>
        <w:t xml:space="preserve"> </w:t>
      </w:r>
      <w:r>
        <w:rPr>
          <w:rStyle w:val="VerbatimChar"/>
        </w:rPr>
        <w:t xml:space="preserve">DTPOS</w:t>
      </w:r>
      <w:r>
        <w:t xml:space="preserve"> </w:t>
      </w:r>
      <w:r>
        <w:t xml:space="preserve">receive the target date in new rows. Other included columns are copied without date-specific substitution.</w:t>
      </w:r>
      <w:r>
        <w:t xml:space="preserve"> </w:t>
      </w:r>
      <w:r>
        <w:rPr>
          <w:b/>
          <w:bCs/>
        </w:rPr>
        <w:t xml:space="preserve">Evidence:</w:t>
      </w:r>
      <w:r>
        <w:t xml:space="preserve"> </w:t>
      </w:r>
      <w:r>
        <w:rPr>
          <w:rStyle w:val="VerbatimChar"/>
        </w:rPr>
        <w:t xml:space="preserve">APPROVED_TABLES</w:t>
      </w:r>
      <w:r>
        <w:t xml:space="preserve"> </w:t>
      </w:r>
      <w:r>
        <w:t xml:space="preserve">(lines 12–25),</w:t>
      </w:r>
      <w:r>
        <w:t xml:space="preserve"> </w:t>
      </w:r>
      <w:r>
        <w:rPr>
          <w:rStyle w:val="VerbatimChar"/>
        </w:rPr>
        <w:t xml:space="preserve">get_date_column_for_table()</w:t>
      </w:r>
      <w:r>
        <w:t xml:space="preserve"> </w:t>
      </w:r>
      <w:r>
        <w:t xml:space="preserve">(lines 116–119),</w:t>
      </w:r>
      <w:r>
        <w:t xml:space="preserve"> </w:t>
      </w:r>
      <w:r>
        <w:rPr>
          <w:rStyle w:val="VerbatimChar"/>
        </w:rPr>
        <w:t xml:space="preserve">build_insert_sql()</w:t>
      </w:r>
      <w:r>
        <w:t xml:space="preserve"> </w:t>
      </w:r>
      <w:r>
        <w:t xml:space="preserve">(lines 209–227).</w:t>
      </w:r>
    </w:p>
    <w:bookmarkEnd w:id="23"/>
    <w:bookmarkStart w:id="25" w:name="Xf85f4bdb49b0573068b30f6bde4f09c70db1463"/>
    <w:p>
      <w:pPr>
        <w:pStyle w:val="Heading2"/>
      </w:pPr>
      <w:r>
        <w:t xml:space="preserve">4. Command-line options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Option</w:t>
            </w:r>
          </w:p>
        </w:tc>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Required</w:t>
            </w:r>
          </w:p>
        </w:tc>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Code-defined meaning</w:t>
            </w:r>
          </w:p>
        </w:tc>
      </w:tr>
      <w:tr>
        <w:tc>
          <w:tcPr>
            <w:vAlign w:val="center"/>
            <w:tcMar>
              <w:top w:w="65" w:type="dxa"/>
              <w:left w:w="65" w:type="dxa"/>
              <w:bottom w:w="65" w:type="dxa"/>
              <w:right w:w="65" w:type="dxa"/>
            </w:tcMar>
          </w:tcPr>
          <w:p>
            <w:pPr>
              <w:pStyle w:val="Compact"/>
              <w:spacing w:after="20" w:before="20"/>
              <w:jc w:val="left"/>
            </w:pPr>
            <w:r>
              <w:rPr>
                <w:rStyle w:val="VerbatimChar"/>
                <w:sz w:val="15"/>
              </w:rPr>
              <w:t xml:space="preserve">--ENVIRONMENT</w:t>
            </w:r>
          </w:p>
        </w:tc>
        <w:tc>
          <w:tcPr>
            <w:vAlign w:val="center"/>
            <w:tcMar>
              <w:top w:w="65" w:type="dxa"/>
              <w:left w:w="65" w:type="dxa"/>
              <w:bottom w:w="65" w:type="dxa"/>
              <w:right w:w="65" w:type="dxa"/>
            </w:tcMar>
          </w:tcPr>
          <w:p>
            <w:pPr>
              <w:pStyle w:val="Compact"/>
              <w:spacing w:after="20" w:before="20"/>
              <w:jc w:val="left"/>
            </w:pPr>
            <w:r>
              <w:rPr>
                <w:sz w:val="15"/>
              </w:rPr>
              <w:t xml:space="preserve">Yes</w:t>
            </w:r>
          </w:p>
        </w:tc>
        <w:tc>
          <w:tcPr>
            <w:vAlign w:val="center"/>
            <w:tcMar>
              <w:top w:w="65" w:type="dxa"/>
              <w:left w:w="65" w:type="dxa"/>
              <w:bottom w:w="65" w:type="dxa"/>
              <w:right w:w="65" w:type="dxa"/>
            </w:tcMar>
          </w:tcPr>
          <w:p>
            <w:pPr>
              <w:pStyle w:val="Compact"/>
              <w:spacing w:after="20" w:before="20"/>
              <w:jc w:val="left"/>
            </w:pPr>
            <w:r>
              <w:rPr>
                <w:sz w:val="15"/>
              </w:rPr>
              <w:t xml:space="preserve">Exactly</w:t>
            </w:r>
            <w:r>
              <w:rPr>
                <w:sz w:val="15"/>
              </w:rPr>
              <w:t xml:space="preserve"> </w:t>
            </w:r>
            <w:r>
              <w:rPr>
                <w:rStyle w:val="VerbatimChar"/>
                <w:sz w:val="15"/>
              </w:rPr>
              <w:t xml:space="preserve">DEV</w:t>
            </w:r>
            <w:r>
              <w:rPr>
                <w:sz w:val="15"/>
              </w:rPr>
              <w:t xml:space="preserve">,</w:t>
            </w:r>
            <w:r>
              <w:rPr>
                <w:sz w:val="15"/>
              </w:rPr>
              <w:t xml:space="preserve"> </w:t>
            </w:r>
            <w:r>
              <w:rPr>
                <w:rStyle w:val="VerbatimChar"/>
                <w:sz w:val="15"/>
              </w:rPr>
              <w:t xml:space="preserve">UAT</w:t>
            </w:r>
            <w:r>
              <w:rPr>
                <w:sz w:val="15"/>
              </w:rPr>
              <w:t xml:space="preserve">, or</w:t>
            </w:r>
            <w:r>
              <w:rPr>
                <w:sz w:val="15"/>
              </w:rPr>
              <w:t xml:space="preserve"> </w:t>
            </w:r>
            <w:r>
              <w:rPr>
                <w:rStyle w:val="VerbatimChar"/>
                <w:sz w:val="15"/>
              </w:rPr>
              <w:t xml:space="preserve">PROD</w:t>
            </w:r>
            <w:r>
              <w:rPr>
                <w:sz w:val="15"/>
              </w:rPr>
              <w:t xml:space="preserve"> </w:t>
            </w:r>
            <w:r>
              <w:rPr>
                <w:sz w:val="15"/>
              </w:rPr>
              <w:t xml:space="preserve">in the command-line parser.</w:t>
            </w:r>
          </w:p>
        </w:tc>
      </w:tr>
      <w:tr>
        <w:tc>
          <w:tcPr>
            <w:vAlign w:val="center"/>
            <w:tcMar>
              <w:top w:w="65" w:type="dxa"/>
              <w:left w:w="65" w:type="dxa"/>
              <w:bottom w:w="65" w:type="dxa"/>
              <w:right w:w="65" w:type="dxa"/>
            </w:tcMar>
            <w:shd w:fill="EFF4F8"/>
          </w:tcPr>
          <w:p>
            <w:pPr>
              <w:pStyle w:val="Compact"/>
              <w:spacing w:after="20" w:before="20"/>
              <w:jc w:val="left"/>
            </w:pPr>
            <w:r>
              <w:rPr>
                <w:rStyle w:val="VerbatimChar"/>
                <w:sz w:val="15"/>
              </w:rPr>
              <w:t xml:space="preserve">--TABLE</w:t>
            </w:r>
          </w:p>
        </w:tc>
        <w:tc>
          <w:tcPr>
            <w:vAlign w:val="center"/>
            <w:tcMar>
              <w:top w:w="65" w:type="dxa"/>
              <w:left w:w="65" w:type="dxa"/>
              <w:bottom w:w="65" w:type="dxa"/>
              <w:right w:w="65" w:type="dxa"/>
            </w:tcMar>
            <w:shd w:fill="EFF4F8"/>
          </w:tcPr>
          <w:p>
            <w:pPr>
              <w:pStyle w:val="Compact"/>
              <w:spacing w:after="20" w:before="20"/>
              <w:jc w:val="left"/>
            </w:pPr>
            <w:r>
              <w:rPr>
                <w:sz w:val="15"/>
              </w:rPr>
              <w:t xml:space="preserve">Yes</w:t>
            </w:r>
          </w:p>
        </w:tc>
        <w:tc>
          <w:tcPr>
            <w:vAlign w:val="center"/>
            <w:tcMar>
              <w:top w:w="65" w:type="dxa"/>
              <w:left w:w="65" w:type="dxa"/>
              <w:bottom w:w="65" w:type="dxa"/>
              <w:right w:w="65" w:type="dxa"/>
            </w:tcMar>
            <w:shd w:fill="EFF4F8"/>
          </w:tcPr>
          <w:p>
            <w:pPr>
              <w:pStyle w:val="Compact"/>
              <w:spacing w:after="20" w:before="20"/>
              <w:jc w:val="left"/>
            </w:pPr>
            <w:r>
              <w:rPr>
                <w:sz w:val="15"/>
              </w:rPr>
              <w:t xml:space="preserve">Exactly one of the approved names above.</w:t>
            </w:r>
          </w:p>
        </w:tc>
      </w:tr>
      <w:tr>
        <w:tc>
          <w:tcPr>
            <w:vAlign w:val="center"/>
            <w:tcMar>
              <w:top w:w="65" w:type="dxa"/>
              <w:left w:w="65" w:type="dxa"/>
              <w:bottom w:w="65" w:type="dxa"/>
              <w:right w:w="65" w:type="dxa"/>
            </w:tcMar>
          </w:tcPr>
          <w:p>
            <w:pPr>
              <w:pStyle w:val="Compact"/>
              <w:spacing w:after="20" w:before="20"/>
              <w:jc w:val="left"/>
            </w:pPr>
            <w:r>
              <w:rPr>
                <w:rStyle w:val="VerbatimChar"/>
                <w:sz w:val="15"/>
              </w:rPr>
              <w:t xml:space="preserve">--SOURCE_DATE</w:t>
            </w:r>
          </w:p>
        </w:tc>
        <w:tc>
          <w:tcPr>
            <w:vAlign w:val="center"/>
            <w:tcMar>
              <w:top w:w="65" w:type="dxa"/>
              <w:left w:w="65" w:type="dxa"/>
              <w:bottom w:w="65" w:type="dxa"/>
              <w:right w:w="65" w:type="dxa"/>
            </w:tcMar>
          </w:tcPr>
          <w:p>
            <w:pPr>
              <w:pStyle w:val="Compact"/>
              <w:spacing w:after="20" w:before="20"/>
              <w:jc w:val="left"/>
            </w:pPr>
            <w:r>
              <w:rPr>
                <w:sz w:val="15"/>
              </w:rPr>
              <w:t xml:space="preserve">Yes</w:t>
            </w:r>
          </w:p>
        </w:tc>
        <w:tc>
          <w:tcPr>
            <w:vAlign w:val="center"/>
            <w:tcMar>
              <w:top w:w="65" w:type="dxa"/>
              <w:left w:w="65" w:type="dxa"/>
              <w:bottom w:w="65" w:type="dxa"/>
              <w:right w:w="65" w:type="dxa"/>
            </w:tcMar>
          </w:tcPr>
          <w:p>
            <w:pPr>
              <w:pStyle w:val="Compact"/>
              <w:spacing w:after="20" w:before="20"/>
              <w:jc w:val="left"/>
            </w:pPr>
            <w:r>
              <w:rPr>
                <w:sz w:val="15"/>
              </w:rPr>
              <w:t xml:space="preserve">Existing-record selection date, supplied in</w:t>
            </w:r>
            <w:r>
              <w:rPr>
                <w:sz w:val="15"/>
              </w:rPr>
              <w:t xml:space="preserve"> </w:t>
            </w:r>
            <w:r>
              <w:rPr>
                <w:rStyle w:val="VerbatimChar"/>
                <w:sz w:val="15"/>
              </w:rPr>
              <w:t xml:space="preserve">YYYY-MM-DD</w:t>
            </w:r>
            <w:r>
              <w:rPr>
                <w:sz w:val="15"/>
              </w:rPr>
              <w:t xml:space="preserve"> </w:t>
            </w:r>
            <w:r>
              <w:rPr>
                <w:sz w:val="15"/>
              </w:rPr>
              <w:t xml:space="preserve">format.</w:t>
            </w:r>
          </w:p>
        </w:tc>
      </w:tr>
      <w:tr>
        <w:tc>
          <w:tcPr>
            <w:vAlign w:val="center"/>
            <w:tcMar>
              <w:top w:w="65" w:type="dxa"/>
              <w:left w:w="65" w:type="dxa"/>
              <w:bottom w:w="65" w:type="dxa"/>
              <w:right w:w="65" w:type="dxa"/>
            </w:tcMar>
            <w:shd w:fill="EFF4F8"/>
          </w:tcPr>
          <w:p>
            <w:pPr>
              <w:pStyle w:val="Compact"/>
              <w:spacing w:after="20" w:before="20"/>
              <w:jc w:val="left"/>
            </w:pPr>
            <w:r>
              <w:rPr>
                <w:rStyle w:val="VerbatimChar"/>
                <w:sz w:val="15"/>
              </w:rPr>
              <w:t xml:space="preserve">--TARGET_DATE</w:t>
            </w:r>
          </w:p>
        </w:tc>
        <w:tc>
          <w:tcPr>
            <w:vAlign w:val="center"/>
            <w:tcMar>
              <w:top w:w="65" w:type="dxa"/>
              <w:left w:w="65" w:type="dxa"/>
              <w:bottom w:w="65" w:type="dxa"/>
              <w:right w:w="65" w:type="dxa"/>
            </w:tcMar>
            <w:shd w:fill="EFF4F8"/>
          </w:tcPr>
          <w:p>
            <w:pPr>
              <w:pStyle w:val="Compact"/>
              <w:spacing w:after="20" w:before="20"/>
              <w:jc w:val="left"/>
            </w:pPr>
            <w:r>
              <w:rPr>
                <w:sz w:val="15"/>
              </w:rPr>
              <w:t xml:space="preserve">Yes</w:t>
            </w:r>
          </w:p>
        </w:tc>
        <w:tc>
          <w:tcPr>
            <w:vAlign w:val="center"/>
            <w:tcMar>
              <w:top w:w="65" w:type="dxa"/>
              <w:left w:w="65" w:type="dxa"/>
              <w:bottom w:w="65" w:type="dxa"/>
              <w:right w:w="65" w:type="dxa"/>
            </w:tcMar>
            <w:shd w:fill="EFF4F8"/>
          </w:tcPr>
          <w:p>
            <w:pPr>
              <w:pStyle w:val="Compact"/>
              <w:spacing w:after="20" w:before="20"/>
              <w:jc w:val="left"/>
            </w:pPr>
            <w:r>
              <w:rPr>
                <w:sz w:val="15"/>
              </w:rPr>
              <w:t xml:space="preserve">Date assigned to the new record(s), supplied in</w:t>
            </w:r>
            <w:r>
              <w:rPr>
                <w:sz w:val="15"/>
              </w:rPr>
              <w:t xml:space="preserve"> </w:t>
            </w:r>
            <w:r>
              <w:rPr>
                <w:rStyle w:val="VerbatimChar"/>
                <w:sz w:val="15"/>
              </w:rPr>
              <w:t xml:space="preserve">YYYY-MM-DD</w:t>
            </w:r>
            <w:r>
              <w:rPr>
                <w:sz w:val="15"/>
              </w:rPr>
              <w:t xml:space="preserve"> </w:t>
            </w:r>
            <w:r>
              <w:rPr>
                <w:sz w:val="15"/>
              </w:rPr>
              <w:t xml:space="preserve">format.</w:t>
            </w:r>
          </w:p>
        </w:tc>
      </w:tr>
      <w:tr>
        <w:tc>
          <w:tcPr>
            <w:vAlign w:val="center"/>
            <w:tcMar>
              <w:top w:w="65" w:type="dxa"/>
              <w:left w:w="65" w:type="dxa"/>
              <w:bottom w:w="65" w:type="dxa"/>
              <w:right w:w="65" w:type="dxa"/>
            </w:tcMar>
          </w:tcPr>
          <w:p>
            <w:pPr>
              <w:pStyle w:val="Compact"/>
              <w:spacing w:after="20" w:before="20"/>
              <w:jc w:val="left"/>
            </w:pPr>
            <w:r>
              <w:rPr>
                <w:rStyle w:val="VerbatimChar"/>
                <w:sz w:val="15"/>
              </w:rPr>
              <w:t xml:space="preserve">--CONFIG_FILE</w:t>
            </w:r>
          </w:p>
        </w:tc>
        <w:tc>
          <w:tcPr>
            <w:vAlign w:val="center"/>
            <w:tcMar>
              <w:top w:w="65" w:type="dxa"/>
              <w:left w:w="65" w:type="dxa"/>
              <w:bottom w:w="65" w:type="dxa"/>
              <w:right w:w="65" w:type="dxa"/>
            </w:tcMar>
          </w:tcPr>
          <w:p>
            <w:pPr>
              <w:pStyle w:val="Compact"/>
              <w:spacing w:after="20" w:before="20"/>
              <w:jc w:val="left"/>
            </w:pPr>
            <w:r>
              <w:rPr>
                <w:sz w:val="15"/>
              </w:rPr>
              <w:t xml:space="preserve">No</w:t>
            </w:r>
          </w:p>
        </w:tc>
        <w:tc>
          <w:tcPr>
            <w:vAlign w:val="center"/>
            <w:tcMar>
              <w:top w:w="65" w:type="dxa"/>
              <w:left w:w="65" w:type="dxa"/>
              <w:bottom w:w="65" w:type="dxa"/>
              <w:right w:w="65" w:type="dxa"/>
            </w:tcMar>
          </w:tcPr>
          <w:p>
            <w:pPr>
              <w:pStyle w:val="Compact"/>
              <w:spacing w:after="20" w:before="20"/>
              <w:jc w:val="left"/>
            </w:pPr>
            <w:r>
              <w:rPr>
                <w:sz w:val="15"/>
              </w:rPr>
              <w:t xml:space="preserve">Path to INI configuration; defaults to</w:t>
            </w:r>
            <w:r>
              <w:rPr>
                <w:sz w:val="15"/>
              </w:rPr>
              <w:t xml:space="preserve"> </w:t>
            </w:r>
            <w:r>
              <w:rPr>
                <w:rStyle w:val="VerbatimChar"/>
                <w:sz w:val="15"/>
              </w:rPr>
              <w:t xml:space="preserve">dbconfig.ini</w:t>
            </w:r>
            <w:r>
              <w:rPr>
                <w:sz w:val="15"/>
              </w:rPr>
              <w:t xml:space="preserve">.</w:t>
            </w:r>
          </w:p>
        </w:tc>
      </w:tr>
      <w:tr>
        <w:tc>
          <w:tcPr>
            <w:vAlign w:val="center"/>
            <w:tcMar>
              <w:top w:w="65" w:type="dxa"/>
              <w:left w:w="65" w:type="dxa"/>
              <w:bottom w:w="65" w:type="dxa"/>
              <w:right w:w="65" w:type="dxa"/>
            </w:tcMar>
            <w:shd w:fill="EFF4F8"/>
          </w:tcPr>
          <w:p>
            <w:pPr>
              <w:pStyle w:val="Compact"/>
              <w:spacing w:after="20" w:before="20"/>
              <w:jc w:val="left"/>
            </w:pPr>
            <w:r>
              <w:rPr>
                <w:rStyle w:val="VerbatimChar"/>
                <w:sz w:val="15"/>
              </w:rPr>
              <w:t xml:space="preserve">--EXECUTE</w:t>
            </w:r>
          </w:p>
        </w:tc>
        <w:tc>
          <w:tcPr>
            <w:vAlign w:val="center"/>
            <w:tcMar>
              <w:top w:w="65" w:type="dxa"/>
              <w:left w:w="65" w:type="dxa"/>
              <w:bottom w:w="65" w:type="dxa"/>
              <w:right w:w="65" w:type="dxa"/>
            </w:tcMar>
            <w:shd w:fill="EFF4F8"/>
          </w:tcPr>
          <w:p>
            <w:pPr>
              <w:pStyle w:val="Compact"/>
              <w:spacing w:after="20" w:before="20"/>
              <w:jc w:val="left"/>
            </w:pPr>
            <w:r>
              <w:rPr>
                <w:sz w:val="15"/>
              </w:rPr>
              <w:t xml:space="preserve">No</w:t>
            </w:r>
          </w:p>
        </w:tc>
        <w:tc>
          <w:tcPr>
            <w:vAlign w:val="center"/>
            <w:tcMar>
              <w:top w:w="65" w:type="dxa"/>
              <w:left w:w="65" w:type="dxa"/>
              <w:bottom w:w="65" w:type="dxa"/>
              <w:right w:w="65" w:type="dxa"/>
            </w:tcMar>
            <w:shd w:fill="EFF4F8"/>
          </w:tcPr>
          <w:p>
            <w:pPr>
              <w:pStyle w:val="Compact"/>
              <w:spacing w:after="20" w:before="20"/>
              <w:jc w:val="left"/>
            </w:pPr>
            <w:r>
              <w:rPr>
                <w:sz w:val="15"/>
              </w:rPr>
              <w:t xml:space="preserve">Presence enables attempted database insert after all checks. Absence means preview only.</w:t>
            </w:r>
          </w:p>
        </w:tc>
      </w:tr>
    </w:tbl>
    <w:p>
      <w:pPr>
        <w:pStyle w:val="BodyText"/>
      </w:pPr>
      <w:r>
        <w:t xml:space="preserve">The script parses dates using</w:t>
      </w:r>
      <w:r>
        <w:t xml:space="preserve"> </w:t>
      </w:r>
      <w:r>
        <w:rPr>
          <w:rStyle w:val="VerbatimChar"/>
        </w:rPr>
        <w:t xml:space="preserve">datetime.strptime(value, "%Y-%m-%d")</w:t>
      </w:r>
      <w:r>
        <w:t xml:space="preserve">, so impossible calendar dates fail. It rejects equal source and target dates.</w:t>
      </w:r>
      <w:r>
        <w:t xml:space="preserve"> </w:t>
      </w:r>
      <w:r>
        <w:rPr>
          <w:b/>
          <w:bCs/>
        </w:rPr>
        <w:t xml:space="preserve">It does not require the target date to be later than the source date</w:t>
      </w:r>
      <w:r>
        <w:t xml:space="preserve"> </w:t>
      </w:r>
      <w:r>
        <w:t xml:space="preserve">and does not implement a working-day calendar check.</w:t>
      </w:r>
      <w:r>
        <w:t xml:space="preserve"> </w:t>
      </w:r>
      <w:r>
        <w:rPr>
          <w:b/>
          <w:bCs/>
        </w:rPr>
        <w:t xml:space="preserve">Evidence:</w:t>
      </w:r>
      <w:r>
        <w:t xml:space="preserve"> </w:t>
      </w:r>
      <w:r>
        <w:t xml:space="preserve">lines 103–109, 277–285, 394–402.</w:t>
      </w:r>
    </w:p>
    <w:bookmarkStart w:id="24" w:name="hypothetical-invocation"/>
    <w:p>
      <w:pPr>
        <w:pStyle w:val="Heading3"/>
      </w:pPr>
      <w:r>
        <w:t xml:space="preserve">Hypothetical invocation</w:t>
      </w:r>
    </w:p>
    <w:p>
      <w:pPr>
        <w:pStyle w:val="FirstParagraph"/>
      </w:pPr>
      <w:r>
        <w:t xml:space="preserve">The uploaded file was provided as a</w:t>
      </w:r>
      <w:r>
        <w:t xml:space="preserve"> </w:t>
      </w:r>
      <w:r>
        <w:rPr>
          <w:rStyle w:val="VerbatimChar"/>
        </w:rPr>
        <w:t xml:space="preserve">.txt</w:t>
      </w:r>
      <w:r>
        <w:t xml:space="preserve"> </w:t>
      </w:r>
      <w:r>
        <w:t xml:space="preserve">attachment, so the actual Python filename is</w:t>
      </w:r>
      <w:r>
        <w:t xml:space="preserve"> </w:t>
      </w:r>
      <w:r>
        <w:rPr>
          <w:b/>
          <w:bCs/>
        </w:rPr>
        <w:t xml:space="preserve">not established</w:t>
      </w:r>
      <w:r>
        <w:t xml:space="preserve">. In the examples below,</w:t>
      </w:r>
      <w:r>
        <w:t xml:space="preserve"> </w:t>
      </w:r>
      <w:r>
        <w:rPr>
          <w:rStyle w:val="VerbatimChar"/>
        </w:rPr>
        <w:t xml:space="preserve">your_script.py</w:t>
      </w:r>
      <w:r>
        <w:t xml:space="preserve"> </w:t>
      </w:r>
      <w:r>
        <w:t xml:space="preserve">is a placeholder and the dates are imaginary.</w:t>
      </w:r>
    </w:p>
    <w:p>
      <w:pPr>
        <w:pStyle w:val="BodyText"/>
      </w:pPr>
      <w:r>
        <w:rPr>
          <w:b/>
          <w:bCs/>
        </w:rPr>
        <w:t xml:space="preserve">Preview-only example:</w:t>
      </w:r>
    </w:p>
    <w:p>
      <w:pPr>
        <w:pStyle w:val="SourceCode"/>
        <w:keepLines/>
        <w:spacing w:after="20"/>
        <w:ind w:left="173"/>
      </w:pPr>
      <w:r>
        <w:rPr>
          <w:rStyle w:val="ExtensionTok"/>
        </w:rPr>
        <w:t xml:space="preserve">python</w:t>
      </w:r>
      <w:r>
        <w:rPr>
          <w:rStyle w:val="NormalTok"/>
        </w:rPr>
        <w:t xml:space="preserve"> your_script.py </w:t>
      </w:r>
      <w:r>
        <w:rPr>
          <w:rStyle w:val="AttributeTok"/>
        </w:rPr>
        <w:t xml:space="preserve">--ENVIRONMENT</w:t>
      </w:r>
      <w:r>
        <w:rPr>
          <w:rStyle w:val="NormalTok"/>
        </w:rPr>
        <w:t xml:space="preserve"> DEV </w:t>
      </w:r>
      <w:r>
        <w:rPr>
          <w:rStyle w:val="AttributeTok"/>
        </w:rPr>
        <w:t xml:space="preserve">--TABLE</w:t>
      </w:r>
      <w:r>
        <w:rPr>
          <w:rStyle w:val="NormalTok"/>
        </w:rPr>
        <w:t xml:space="preserve"> BANKING_LOANS </w:t>
      </w:r>
      <w:r>
        <w:rPr>
          <w:rStyle w:val="AttributeTok"/>
        </w:rPr>
        <w:t xml:space="preserve">--SOURCE_DATE</w:t>
      </w:r>
      <w:r>
        <w:rPr>
          <w:rStyle w:val="NormalTok"/>
        </w:rPr>
        <w:t xml:space="preserve"> 2026-09-17 </w:t>
      </w:r>
      <w:r>
        <w:rPr>
          <w:rStyle w:val="AttributeTok"/>
        </w:rPr>
        <w:t xml:space="preserve">--TARGET_DATE</w:t>
      </w:r>
      <w:r>
        <w:rPr>
          <w:rStyle w:val="NormalTok"/>
        </w:rPr>
        <w:t xml:space="preserve"> 2026-09-18</w:t>
      </w:r>
    </w:p>
    <w:p>
      <w:pPr>
        <w:pStyle w:val="FirstParagraph"/>
      </w:pPr>
      <w:r>
        <w:rPr>
          <w:b/>
          <w:bCs/>
        </w:rPr>
        <w:t xml:space="preserve">Execution-enabled example:</w:t>
      </w:r>
    </w:p>
    <w:p>
      <w:pPr>
        <w:pStyle w:val="SourceCode"/>
        <w:keepLines/>
        <w:spacing w:after="20"/>
        <w:ind w:left="173"/>
      </w:pPr>
      <w:r>
        <w:rPr>
          <w:rStyle w:val="ExtensionTok"/>
        </w:rPr>
        <w:t xml:space="preserve">python</w:t>
      </w:r>
      <w:r>
        <w:rPr>
          <w:rStyle w:val="NormalTok"/>
        </w:rPr>
        <w:t xml:space="preserve"> your_script.py </w:t>
      </w:r>
      <w:r>
        <w:rPr>
          <w:rStyle w:val="AttributeTok"/>
        </w:rPr>
        <w:t xml:space="preserve">--ENVIRONMENT</w:t>
      </w:r>
      <w:r>
        <w:rPr>
          <w:rStyle w:val="NormalTok"/>
        </w:rPr>
        <w:t xml:space="preserve"> DEV </w:t>
      </w:r>
      <w:r>
        <w:rPr>
          <w:rStyle w:val="AttributeTok"/>
        </w:rPr>
        <w:t xml:space="preserve">--TABLE</w:t>
      </w:r>
      <w:r>
        <w:rPr>
          <w:rStyle w:val="NormalTok"/>
        </w:rPr>
        <w:t xml:space="preserve"> BANKING_LOANS </w:t>
      </w:r>
      <w:r>
        <w:rPr>
          <w:rStyle w:val="AttributeTok"/>
        </w:rPr>
        <w:t xml:space="preserve">--SOURCE_DATE</w:t>
      </w:r>
      <w:r>
        <w:rPr>
          <w:rStyle w:val="NormalTok"/>
        </w:rPr>
        <w:t xml:space="preserve"> 2026-09-17 </w:t>
      </w:r>
      <w:r>
        <w:rPr>
          <w:rStyle w:val="AttributeTok"/>
        </w:rPr>
        <w:t xml:space="preserve">--TARGET_DATE</w:t>
      </w:r>
      <w:r>
        <w:rPr>
          <w:rStyle w:val="NormalTok"/>
        </w:rPr>
        <w:t xml:space="preserve"> 2026-09-18 </w:t>
      </w:r>
      <w:r>
        <w:rPr>
          <w:rStyle w:val="AttributeTok"/>
        </w:rPr>
        <w:t xml:space="preserve">--EXECUTE</w:t>
      </w:r>
    </w:p>
    <w:p>
      <w:pPr>
        <w:pStyle w:val="FirstParagraph"/>
      </w:pPr>
      <w:r>
        <w:t xml:space="preserve">The script changes the process's current directory to the directory containing the script before parsing and running. A relative</w:t>
      </w:r>
      <w:r>
        <w:t xml:space="preserve"> </w:t>
      </w:r>
      <w:r>
        <w:rPr>
          <w:rStyle w:val="VerbatimChar"/>
        </w:rPr>
        <w:t xml:space="preserve">dbconfig.ini</w:t>
      </w:r>
      <w:r>
        <w:t xml:space="preserve"> </w:t>
      </w:r>
      <w:r>
        <w:t xml:space="preserve">path therefore resolves relative to the script directory.</w:t>
      </w:r>
      <w:r>
        <w:t xml:space="preserve"> </w:t>
      </w:r>
      <w:r>
        <w:rPr>
          <w:b/>
          <w:bCs/>
        </w:rPr>
        <w:t xml:space="preserve">Evidence:</w:t>
      </w:r>
      <w:r>
        <w:t xml:space="preserve"> </w:t>
      </w:r>
      <w:r>
        <w:t xml:space="preserve">lines 418–420.</w:t>
      </w:r>
    </w:p>
    <w:bookmarkEnd w:id="24"/>
    <w:bookmarkEnd w:id="25"/>
    <w:bookmarkStart w:id="26" w:name="Xdf6c7ca1f906399ae75e38777f855980cd3a26b"/>
    <w:p>
      <w:pPr>
        <w:pStyle w:val="Heading2"/>
      </w:pPr>
      <w:r>
        <w:t xml:space="preserve">5. Connecting to SQL Server</w:t>
      </w:r>
    </w:p>
    <w:p>
      <w:pPr>
        <w:pStyle w:val="FirstParagraph"/>
      </w:pPr>
      <w:r>
        <w:t xml:space="preserve">The script looks for an INI section named</w:t>
      </w:r>
      <w:r>
        <w:t xml:space="preserve"> </w:t>
      </w:r>
      <w:r>
        <w:rPr>
          <w:rStyle w:val="VerbatimChar"/>
        </w:rPr>
        <w:t xml:space="preserve">SQLSERVER_DEV</w:t>
      </w:r>
      <w:r>
        <w:t xml:space="preserve">,</w:t>
      </w:r>
      <w:r>
        <w:t xml:space="preserve"> </w:t>
      </w:r>
      <w:r>
        <w:rPr>
          <w:rStyle w:val="VerbatimChar"/>
        </w:rPr>
        <w:t xml:space="preserve">SQLSERVER_UAT</w:t>
      </w:r>
      <w:r>
        <w:t xml:space="preserve">, or</w:t>
      </w:r>
      <w:r>
        <w:t xml:space="preserve"> </w:t>
      </w:r>
      <w:r>
        <w:rPr>
          <w:rStyle w:val="VerbatimChar"/>
        </w:rPr>
        <w:t xml:space="preserve">SQLSERVER_PROD</w:t>
      </w:r>
      <w:r>
        <w:t xml:space="preserve">, based on the selected environment.</w:t>
      </w:r>
      <w:r>
        <w:t xml:space="preserve"> </w:t>
      </w:r>
      <w:r>
        <w:rPr>
          <w:b/>
          <w:bCs/>
        </w:rPr>
        <w:t xml:space="preserve">Evidence:</w:t>
      </w:r>
      <w:r>
        <w:t xml:space="preserve"> </w:t>
      </w:r>
      <w:r>
        <w:t xml:space="preserve">lines 47–55.</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INI key</w:t>
            </w:r>
          </w:p>
        </w:tc>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Code behavior</w:t>
            </w:r>
          </w:p>
        </w:tc>
      </w:tr>
      <w:tr>
        <w:tc>
          <w:tcPr>
            <w:vAlign w:val="center"/>
            <w:tcMar>
              <w:top w:w="65" w:type="dxa"/>
              <w:left w:w="65" w:type="dxa"/>
              <w:bottom w:w="65" w:type="dxa"/>
              <w:right w:w="65" w:type="dxa"/>
            </w:tcMar>
          </w:tcPr>
          <w:p>
            <w:pPr>
              <w:pStyle w:val="Compact"/>
              <w:spacing w:after="20" w:before="20"/>
              <w:jc w:val="left"/>
            </w:pPr>
            <w:r>
              <w:rPr>
                <w:rStyle w:val="VerbatimChar"/>
                <w:sz w:val="15"/>
              </w:rPr>
              <w:t xml:space="preserve">DRIVER</w:t>
            </w:r>
          </w:p>
        </w:tc>
        <w:tc>
          <w:tcPr>
            <w:vAlign w:val="center"/>
            <w:tcMar>
              <w:top w:w="65" w:type="dxa"/>
              <w:left w:w="65" w:type="dxa"/>
              <w:bottom w:w="65" w:type="dxa"/>
              <w:right w:w="65" w:type="dxa"/>
            </w:tcMar>
          </w:tcPr>
          <w:p>
            <w:pPr>
              <w:pStyle w:val="Compact"/>
              <w:spacing w:after="20" w:before="20"/>
              <w:jc w:val="left"/>
            </w:pPr>
            <w:r>
              <w:rPr>
                <w:sz w:val="15"/>
              </w:rPr>
              <w:t xml:space="preserve">Mandatory; name of the preferred ODBC driver.</w:t>
            </w:r>
          </w:p>
        </w:tc>
      </w:tr>
      <w:tr>
        <w:tc>
          <w:tcPr>
            <w:vAlign w:val="center"/>
            <w:tcMar>
              <w:top w:w="65" w:type="dxa"/>
              <w:left w:w="65" w:type="dxa"/>
              <w:bottom w:w="65" w:type="dxa"/>
              <w:right w:w="65" w:type="dxa"/>
            </w:tcMar>
            <w:shd w:fill="EFF4F8"/>
          </w:tcPr>
          <w:p>
            <w:pPr>
              <w:pStyle w:val="Compact"/>
              <w:spacing w:after="20" w:before="20"/>
              <w:jc w:val="left"/>
            </w:pPr>
            <w:r>
              <w:rPr>
                <w:rStyle w:val="VerbatimChar"/>
                <w:sz w:val="15"/>
              </w:rPr>
              <w:t xml:space="preserve">SERVER</w:t>
            </w:r>
          </w:p>
        </w:tc>
        <w:tc>
          <w:tcPr>
            <w:vAlign w:val="center"/>
            <w:tcMar>
              <w:top w:w="65" w:type="dxa"/>
              <w:left w:w="65" w:type="dxa"/>
              <w:bottom w:w="65" w:type="dxa"/>
              <w:right w:w="65" w:type="dxa"/>
            </w:tcMar>
            <w:shd w:fill="EFF4F8"/>
          </w:tcPr>
          <w:p>
            <w:pPr>
              <w:pStyle w:val="Compact"/>
              <w:spacing w:after="20" w:before="20"/>
              <w:jc w:val="left"/>
            </w:pPr>
            <w:r>
              <w:rPr>
                <w:sz w:val="15"/>
              </w:rPr>
              <w:t xml:space="preserve">Mandatory; SQL Server address/instance value.</w:t>
            </w:r>
          </w:p>
        </w:tc>
      </w:tr>
      <w:tr>
        <w:tc>
          <w:tcPr>
            <w:vAlign w:val="center"/>
            <w:tcMar>
              <w:top w:w="65" w:type="dxa"/>
              <w:left w:w="65" w:type="dxa"/>
              <w:bottom w:w="65" w:type="dxa"/>
              <w:right w:w="65" w:type="dxa"/>
            </w:tcMar>
          </w:tcPr>
          <w:p>
            <w:pPr>
              <w:pStyle w:val="Compact"/>
              <w:spacing w:after="20" w:before="20"/>
              <w:jc w:val="left"/>
            </w:pPr>
            <w:r>
              <w:rPr>
                <w:rStyle w:val="VerbatimChar"/>
                <w:sz w:val="15"/>
              </w:rPr>
              <w:t xml:space="preserve">DATABASE</w:t>
            </w:r>
          </w:p>
        </w:tc>
        <w:tc>
          <w:tcPr>
            <w:vAlign w:val="center"/>
            <w:tcMar>
              <w:top w:w="65" w:type="dxa"/>
              <w:left w:w="65" w:type="dxa"/>
              <w:bottom w:w="65" w:type="dxa"/>
              <w:right w:w="65" w:type="dxa"/>
            </w:tcMar>
          </w:tcPr>
          <w:p>
            <w:pPr>
              <w:pStyle w:val="Compact"/>
              <w:spacing w:after="20" w:before="20"/>
              <w:jc w:val="left"/>
            </w:pPr>
            <w:r>
              <w:rPr>
                <w:sz w:val="15"/>
              </w:rPr>
              <w:t xml:space="preserve">Mandatory; connection's initial database.</w:t>
            </w:r>
          </w:p>
        </w:tc>
      </w:tr>
      <w:tr>
        <w:tc>
          <w:tcPr>
            <w:vAlign w:val="center"/>
            <w:tcMar>
              <w:top w:w="65" w:type="dxa"/>
              <w:left w:w="65" w:type="dxa"/>
              <w:bottom w:w="65" w:type="dxa"/>
              <w:right w:w="65" w:type="dxa"/>
            </w:tcMar>
            <w:shd w:fill="EFF4F8"/>
          </w:tcPr>
          <w:p>
            <w:pPr>
              <w:pStyle w:val="Compact"/>
              <w:spacing w:after="20" w:before="20"/>
              <w:jc w:val="left"/>
            </w:pPr>
            <w:r>
              <w:rPr>
                <w:rStyle w:val="VerbatimChar"/>
                <w:sz w:val="15"/>
              </w:rPr>
              <w:t xml:space="preserve">Trusted_Connection</w:t>
            </w:r>
          </w:p>
        </w:tc>
        <w:tc>
          <w:tcPr>
            <w:vAlign w:val="center"/>
            <w:tcMar>
              <w:top w:w="65" w:type="dxa"/>
              <w:left w:w="65" w:type="dxa"/>
              <w:bottom w:w="65" w:type="dxa"/>
              <w:right w:w="65" w:type="dxa"/>
            </w:tcMar>
            <w:shd w:fill="EFF4F8"/>
          </w:tcPr>
          <w:p>
            <w:pPr>
              <w:pStyle w:val="Compact"/>
              <w:spacing w:after="20" w:before="20"/>
              <w:jc w:val="left"/>
            </w:pPr>
            <w:r>
              <w:rPr>
                <w:sz w:val="15"/>
              </w:rPr>
              <w:t xml:space="preserve">Optional; defaults to</w:t>
            </w:r>
            <w:r>
              <w:rPr>
                <w:sz w:val="15"/>
              </w:rPr>
              <w:t xml:space="preserve"> </w:t>
            </w:r>
            <w:r>
              <w:rPr>
                <w:rStyle w:val="VerbatimChar"/>
                <w:sz w:val="15"/>
              </w:rPr>
              <w:t xml:space="preserve">yes</w:t>
            </w:r>
            <w:r>
              <w:rPr>
                <w:sz w:val="15"/>
              </w:rPr>
              <w:t xml:space="preserve">.</w:t>
            </w:r>
          </w:p>
        </w:tc>
      </w:tr>
      <w:tr>
        <w:tc>
          <w:tcPr>
            <w:vAlign w:val="center"/>
            <w:tcMar>
              <w:top w:w="65" w:type="dxa"/>
              <w:left w:w="65" w:type="dxa"/>
              <w:bottom w:w="65" w:type="dxa"/>
              <w:right w:w="65" w:type="dxa"/>
            </w:tcMar>
          </w:tcPr>
          <w:p>
            <w:pPr>
              <w:pStyle w:val="Compact"/>
              <w:spacing w:after="20" w:before="20"/>
              <w:jc w:val="left"/>
            </w:pPr>
            <w:r>
              <w:rPr>
                <w:rStyle w:val="VerbatimChar"/>
                <w:sz w:val="15"/>
              </w:rPr>
              <w:t xml:space="preserve">Encrypt</w:t>
            </w:r>
          </w:p>
        </w:tc>
        <w:tc>
          <w:tcPr>
            <w:vAlign w:val="center"/>
            <w:tcMar>
              <w:top w:w="65" w:type="dxa"/>
              <w:left w:w="65" w:type="dxa"/>
              <w:bottom w:w="65" w:type="dxa"/>
              <w:right w:w="65" w:type="dxa"/>
            </w:tcMar>
          </w:tcPr>
          <w:p>
            <w:pPr>
              <w:pStyle w:val="Compact"/>
              <w:spacing w:after="20" w:before="20"/>
              <w:jc w:val="left"/>
            </w:pPr>
            <w:r>
              <w:rPr>
                <w:sz w:val="15"/>
              </w:rPr>
              <w:t xml:space="preserve">Optional; defaults to</w:t>
            </w:r>
            <w:r>
              <w:rPr>
                <w:sz w:val="15"/>
              </w:rPr>
              <w:t xml:space="preserve"> </w:t>
            </w:r>
            <w:r>
              <w:rPr>
                <w:rStyle w:val="VerbatimChar"/>
                <w:sz w:val="15"/>
              </w:rPr>
              <w:t xml:space="preserve">no</w:t>
            </w:r>
            <w:r>
              <w:rPr>
                <w:sz w:val="15"/>
              </w:rPr>
              <w:t xml:space="preserve">.</w:t>
            </w:r>
          </w:p>
        </w:tc>
      </w:tr>
      <w:tr>
        <w:tc>
          <w:tcPr>
            <w:vAlign w:val="center"/>
            <w:tcMar>
              <w:top w:w="65" w:type="dxa"/>
              <w:left w:w="65" w:type="dxa"/>
              <w:bottom w:w="65" w:type="dxa"/>
              <w:right w:w="65" w:type="dxa"/>
            </w:tcMar>
            <w:shd w:fill="EFF4F8"/>
          </w:tcPr>
          <w:p>
            <w:pPr>
              <w:pStyle w:val="Compact"/>
              <w:spacing w:after="20" w:before="20"/>
              <w:jc w:val="left"/>
            </w:pPr>
            <w:r>
              <w:rPr>
                <w:rStyle w:val="VerbatimChar"/>
                <w:sz w:val="15"/>
              </w:rPr>
              <w:t xml:space="preserve">TrustServerCertificate</w:t>
            </w:r>
          </w:p>
        </w:tc>
        <w:tc>
          <w:tcPr>
            <w:vAlign w:val="center"/>
            <w:tcMar>
              <w:top w:w="65" w:type="dxa"/>
              <w:left w:w="65" w:type="dxa"/>
              <w:bottom w:w="65" w:type="dxa"/>
              <w:right w:w="65" w:type="dxa"/>
            </w:tcMar>
            <w:shd w:fill="EFF4F8"/>
          </w:tcPr>
          <w:p>
            <w:pPr>
              <w:pStyle w:val="Compact"/>
              <w:spacing w:after="20" w:before="20"/>
              <w:jc w:val="left"/>
            </w:pPr>
            <w:r>
              <w:rPr>
                <w:sz w:val="15"/>
              </w:rPr>
              <w:t xml:space="preserve">Optional; defaults to</w:t>
            </w:r>
            <w:r>
              <w:rPr>
                <w:sz w:val="15"/>
              </w:rPr>
              <w:t xml:space="preserve"> </w:t>
            </w:r>
            <w:r>
              <w:rPr>
                <w:rStyle w:val="VerbatimChar"/>
                <w:sz w:val="15"/>
              </w:rPr>
              <w:t xml:space="preserve">yes</w:t>
            </w:r>
            <w:r>
              <w:rPr>
                <w:sz w:val="15"/>
              </w:rPr>
              <w:t xml:space="preserve">.</w:t>
            </w:r>
          </w:p>
        </w:tc>
      </w:tr>
    </w:tbl>
    <w:p>
      <w:pPr>
        <w:pStyle w:val="BodyText"/>
      </w:pPr>
      <w:r>
        <w:t xml:space="preserve">The code checks installed drivers using</w:t>
      </w:r>
      <w:r>
        <w:t xml:space="preserve"> </w:t>
      </w:r>
      <w:r>
        <w:rPr>
          <w:rStyle w:val="VerbatimChar"/>
        </w:rPr>
        <w:t xml:space="preserve">pyodbc.drivers()</w:t>
      </w:r>
      <w:r>
        <w:t xml:space="preserve">. If the configured driver is not installed, it tries, in order,</w:t>
      </w:r>
      <w:r>
        <w:t xml:space="preserve"> </w:t>
      </w:r>
      <w:r>
        <w:rPr>
          <w:rStyle w:val="VerbatimChar"/>
        </w:rPr>
        <w:t xml:space="preserve">ODBC Driver 18 for SQL Server</w:t>
      </w:r>
      <w:r>
        <w:t xml:space="preserve">,</w:t>
      </w:r>
      <w:r>
        <w:t xml:space="preserve"> </w:t>
      </w:r>
      <w:r>
        <w:rPr>
          <w:rStyle w:val="VerbatimChar"/>
        </w:rPr>
        <w:t xml:space="preserve">ODBC Driver 17 for SQL Server</w:t>
      </w:r>
      <w:r>
        <w:t xml:space="preserve">, and</w:t>
      </w:r>
      <w:r>
        <w:t xml:space="preserve"> </w:t>
      </w:r>
      <w:r>
        <w:rPr>
          <w:rStyle w:val="VerbatimChar"/>
        </w:rPr>
        <w:t xml:space="preserve">SQL Server</w:t>
      </w:r>
      <w:r>
        <w:t xml:space="preserve">. It raises an error if no supported listed driver is present. The connection is created with</w:t>
      </w:r>
      <w:r>
        <w:t xml:space="preserve"> </w:t>
      </w:r>
      <w:r>
        <w:rPr>
          <w:rStyle w:val="VerbatimChar"/>
        </w:rPr>
        <w:t xml:space="preserve">autocommit=False</w:t>
      </w:r>
      <w:r>
        <w:t xml:space="preserve"> </w:t>
      </w:r>
      <w:r>
        <w:t xml:space="preserve">and</w:t>
      </w:r>
      <w:r>
        <w:t xml:space="preserve"> </w:t>
      </w:r>
      <w:r>
        <w:rPr>
          <w:rStyle w:val="VerbatimChar"/>
        </w:rPr>
        <w:t xml:space="preserve">timeout=120</w:t>
      </w:r>
      <w:r>
        <w:t xml:space="preserve">.</w:t>
      </w:r>
      <w:r>
        <w:t xml:space="preserve"> </w:t>
      </w:r>
      <w:r>
        <w:rPr>
          <w:b/>
          <w:bCs/>
        </w:rPr>
        <w:t xml:space="preserve">Evidence:</w:t>
      </w:r>
      <w:r>
        <w:t xml:space="preserve"> </w:t>
      </w:r>
      <w:r>
        <w:t xml:space="preserve">lines 65–100, 289–290.</w:t>
      </w:r>
    </w:p>
    <w:p>
      <w:pPr>
        <w:pStyle w:val="BodyText"/>
      </w:pPr>
      <w:r>
        <w:rPr>
          <w:b/>
          <w:bCs/>
        </w:rPr>
        <w:t xml:space="preserve">Do not infer:</w:t>
      </w:r>
      <w:r>
        <w:t xml:space="preserve"> </w:t>
      </w:r>
      <w:r>
        <w:t xml:space="preserve">The actual server names, login identity, permission levels, certificate settings in real environments, and the actual contents of</w:t>
      </w:r>
      <w:r>
        <w:t xml:space="preserve"> </w:t>
      </w:r>
      <w:r>
        <w:rPr>
          <w:rStyle w:val="VerbatimChar"/>
        </w:rPr>
        <w:t xml:space="preserve">dbconfig.ini</w:t>
      </w:r>
      <w:r>
        <w:t xml:space="preserve"> </w:t>
      </w:r>
      <w:r>
        <w:t xml:space="preserve">are unknown. The defaults listed here are</w:t>
      </w:r>
      <w:r>
        <w:t xml:space="preserve"> </w:t>
      </w:r>
      <w:r>
        <w:rPr>
          <w:b/>
          <w:bCs/>
        </w:rPr>
        <w:t xml:space="preserve">code observations, not security recommendations</w:t>
      </w:r>
      <w:r>
        <w:t xml:space="preserve">.</w:t>
      </w:r>
    </w:p>
    <w:bookmarkEnd w:id="26"/>
    <w:bookmarkStart w:id="27" w:name="X0b4f0e970acf2f3e760938746f3294e03785412"/>
    <w:p>
      <w:pPr>
        <w:pStyle w:val="Heading2"/>
      </w:pPr>
      <w:r>
        <w:t xml:space="preserve">6. End-to-end workflow</w:t>
      </w:r>
    </w:p>
    <w:p>
      <w:pPr>
        <w:spacing w:after="0"/>
        <w:jc w:val="center"/>
      </w:pPr>
      <w:r>
        <w:drawing>
          <wp:inline>
            <wp:extent cx="4251960" cy="6987522"/>
            <wp:docPr id="1" name="Picture 1"/>
            <wp:cNvGraphicFramePr>
              <a:graphicFrameLocks noChangeAspect="1"/>
            </wp:cNvGraphicFramePr>
            <a:graphic>
              <a:graphicData uri="http://schemas.openxmlformats.org/drawingml/2006/picture">
                <pic:pic>
                  <pic:nvPicPr>
                    <pic:cNvPr id="0" name="backfill_flow.png"/>
                    <pic:cNvPicPr/>
                  </pic:nvPicPr>
                  <pic:blipFill>
                    <a:blip r:embed="rId9"/>
                    <a:stretch>
                      <a:fillRect/>
                    </a:stretch>
                  </pic:blipFill>
                  <pic:spPr>
                    <a:xfrm>
                      <a:off x="0" y="0"/>
                      <a:ext cx="4251960" cy="6987522"/>
                    </a:xfrm>
                    <a:prstGeom prst="rect"/>
                  </pic:spPr>
                </pic:pic>
              </a:graphicData>
            </a:graphic>
          </wp:inline>
        </w:drawing>
      </w:r>
    </w:p>
    <w:p>
      <w:pPr>
        <w:spacing w:after="140"/>
        <w:jc w:val="center"/>
      </w:pPr>
      <w:r>
        <w:rPr>
          <w:i/>
          <w:color w:val="677985"/>
          <w:sz w:val="16"/>
        </w:rPr>
        <w:t>Figure 1. Source-code control flow (summarized).</w:t>
      </w:r>
    </w:p>
    <w:p>
      <w:pPr>
        <w:pStyle w:val="FirstParagraph"/>
      </w:pPr>
      <w:r>
        <w:t xml:space="preserve">The rollback path shown here applies to errors caught inside</w:t>
      </w:r>
      <w:r>
        <w:t xml:space="preserve"> </w:t>
      </w:r>
      <w:r>
        <w:rPr>
          <w:rStyle w:val="VerbatimChar"/>
        </w:rPr>
        <w:t xml:space="preserve">run_backfill()</w:t>
      </w:r>
      <w:r>
        <w:t xml:space="preserve">'s connection-handling</w:t>
      </w:r>
      <w:r>
        <w:t xml:space="preserve"> </w:t>
      </w:r>
      <w:r>
        <w:rPr>
          <w:rStyle w:val="VerbatimChar"/>
        </w:rPr>
        <w:t xml:space="preserve">try</w:t>
      </w:r>
      <w:r>
        <w:t xml:space="preserve"> </w:t>
      </w:r>
      <w:r>
        <w:t xml:space="preserve">block. Failures before that block are handled by the outer</w:t>
      </w:r>
      <w:r>
        <w:t xml:space="preserve"> </w:t>
      </w:r>
      <w:r>
        <w:rPr>
          <w:rStyle w:val="VerbatimChar"/>
        </w:rPr>
        <w:t xml:space="preserve">main()</w:t>
      </w:r>
      <w:r>
        <w:t xml:space="preserve"> </w:t>
      </w:r>
      <w:r>
        <w:t xml:space="preserve">exception handler instead.</w:t>
      </w:r>
      <w:r>
        <w:t xml:space="preserve"> </w:t>
      </w:r>
      <w:r>
        <w:rPr>
          <w:b/>
          <w:bCs/>
        </w:rPr>
        <w:t xml:space="preserve">Evidence:</w:t>
      </w:r>
      <w:r>
        <w:t xml:space="preserve"> </w:t>
      </w:r>
      <w:r>
        <w:t xml:space="preserve">lines 277–420.</w:t>
      </w:r>
    </w:p>
    <w:bookmarkEnd w:id="27"/>
    <w:bookmarkStart w:id="29" w:name="X7f42e1994077e73b80bec22b4ca068725966e2f"/>
    <w:p>
      <w:pPr>
        <w:pStyle w:val="Heading2"/>
      </w:pPr>
      <w:r>
        <w:t xml:space="preserve">7. Detailed pre-insert safety checks</w:t>
      </w:r>
    </w:p>
    <w:p>
      <w:pPr>
        <w:pStyle w:val="FirstParagraph"/>
      </w:pPr>
      <w:r>
        <w:t xml:space="preserve">These conditions are checked in the observed order before the database insert:</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Order</w:t>
            </w:r>
          </w:p>
        </w:tc>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Validation</w:t>
            </w:r>
          </w:p>
        </w:tc>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What happens if it fails</w:t>
            </w:r>
          </w:p>
        </w:tc>
      </w:tr>
      <w:tr>
        <w:tc>
          <w:tcPr>
            <w:vAlign w:val="center"/>
            <w:tcMar>
              <w:top w:w="65" w:type="dxa"/>
              <w:left w:w="65" w:type="dxa"/>
              <w:bottom w:w="65" w:type="dxa"/>
              <w:right w:w="65" w:type="dxa"/>
            </w:tcMar>
          </w:tcPr>
          <w:p>
            <w:pPr>
              <w:pStyle w:val="Compact"/>
              <w:spacing w:after="20" w:before="20"/>
              <w:jc w:val="left"/>
            </w:pPr>
            <w:r>
              <w:rPr>
                <w:sz w:val="15"/>
              </w:rPr>
              <w:t xml:space="preserve">1</w:t>
            </w:r>
          </w:p>
        </w:tc>
        <w:tc>
          <w:tcPr>
            <w:vAlign w:val="center"/>
            <w:tcMar>
              <w:top w:w="65" w:type="dxa"/>
              <w:left w:w="65" w:type="dxa"/>
              <w:bottom w:w="65" w:type="dxa"/>
              <w:right w:w="65" w:type="dxa"/>
            </w:tcMar>
          </w:tcPr>
          <w:p>
            <w:pPr>
              <w:pStyle w:val="Compact"/>
              <w:spacing w:after="20" w:before="20"/>
              <w:jc w:val="left"/>
            </w:pPr>
            <w:r>
              <w:rPr>
                <w:sz w:val="15"/>
              </w:rPr>
              <w:t xml:space="preserve">Environment is supported and both dates can be parsed; dates are different.</w:t>
            </w:r>
          </w:p>
        </w:tc>
        <w:tc>
          <w:tcPr>
            <w:vAlign w:val="center"/>
            <w:tcMar>
              <w:top w:w="65" w:type="dxa"/>
              <w:left w:w="65" w:type="dxa"/>
              <w:bottom w:w="65" w:type="dxa"/>
              <w:right w:w="65" w:type="dxa"/>
            </w:tcMar>
          </w:tcPr>
          <w:p>
            <w:pPr>
              <w:pStyle w:val="Compact"/>
              <w:spacing w:after="20" w:before="20"/>
              <w:jc w:val="left"/>
            </w:pPr>
            <w:r>
              <w:rPr>
                <w:sz w:val="15"/>
              </w:rPr>
              <w:t xml:space="preserve">Stop before connecting.</w:t>
            </w:r>
          </w:p>
        </w:tc>
      </w:tr>
      <w:tr>
        <w:tc>
          <w:tcPr>
            <w:vAlign w:val="center"/>
            <w:tcMar>
              <w:top w:w="65" w:type="dxa"/>
              <w:left w:w="65" w:type="dxa"/>
              <w:bottom w:w="65" w:type="dxa"/>
              <w:right w:w="65" w:type="dxa"/>
            </w:tcMar>
            <w:shd w:fill="EFF4F8"/>
          </w:tcPr>
          <w:p>
            <w:pPr>
              <w:pStyle w:val="Compact"/>
              <w:spacing w:after="20" w:before="20"/>
              <w:jc w:val="left"/>
            </w:pPr>
            <w:r>
              <w:rPr>
                <w:sz w:val="15"/>
              </w:rPr>
              <w:t xml:space="preserve">2</w:t>
            </w:r>
          </w:p>
        </w:tc>
        <w:tc>
          <w:tcPr>
            <w:vAlign w:val="center"/>
            <w:tcMar>
              <w:top w:w="65" w:type="dxa"/>
              <w:left w:w="65" w:type="dxa"/>
              <w:bottom w:w="65" w:type="dxa"/>
              <w:right w:w="65" w:type="dxa"/>
            </w:tcMar>
            <w:shd w:fill="EFF4F8"/>
          </w:tcPr>
          <w:p>
            <w:pPr>
              <w:pStyle w:val="Compact"/>
              <w:spacing w:after="20" w:before="20"/>
              <w:jc w:val="left"/>
            </w:pPr>
            <w:r>
              <w:rPr>
                <w:sz w:val="15"/>
              </w:rPr>
              <w:t xml:space="preserve">INI path exists; environment section and required keys can be used; a supported driver exists.</w:t>
            </w:r>
          </w:p>
        </w:tc>
        <w:tc>
          <w:tcPr>
            <w:vAlign w:val="center"/>
            <w:tcMar>
              <w:top w:w="65" w:type="dxa"/>
              <w:left w:w="65" w:type="dxa"/>
              <w:bottom w:w="65" w:type="dxa"/>
              <w:right w:w="65" w:type="dxa"/>
            </w:tcMar>
            <w:shd w:fill="EFF4F8"/>
          </w:tcPr>
          <w:p>
            <w:pPr>
              <w:pStyle w:val="Compact"/>
              <w:spacing w:after="20" w:before="20"/>
              <w:jc w:val="left"/>
            </w:pPr>
            <w:r>
              <w:rPr>
                <w:sz w:val="15"/>
              </w:rPr>
              <w:t xml:space="preserve">Stop during setup.</w:t>
            </w:r>
          </w:p>
        </w:tc>
      </w:tr>
      <w:tr>
        <w:tc>
          <w:tcPr>
            <w:vAlign w:val="center"/>
            <w:tcMar>
              <w:top w:w="65" w:type="dxa"/>
              <w:left w:w="65" w:type="dxa"/>
              <w:bottom w:w="65" w:type="dxa"/>
              <w:right w:w="65" w:type="dxa"/>
            </w:tcMar>
          </w:tcPr>
          <w:p>
            <w:pPr>
              <w:pStyle w:val="Compact"/>
              <w:spacing w:after="20" w:before="20"/>
              <w:jc w:val="left"/>
            </w:pPr>
            <w:r>
              <w:rPr>
                <w:sz w:val="15"/>
              </w:rPr>
              <w:t xml:space="preserve">3</w:t>
            </w:r>
          </w:p>
        </w:tc>
        <w:tc>
          <w:tcPr>
            <w:vAlign w:val="center"/>
            <w:tcMar>
              <w:top w:w="65" w:type="dxa"/>
              <w:left w:w="65" w:type="dxa"/>
              <w:bottom w:w="65" w:type="dxa"/>
              <w:right w:w="65" w:type="dxa"/>
            </w:tcMar>
          </w:tcPr>
          <w:p>
            <w:pPr>
              <w:pStyle w:val="Compact"/>
              <w:spacing w:after="20" w:before="20"/>
              <w:jc w:val="left"/>
            </w:pPr>
            <w:r>
              <w:rPr>
                <w:sz w:val="15"/>
              </w:rPr>
              <w:t xml:space="preserve">Schema/table is found in</w:t>
            </w:r>
            <w:r>
              <w:rPr>
                <w:sz w:val="15"/>
              </w:rPr>
              <w:t xml:space="preserve"> </w:t>
            </w:r>
            <w:r>
              <w:rPr>
                <w:rStyle w:val="VerbatimChar"/>
                <w:sz w:val="15"/>
              </w:rPr>
              <w:t xml:space="preserve">INFORMATION_SCHEMA.TABLES</w:t>
            </w:r>
            <w:r>
              <w:rPr>
                <w:sz w:val="15"/>
              </w:rPr>
              <w:t xml:space="preserve">.</w:t>
            </w:r>
          </w:p>
        </w:tc>
        <w:tc>
          <w:tcPr>
            <w:vAlign w:val="center"/>
            <w:tcMar>
              <w:top w:w="65" w:type="dxa"/>
              <w:left w:w="65" w:type="dxa"/>
              <w:bottom w:w="65" w:type="dxa"/>
              <w:right w:w="65" w:type="dxa"/>
            </w:tcMar>
          </w:tcPr>
          <w:p>
            <w:pPr>
              <w:pStyle w:val="Compact"/>
              <w:spacing w:after="20" w:before="20"/>
              <w:jc w:val="left"/>
            </w:pPr>
            <w:r>
              <w:rPr>
                <w:sz w:val="15"/>
              </w:rPr>
              <w:t xml:space="preserve">Raise table-not-found error.</w:t>
            </w:r>
          </w:p>
        </w:tc>
      </w:tr>
      <w:tr>
        <w:tc>
          <w:tcPr>
            <w:vAlign w:val="center"/>
            <w:tcMar>
              <w:top w:w="65" w:type="dxa"/>
              <w:left w:w="65" w:type="dxa"/>
              <w:bottom w:w="65" w:type="dxa"/>
              <w:right w:w="65" w:type="dxa"/>
            </w:tcMar>
            <w:shd w:fill="EFF4F8"/>
          </w:tcPr>
          <w:p>
            <w:pPr>
              <w:pStyle w:val="Compact"/>
              <w:spacing w:after="20" w:before="20"/>
              <w:jc w:val="left"/>
            </w:pPr>
            <w:r>
              <w:rPr>
                <w:sz w:val="15"/>
              </w:rPr>
              <w:t xml:space="preserve">4</w:t>
            </w:r>
          </w:p>
        </w:tc>
        <w:tc>
          <w:tcPr>
            <w:vAlign w:val="center"/>
            <w:tcMar>
              <w:top w:w="65" w:type="dxa"/>
              <w:left w:w="65" w:type="dxa"/>
              <w:bottom w:w="65" w:type="dxa"/>
              <w:right w:w="65" w:type="dxa"/>
            </w:tcMar>
            <w:shd w:fill="EFF4F8"/>
          </w:tcPr>
          <w:p>
            <w:pPr>
              <w:pStyle w:val="Compact"/>
              <w:spacing w:after="20" w:before="20"/>
              <w:jc w:val="left"/>
            </w:pPr>
            <w:r>
              <w:rPr>
                <w:sz w:val="15"/>
              </w:rPr>
              <w:t xml:space="preserve">Column metadata is returned.</w:t>
            </w:r>
          </w:p>
        </w:tc>
        <w:tc>
          <w:tcPr>
            <w:vAlign w:val="center"/>
            <w:tcMar>
              <w:top w:w="65" w:type="dxa"/>
              <w:left w:w="65" w:type="dxa"/>
              <w:bottom w:w="65" w:type="dxa"/>
              <w:right w:w="65" w:type="dxa"/>
            </w:tcMar>
            <w:shd w:fill="EFF4F8"/>
          </w:tcPr>
          <w:p>
            <w:pPr>
              <w:pStyle w:val="Compact"/>
              <w:spacing w:after="20" w:before="20"/>
              <w:jc w:val="left"/>
            </w:pPr>
            <w:r>
              <w:rPr>
                <w:sz w:val="15"/>
              </w:rPr>
              <w:t xml:space="preserve">Raise no-metadata error.</w:t>
            </w:r>
          </w:p>
        </w:tc>
      </w:tr>
      <w:tr>
        <w:tc>
          <w:tcPr>
            <w:vAlign w:val="center"/>
            <w:tcMar>
              <w:top w:w="65" w:type="dxa"/>
              <w:left w:w="65" w:type="dxa"/>
              <w:bottom w:w="65" w:type="dxa"/>
              <w:right w:w="65" w:type="dxa"/>
            </w:tcMar>
          </w:tcPr>
          <w:p>
            <w:pPr>
              <w:pStyle w:val="Compact"/>
              <w:spacing w:after="20" w:before="20"/>
              <w:jc w:val="left"/>
            </w:pPr>
            <w:r>
              <w:rPr>
                <w:sz w:val="15"/>
              </w:rPr>
              <w:t xml:space="preserve">5</w:t>
            </w:r>
          </w:p>
        </w:tc>
        <w:tc>
          <w:tcPr>
            <w:vAlign w:val="center"/>
            <w:tcMar>
              <w:top w:w="65" w:type="dxa"/>
              <w:left w:w="65" w:type="dxa"/>
              <w:bottom w:w="65" w:type="dxa"/>
              <w:right w:w="65" w:type="dxa"/>
            </w:tcMar>
          </w:tcPr>
          <w:p>
            <w:pPr>
              <w:pStyle w:val="Compact"/>
              <w:spacing w:after="20" w:before="20"/>
              <w:jc w:val="left"/>
            </w:pPr>
            <w:r>
              <w:rPr>
                <w:sz w:val="15"/>
              </w:rPr>
              <w:t xml:space="preserve">Primary date column exists; additionally</w:t>
            </w:r>
            <w:r>
              <w:rPr>
                <w:sz w:val="15"/>
              </w:rPr>
              <w:t xml:space="preserve"> </w:t>
            </w:r>
            <w:r>
              <w:rPr>
                <w:rStyle w:val="VerbatimChar"/>
                <w:sz w:val="15"/>
              </w:rPr>
              <w:t xml:space="preserve">DTPOS</w:t>
            </w:r>
            <w:r>
              <w:rPr>
                <w:sz w:val="15"/>
              </w:rPr>
              <w:t xml:space="preserve"> </w:t>
            </w:r>
            <w:r>
              <w:rPr>
                <w:sz w:val="15"/>
              </w:rPr>
              <w:t xml:space="preserve">exists for</w:t>
            </w:r>
            <w:r>
              <w:rPr>
                <w:sz w:val="15"/>
              </w:rPr>
              <w:t xml:space="preserve"> </w:t>
            </w:r>
            <w:r>
              <w:rPr>
                <w:rStyle w:val="VerbatimChar"/>
                <w:sz w:val="15"/>
              </w:rPr>
              <w:t xml:space="preserve">NET_LIABILITIES</w:t>
            </w:r>
            <w:r>
              <w:rPr>
                <w:sz w:val="15"/>
              </w:rPr>
              <w:t xml:space="preserve">.</w:t>
            </w:r>
          </w:p>
        </w:tc>
        <w:tc>
          <w:tcPr>
            <w:vAlign w:val="center"/>
            <w:tcMar>
              <w:top w:w="65" w:type="dxa"/>
              <w:left w:w="65" w:type="dxa"/>
              <w:bottom w:w="65" w:type="dxa"/>
              <w:right w:w="65" w:type="dxa"/>
            </w:tcMar>
          </w:tcPr>
          <w:p>
            <w:pPr>
              <w:pStyle w:val="Compact"/>
              <w:spacing w:after="20" w:before="20"/>
              <w:jc w:val="left"/>
            </w:pPr>
            <w:r>
              <w:rPr>
                <w:sz w:val="15"/>
              </w:rPr>
              <w:t xml:space="preserve">Raise missing-column error.</w:t>
            </w:r>
          </w:p>
        </w:tc>
      </w:tr>
      <w:tr>
        <w:tc>
          <w:tcPr>
            <w:vAlign w:val="center"/>
            <w:tcMar>
              <w:top w:w="65" w:type="dxa"/>
              <w:left w:w="65" w:type="dxa"/>
              <w:bottom w:w="65" w:type="dxa"/>
              <w:right w:w="65" w:type="dxa"/>
            </w:tcMar>
            <w:shd w:fill="EFF4F8"/>
          </w:tcPr>
          <w:p>
            <w:pPr>
              <w:pStyle w:val="Compact"/>
              <w:spacing w:after="20" w:before="20"/>
              <w:jc w:val="left"/>
            </w:pPr>
            <w:r>
              <w:rPr>
                <w:sz w:val="15"/>
              </w:rPr>
              <w:t xml:space="preserve">6</w:t>
            </w:r>
          </w:p>
        </w:tc>
        <w:tc>
          <w:tcPr>
            <w:vAlign w:val="center"/>
            <w:tcMar>
              <w:top w:w="65" w:type="dxa"/>
              <w:left w:w="65" w:type="dxa"/>
              <w:bottom w:w="65" w:type="dxa"/>
              <w:right w:w="65" w:type="dxa"/>
            </w:tcMar>
            <w:shd w:fill="EFF4F8"/>
          </w:tcPr>
          <w:p>
            <w:pPr>
              <w:pStyle w:val="Compact"/>
              <w:spacing w:after="20" w:before="20"/>
              <w:jc w:val="left"/>
            </w:pPr>
            <w:r>
              <w:rPr>
                <w:sz w:val="15"/>
              </w:rPr>
              <w:t xml:space="preserve">Primary date column is insertable; for</w:t>
            </w:r>
            <w:r>
              <w:rPr>
                <w:sz w:val="15"/>
              </w:rPr>
              <w:t xml:space="preserve"> </w:t>
            </w:r>
            <w:r>
              <w:rPr>
                <w:rStyle w:val="VerbatimChar"/>
                <w:sz w:val="15"/>
              </w:rPr>
              <w:t xml:space="preserve">NET_LIABILITIES</w:t>
            </w:r>
            <w:r>
              <w:rPr>
                <w:sz w:val="15"/>
              </w:rPr>
              <w:t xml:space="preserve">,</w:t>
            </w:r>
            <w:r>
              <w:rPr>
                <w:sz w:val="15"/>
              </w:rPr>
              <w:t xml:space="preserve"> </w:t>
            </w:r>
            <w:r>
              <w:rPr>
                <w:rStyle w:val="VerbatimChar"/>
                <w:sz w:val="15"/>
              </w:rPr>
              <w:t xml:space="preserve">DTPOS</w:t>
            </w:r>
            <w:r>
              <w:rPr>
                <w:sz w:val="15"/>
              </w:rPr>
              <w:t xml:space="preserve"> </w:t>
            </w:r>
            <w:r>
              <w:rPr>
                <w:sz w:val="15"/>
              </w:rPr>
              <w:t xml:space="preserve">is insertable.</w:t>
            </w:r>
          </w:p>
        </w:tc>
        <w:tc>
          <w:tcPr>
            <w:vAlign w:val="center"/>
            <w:tcMar>
              <w:top w:w="65" w:type="dxa"/>
              <w:left w:w="65" w:type="dxa"/>
              <w:bottom w:w="65" w:type="dxa"/>
              <w:right w:w="65" w:type="dxa"/>
            </w:tcMar>
            <w:shd w:fill="EFF4F8"/>
          </w:tcPr>
          <w:p>
            <w:pPr>
              <w:pStyle w:val="Compact"/>
              <w:spacing w:after="20" w:before="20"/>
              <w:jc w:val="left"/>
            </w:pPr>
            <w:r>
              <w:rPr>
                <w:sz w:val="15"/>
              </w:rPr>
              <w:t xml:space="preserve">Raise insertable-column error.</w:t>
            </w:r>
          </w:p>
        </w:tc>
      </w:tr>
      <w:tr>
        <w:tc>
          <w:tcPr>
            <w:vAlign w:val="center"/>
            <w:tcMar>
              <w:top w:w="65" w:type="dxa"/>
              <w:left w:w="65" w:type="dxa"/>
              <w:bottom w:w="65" w:type="dxa"/>
              <w:right w:w="65" w:type="dxa"/>
            </w:tcMar>
          </w:tcPr>
          <w:p>
            <w:pPr>
              <w:pStyle w:val="Compact"/>
              <w:spacing w:after="20" w:before="20"/>
              <w:jc w:val="left"/>
            </w:pPr>
            <w:r>
              <w:rPr>
                <w:sz w:val="15"/>
              </w:rPr>
              <w:t xml:space="preserve">7</w:t>
            </w:r>
          </w:p>
        </w:tc>
        <w:tc>
          <w:tcPr>
            <w:vAlign w:val="center"/>
            <w:tcMar>
              <w:top w:w="65" w:type="dxa"/>
              <w:left w:w="65" w:type="dxa"/>
              <w:bottom w:w="65" w:type="dxa"/>
              <w:right w:w="65" w:type="dxa"/>
            </w:tcMar>
          </w:tcPr>
          <w:p>
            <w:pPr>
              <w:pStyle w:val="Compact"/>
              <w:spacing w:after="20" w:before="20"/>
              <w:jc w:val="left"/>
            </w:pPr>
            <w:r>
              <w:rPr>
                <w:sz w:val="15"/>
              </w:rPr>
              <w:t xml:space="preserve">Source-date row count is greater than zero.</w:t>
            </w:r>
          </w:p>
        </w:tc>
        <w:tc>
          <w:tcPr>
            <w:vAlign w:val="center"/>
            <w:tcMar>
              <w:top w:w="65" w:type="dxa"/>
              <w:left w:w="65" w:type="dxa"/>
              <w:bottom w:w="65" w:type="dxa"/>
              <w:right w:w="65" w:type="dxa"/>
            </w:tcMar>
          </w:tcPr>
          <w:p>
            <w:pPr>
              <w:pStyle w:val="Compact"/>
              <w:spacing w:after="20" w:before="20"/>
              <w:jc w:val="left"/>
            </w:pPr>
            <w:r>
              <w:rPr>
                <w:sz w:val="15"/>
              </w:rPr>
              <w:t xml:space="preserve">Stop; no source rows available to copy.</w:t>
            </w:r>
          </w:p>
        </w:tc>
      </w:tr>
      <w:tr>
        <w:tc>
          <w:tcPr>
            <w:vAlign w:val="center"/>
            <w:tcMar>
              <w:top w:w="65" w:type="dxa"/>
              <w:left w:w="65" w:type="dxa"/>
              <w:bottom w:w="65" w:type="dxa"/>
              <w:right w:w="65" w:type="dxa"/>
            </w:tcMar>
            <w:shd w:fill="EFF4F8"/>
          </w:tcPr>
          <w:p>
            <w:pPr>
              <w:pStyle w:val="Compact"/>
              <w:spacing w:after="20" w:before="20"/>
              <w:jc w:val="left"/>
            </w:pPr>
            <w:r>
              <w:rPr>
                <w:sz w:val="15"/>
              </w:rPr>
              <w:t xml:space="preserve">8</w:t>
            </w:r>
          </w:p>
        </w:tc>
        <w:tc>
          <w:tcPr>
            <w:vAlign w:val="center"/>
            <w:tcMar>
              <w:top w:w="65" w:type="dxa"/>
              <w:left w:w="65" w:type="dxa"/>
              <w:bottom w:w="65" w:type="dxa"/>
              <w:right w:w="65" w:type="dxa"/>
            </w:tcMar>
            <w:shd w:fill="EFF4F8"/>
          </w:tcPr>
          <w:p>
            <w:pPr>
              <w:pStyle w:val="Compact"/>
              <w:spacing w:after="20" w:before="20"/>
              <w:jc w:val="left"/>
            </w:pPr>
            <w:r>
              <w:rPr>
                <w:sz w:val="15"/>
              </w:rPr>
              <w:t xml:space="preserve">Target-date row count is</w:t>
            </w:r>
            <w:r>
              <w:rPr>
                <w:sz w:val="15"/>
              </w:rPr>
              <w:t xml:space="preserve"> </w:t>
            </w:r>
            <w:r>
              <w:rPr>
                <w:b/>
                <w:bCs/>
                <w:sz w:val="15"/>
              </w:rPr>
              <w:t xml:space="preserve">zero</w:t>
            </w:r>
            <w:r>
              <w:rPr>
                <w:sz w:val="15"/>
              </w:rPr>
              <w:t xml:space="preserve">.</w:t>
            </w:r>
          </w:p>
        </w:tc>
        <w:tc>
          <w:tcPr>
            <w:vAlign w:val="center"/>
            <w:tcMar>
              <w:top w:w="65" w:type="dxa"/>
              <w:left w:w="65" w:type="dxa"/>
              <w:bottom w:w="65" w:type="dxa"/>
              <w:right w:w="65" w:type="dxa"/>
            </w:tcMar>
            <w:shd w:fill="EFF4F8"/>
          </w:tcPr>
          <w:p>
            <w:pPr>
              <w:pStyle w:val="Compact"/>
              <w:spacing w:after="20" w:before="20"/>
              <w:jc w:val="left"/>
            </w:pPr>
            <w:r>
              <w:rPr>
                <w:sz w:val="15"/>
              </w:rPr>
              <w:t xml:space="preserve">Stop; refuses to add to an already populated target date.</w:t>
            </w:r>
          </w:p>
        </w:tc>
      </w:tr>
    </w:tbl>
    <w:p>
      <w:pPr>
        <w:pStyle w:val="BodyText"/>
      </w:pPr>
      <w:r>
        <w:t xml:space="preserve">The checks inspect existing table metadata and row counts;</w:t>
      </w:r>
      <w:r>
        <w:t xml:space="preserve"> </w:t>
      </w:r>
      <w:r>
        <w:rPr>
          <w:b/>
          <w:bCs/>
        </w:rPr>
        <w:t xml:space="preserve">they do not establish</w:t>
      </w:r>
      <w:r>
        <w:t xml:space="preserve"> </w:t>
      </w:r>
      <w:r>
        <w:t xml:space="preserve">that every relevant SQL Server table constraint will permit the eventual insert.</w:t>
      </w:r>
      <w:r>
        <w:t xml:space="preserve"> </w:t>
      </w:r>
      <w:r>
        <w:rPr>
          <w:b/>
          <w:bCs/>
        </w:rPr>
        <w:t xml:space="preserve">Evidence:</w:t>
      </w:r>
      <w:r>
        <w:t xml:space="preserve"> </w:t>
      </w:r>
      <w:r>
        <w:t xml:space="preserve">lines 277–337.</w:t>
      </w:r>
    </w:p>
    <w:bookmarkStart w:id="28" w:name="what-counts-as-an-insertable-column"/>
    <w:p>
      <w:pPr>
        <w:pStyle w:val="Heading3"/>
      </w:pPr>
      <w:r>
        <w:t xml:space="preserve">What counts as an insertable column?</w:t>
      </w:r>
    </w:p>
    <w:p>
      <w:pPr>
        <w:pStyle w:val="FirstParagraph"/>
      </w:pPr>
      <w:r>
        <w:t xml:space="preserve">The script reads six metadata fields:</w:t>
      </w:r>
      <w:r>
        <w:t xml:space="preserve"> </w:t>
      </w:r>
      <w:r>
        <w:rPr>
          <w:rStyle w:val="VerbatimChar"/>
        </w:rPr>
        <w:t xml:space="preserve">COLUMN_NAME</w:t>
      </w:r>
      <w:r>
        <w:t xml:space="preserve">,</w:t>
      </w:r>
      <w:r>
        <w:t xml:space="preserve"> </w:t>
      </w:r>
      <w:r>
        <w:rPr>
          <w:rStyle w:val="VerbatimChar"/>
        </w:rPr>
        <w:t xml:space="preserve">ORDINAL_POSITION</w:t>
      </w:r>
      <w:r>
        <w:t xml:space="preserve">,</w:t>
      </w:r>
      <w:r>
        <w:t xml:space="preserve"> </w:t>
      </w:r>
      <w:r>
        <w:rPr>
          <w:rStyle w:val="VerbatimChar"/>
        </w:rPr>
        <w:t xml:space="preserve">DATA_TYPE</w:t>
      </w:r>
      <w:r>
        <w:t xml:space="preserve">,</w:t>
      </w:r>
      <w:r>
        <w:t xml:space="preserve"> </w:t>
      </w:r>
      <w:r>
        <w:rPr>
          <w:rStyle w:val="VerbatimChar"/>
        </w:rPr>
        <w:t xml:space="preserve">IS_COMPUTED</w:t>
      </w:r>
      <w:r>
        <w:t xml:space="preserve">,</w:t>
      </w:r>
      <w:r>
        <w:t xml:space="preserve"> </w:t>
      </w:r>
      <w:r>
        <w:rPr>
          <w:rStyle w:val="VerbatimChar"/>
        </w:rPr>
        <w:t xml:space="preserve">IS_IDENTITY</w:t>
      </w:r>
      <w:r>
        <w:t xml:space="preserve">, and</w:t>
      </w:r>
      <w:r>
        <w:t xml:space="preserve"> </w:t>
      </w:r>
      <w:r>
        <w:rPr>
          <w:rStyle w:val="VerbatimChar"/>
        </w:rPr>
        <w:t xml:space="preserve">IS_ROWVERSION</w:t>
      </w:r>
      <w:r>
        <w:t xml:space="preserve">. It excludes computed, identity, and SQL Server</w:t>
      </w:r>
      <w:r>
        <w:t xml:space="preserve"> </w:t>
      </w:r>
      <w:r>
        <w:rPr>
          <w:rStyle w:val="VerbatimChar"/>
        </w:rPr>
        <w:t xml:space="preserve">timestamp</w:t>
      </w:r>
      <w:r>
        <w:t xml:space="preserve">/rowversion columns from the generated insert. It retains the other returned columns. If identity columns exist, a warning says their values will not be copied.</w:t>
      </w:r>
      <w:r>
        <w:t xml:space="preserve"> </w:t>
      </w:r>
      <w:r>
        <w:rPr>
          <w:b/>
          <w:bCs/>
        </w:rPr>
        <w:t xml:space="preserve">Evidence:</w:t>
      </w:r>
      <w:r>
        <w:t xml:space="preserve"> </w:t>
      </w:r>
      <w:r>
        <w:t xml:space="preserve">lines 145–206.</w:t>
      </w:r>
    </w:p>
    <w:p>
      <w:pPr>
        <w:pStyle w:val="BodyText"/>
      </w:pPr>
      <w:r>
        <w:t xml:space="preserve">The code uses metadata ordered by</w:t>
      </w:r>
      <w:r>
        <w:t xml:space="preserve"> </w:t>
      </w:r>
      <w:r>
        <w:rPr>
          <w:rStyle w:val="VerbatimChar"/>
        </w:rPr>
        <w:t xml:space="preserve">column_id</w:t>
      </w:r>
      <w:r>
        <w:t xml:space="preserve">; it does not hard-code the ordinary business column names in the insert statement.</w:t>
      </w:r>
    </w:p>
    <w:bookmarkEnd w:id="28"/>
    <w:bookmarkEnd w:id="29"/>
    <w:bookmarkStart w:id="32" w:name="X71bc965ca9a191dc6847063f810edd82073fd56"/>
    <w:p>
      <w:pPr>
        <w:pStyle w:val="Heading2"/>
      </w:pPr>
      <w:r>
        <w:t xml:space="preserve">8. How the SQL is generated</w:t>
      </w:r>
    </w:p>
    <w:p>
      <w:pPr>
        <w:pStyle w:val="FirstParagraph"/>
      </w:pPr>
      <w:r>
        <w:t xml:space="preserve">The core operation is</w:t>
      </w:r>
      <w:r>
        <w:t xml:space="preserve"> </w:t>
      </w:r>
      <w:r>
        <w:rPr>
          <w:rStyle w:val="VerbatimChar"/>
        </w:rPr>
        <w:t xml:space="preserve">INSERT INTO &lt;same_table&gt; (...) SELECT ... FROM &lt;same_table&gt; WHERE &lt;source_date_column&gt; = ?</w:t>
      </w:r>
      <w:r>
        <w:t xml:space="preserve">.</w:t>
      </w:r>
    </w:p>
    <w:p>
      <w:pPr>
        <w:pStyle w:val="Compact"/>
        <w:numPr>
          <w:ilvl w:val="0"/>
          <w:numId w:val="1001"/>
        </w:numPr>
      </w:pPr>
      <w:r>
        <w:t xml:space="preserve">The</w:t>
      </w:r>
      <w:r>
        <w:t xml:space="preserve"> </w:t>
      </w:r>
      <w:r>
        <w:rPr>
          <w:rStyle w:val="VerbatimChar"/>
        </w:rPr>
        <w:t xml:space="preserve">INSERT</w:t>
      </w:r>
      <w:r>
        <w:t xml:space="preserve"> </w:t>
      </w:r>
      <w:r>
        <w:t xml:space="preserve">column list includes every metadata-derived insertable column.</w:t>
      </w:r>
    </w:p>
    <w:p>
      <w:pPr>
        <w:pStyle w:val="Compact"/>
        <w:numPr>
          <w:ilvl w:val="0"/>
          <w:numId w:val="1001"/>
        </w:numPr>
      </w:pPr>
      <w:r>
        <w:t xml:space="preserve">For most tables, the</w:t>
      </w:r>
      <w:r>
        <w:t xml:space="preserve"> </w:t>
      </w:r>
      <w:r>
        <w:rPr>
          <w:rStyle w:val="VerbatimChar"/>
        </w:rPr>
        <w:t xml:space="preserve">AS_OF_DATE</w:t>
      </w:r>
      <w:r>
        <w:t xml:space="preserve"> </w:t>
      </w:r>
      <w:r>
        <w:t xml:space="preserve">expression is replaced by</w:t>
      </w:r>
      <w:r>
        <w:t xml:space="preserve"> </w:t>
      </w:r>
      <w:r>
        <w:rPr>
          <w:rStyle w:val="VerbatimChar"/>
        </w:rPr>
        <w:t xml:space="preserve">? AS AS_OF_DATE</w:t>
      </w:r>
      <w:r>
        <w:t xml:space="preserve">.</w:t>
      </w:r>
    </w:p>
    <w:p>
      <w:pPr>
        <w:pStyle w:val="Compact"/>
        <w:numPr>
          <w:ilvl w:val="0"/>
          <w:numId w:val="1001"/>
        </w:numPr>
      </w:pPr>
      <w:r>
        <w:t xml:space="preserve">For</w:t>
      </w:r>
      <w:r>
        <w:t xml:space="preserve"> </w:t>
      </w:r>
      <w:r>
        <w:rPr>
          <w:rStyle w:val="VerbatimChar"/>
        </w:rPr>
        <w:t xml:space="preserve">NET_LIABILITIES</w:t>
      </w:r>
      <w:r>
        <w:t xml:space="preserve">, both</w:t>
      </w:r>
      <w:r>
        <w:t xml:space="preserve"> </w:t>
      </w:r>
      <w:r>
        <w:rPr>
          <w:rStyle w:val="VerbatimChar"/>
        </w:rPr>
        <w:t xml:space="preserve">POSDATE</w:t>
      </w:r>
      <w:r>
        <w:t xml:space="preserve"> </w:t>
      </w:r>
      <w:r>
        <w:t xml:space="preserve">and</w:t>
      </w:r>
      <w:r>
        <w:t xml:space="preserve"> </w:t>
      </w:r>
      <w:r>
        <w:rPr>
          <w:rStyle w:val="VerbatimChar"/>
        </w:rPr>
        <w:t xml:space="preserve">DTPOS</w:t>
      </w:r>
      <w:r>
        <w:t xml:space="preserve"> </w:t>
      </w:r>
      <w:r>
        <w:t xml:space="preserve">expressions are replaced by parameter placeholders.</w:t>
      </w:r>
    </w:p>
    <w:p>
      <w:pPr>
        <w:pStyle w:val="Compact"/>
        <w:numPr>
          <w:ilvl w:val="0"/>
          <w:numId w:val="1001"/>
        </w:numPr>
      </w:pPr>
      <w:r>
        <w:t xml:space="preserve">All other insertable-column expressions select the existing source-column values.</w:t>
      </w:r>
    </w:p>
    <w:p>
      <w:pPr>
        <w:pStyle w:val="Compact"/>
        <w:numPr>
          <w:ilvl w:val="0"/>
          <w:numId w:val="1001"/>
        </w:numPr>
      </w:pPr>
      <w:r>
        <w:t xml:space="preserve">The</w:t>
      </w:r>
      <w:r>
        <w:t xml:space="preserve"> </w:t>
      </w:r>
      <w:r>
        <w:rPr>
          <w:rStyle w:val="VerbatimChar"/>
        </w:rPr>
        <w:t xml:space="preserve">WHERE</w:t>
      </w:r>
      <w:r>
        <w:t xml:space="preserve"> </w:t>
      </w:r>
      <w:r>
        <w:t xml:space="preserve">clause filters by the table's primary date column using the source date.</w:t>
      </w:r>
    </w:p>
    <w:p>
      <w:pPr>
        <w:pStyle w:val="FirstParagraph"/>
      </w:pPr>
      <w:r>
        <w:rPr>
          <w:b/>
          <w:bCs/>
        </w:rPr>
        <w:t xml:space="preserve">Evidence:</w:t>
      </w:r>
      <w:r>
        <w:t xml:space="preserve"> </w:t>
      </w:r>
      <w:r>
        <w:t xml:space="preserve">lines 181–227.</w:t>
      </w:r>
    </w:p>
    <w:bookmarkStart w:id="30" w:name="structural-example-only-ordinary-table"/>
    <w:p>
      <w:pPr>
        <w:pStyle w:val="Heading3"/>
      </w:pPr>
      <w:r>
        <w:t xml:space="preserve">Structural example only: ordinary table</w:t>
      </w:r>
    </w:p>
    <w:p>
      <w:pPr>
        <w:pStyle w:val="FirstParagraph"/>
      </w:pPr>
      <w:r>
        <w:t xml:space="preserve">The next snippet is</w:t>
      </w:r>
      <w:r>
        <w:t xml:space="preserve"> </w:t>
      </w:r>
      <w:r>
        <w:rPr>
          <w:b/>
          <w:bCs/>
        </w:rPr>
        <w:t xml:space="preserve">not copied SQL output from a live table</w:t>
      </w:r>
      <w:r>
        <w:t xml:space="preserve">;</w:t>
      </w:r>
      <w:r>
        <w:t xml:space="preserve"> </w:t>
      </w:r>
      <w:r>
        <w:rPr>
          <w:rStyle w:val="VerbatimChar"/>
        </w:rPr>
        <w:t xml:space="preserve">[OTHER_COLUMN]</w:t>
      </w:r>
      <w:r>
        <w:t xml:space="preserve"> </w:t>
      </w:r>
      <w:r>
        <w:t xml:space="preserve">stands for any actual insertable column returned from the catalog.</w:t>
      </w:r>
    </w:p>
    <w:p>
      <w:pPr>
        <w:pStyle w:val="SourceCode"/>
        <w:keepLines/>
        <w:spacing w:after="20"/>
        <w:ind w:left="173"/>
      </w:pPr>
      <w:r>
        <w:rPr>
          <w:rStyle w:val="KeywordTok"/>
        </w:rPr>
        <w:t xml:space="preserve">INSERT</w:t>
      </w:r>
      <w:r>
        <w:rPr>
          <w:rStyle w:val="NormalTok"/>
        </w:rPr>
        <w:t xml:space="preserve"> </w:t>
      </w:r>
      <w:r>
        <w:rPr>
          <w:rStyle w:val="KeywordTok"/>
        </w:rPr>
        <w:t xml:space="preserve">INTO</w:t>
      </w:r>
      <w:r>
        <w:rPr>
          <w:rStyle w:val="NormalTok"/>
        </w:rPr>
        <w:t xml:space="preserve"> LIQUIDITY.LST_SF_EXTRACT.BANKING_LOANS</w:t>
      </w:r>
      <w:r>
        <w:br/>
      </w:r>
      <w:r>
        <w:rPr>
          <w:rStyle w:val="NormalTok"/>
        </w:rPr>
        <w:t xml:space="preserve">    (AS_OF_DATE, [OTHER_COLUMN])</w:t>
      </w:r>
      <w:r>
        <w:br/>
      </w:r>
      <w:r>
        <w:rPr>
          <w:rStyle w:val="KeywordTok"/>
        </w:rPr>
        <w:t xml:space="preserve">SELECT</w:t>
      </w:r>
      <w:r>
        <w:br/>
      </w:r>
      <w:r>
        <w:rPr>
          <w:rStyle w:val="NormalTok"/>
        </w:rPr>
        <w:t xml:space="preserve">    ? </w:t>
      </w:r>
      <w:r>
        <w:rPr>
          <w:rStyle w:val="KeywordTok"/>
        </w:rPr>
        <w:t xml:space="preserve">AS</w:t>
      </w:r>
      <w:r>
        <w:rPr>
          <w:rStyle w:val="NormalTok"/>
        </w:rPr>
        <w:t xml:space="preserve"> AS_OF_DATE,</w:t>
      </w:r>
      <w:r>
        <w:br/>
      </w:r>
      <w:r>
        <w:rPr>
          <w:rStyle w:val="NormalTok"/>
        </w:rPr>
        <w:t xml:space="preserve">    [OTHER_COLUMN]</w:t>
      </w:r>
      <w:r>
        <w:br/>
      </w:r>
      <w:r>
        <w:rPr>
          <w:rStyle w:val="KeywordTok"/>
        </w:rPr>
        <w:t xml:space="preserve">FROM</w:t>
      </w:r>
      <w:r>
        <w:rPr>
          <w:rStyle w:val="NormalTok"/>
        </w:rPr>
        <w:t xml:space="preserve"> LIQUIDITY.LST_SF_EXTRACT.BANKING_LOANS</w:t>
      </w:r>
      <w:r>
        <w:br/>
      </w:r>
      <w:r>
        <w:rPr>
          <w:rStyle w:val="KeywordTok"/>
        </w:rPr>
        <w:t xml:space="preserve">WHERE</w:t>
      </w:r>
      <w:r>
        <w:rPr>
          <w:rStyle w:val="NormalTok"/>
        </w:rPr>
        <w:t xml:space="preserve"> AS_OF_DATE </w:t>
      </w:r>
      <w:r>
        <w:rPr>
          <w:rStyle w:val="OperatorTok"/>
        </w:rPr>
        <w:t xml:space="preserve">=</w:t>
      </w:r>
      <w:r>
        <w:rPr>
          <w:rStyle w:val="NormalTok"/>
        </w:rPr>
        <w:t xml:space="preserve"> ?;</w:t>
      </w:r>
    </w:p>
    <w:p>
      <w:pPr>
        <w:pStyle w:val="FirstParagraph"/>
      </w:pPr>
      <w:r>
        <w:rPr>
          <w:b/>
          <w:bCs/>
        </w:rPr>
        <w:t xml:space="preserve">Bound parameter sequence:</w:t>
      </w:r>
      <w:r>
        <w:t xml:space="preserve"> </w:t>
      </w:r>
      <w:r>
        <w:rPr>
          <w:rStyle w:val="VerbatimChar"/>
        </w:rPr>
        <w:t xml:space="preserve">(TARGET_DATE, SOURCE_DATE)</w:t>
      </w:r>
      <w:r>
        <w:t xml:space="preserve"> </w:t>
      </w:r>
      <w:r>
        <w:t xml:space="preserve">for ordinary tables, assuming their only date replacement is</w:t>
      </w:r>
      <w:r>
        <w:t xml:space="preserve"> </w:t>
      </w:r>
      <w:r>
        <w:rPr>
          <w:rStyle w:val="VerbatimChar"/>
        </w:rPr>
        <w:t xml:space="preserve">AS_OF_DATE</w:t>
      </w:r>
      <w:r>
        <w:t xml:space="preserve">.</w:t>
      </w:r>
    </w:p>
    <w:bookmarkEnd w:id="30"/>
    <w:bookmarkStart w:id="31" w:name="structural-example-only-net_liabilities"/>
    <w:p>
      <w:pPr>
        <w:pStyle w:val="Heading3"/>
      </w:pPr>
      <w:r>
        <w:t xml:space="preserve">Structural example only:</w:t>
      </w:r>
      <w:r>
        <w:t xml:space="preserve"> </w:t>
      </w:r>
      <w:r>
        <w:rPr>
          <w:rStyle w:val="VerbatimChar"/>
        </w:rPr>
        <w:t xml:space="preserve">NET_LIABILITIES</w:t>
      </w:r>
    </w:p>
    <w:p>
      <w:pPr>
        <w:pStyle w:val="SourceCode"/>
        <w:keepLines/>
        <w:spacing w:after="20"/>
        <w:ind w:left="173"/>
      </w:pPr>
      <w:r>
        <w:rPr>
          <w:rStyle w:val="KeywordTok"/>
        </w:rPr>
        <w:t xml:space="preserve">INSERT</w:t>
      </w:r>
      <w:r>
        <w:rPr>
          <w:rStyle w:val="NormalTok"/>
        </w:rPr>
        <w:t xml:space="preserve"> </w:t>
      </w:r>
      <w:r>
        <w:rPr>
          <w:rStyle w:val="KeywordTok"/>
        </w:rPr>
        <w:t xml:space="preserve">INTO</w:t>
      </w:r>
      <w:r>
        <w:rPr>
          <w:rStyle w:val="NormalTok"/>
        </w:rPr>
        <w:t xml:space="preserve"> LIQUIDITY.LST_SF_EXTRACT.NET_LIABILITIES</w:t>
      </w:r>
      <w:r>
        <w:br/>
      </w:r>
      <w:r>
        <w:rPr>
          <w:rStyle w:val="NormalTok"/>
        </w:rPr>
        <w:t xml:space="preserve">    (POSDATE, DTPOS, [OTHER_COLUMN])</w:t>
      </w:r>
      <w:r>
        <w:br/>
      </w:r>
      <w:r>
        <w:rPr>
          <w:rStyle w:val="KeywordTok"/>
        </w:rPr>
        <w:t xml:space="preserve">SELECT</w:t>
      </w:r>
      <w:r>
        <w:br/>
      </w:r>
      <w:r>
        <w:rPr>
          <w:rStyle w:val="NormalTok"/>
        </w:rPr>
        <w:t xml:space="preserve">    ? </w:t>
      </w:r>
      <w:r>
        <w:rPr>
          <w:rStyle w:val="KeywordTok"/>
        </w:rPr>
        <w:t xml:space="preserve">AS</w:t>
      </w:r>
      <w:r>
        <w:rPr>
          <w:rStyle w:val="NormalTok"/>
        </w:rPr>
        <w:t xml:space="preserve"> POSDATE,</w:t>
      </w:r>
      <w:r>
        <w:br/>
      </w:r>
      <w:r>
        <w:rPr>
          <w:rStyle w:val="NormalTok"/>
        </w:rPr>
        <w:t xml:space="preserve">    ? </w:t>
      </w:r>
      <w:r>
        <w:rPr>
          <w:rStyle w:val="KeywordTok"/>
        </w:rPr>
        <w:t xml:space="preserve">AS</w:t>
      </w:r>
      <w:r>
        <w:rPr>
          <w:rStyle w:val="NormalTok"/>
        </w:rPr>
        <w:t xml:space="preserve"> DTPOS,</w:t>
      </w:r>
      <w:r>
        <w:br/>
      </w:r>
      <w:r>
        <w:rPr>
          <w:rStyle w:val="NormalTok"/>
        </w:rPr>
        <w:t xml:space="preserve">    [OTHER_COLUMN]</w:t>
      </w:r>
      <w:r>
        <w:br/>
      </w:r>
      <w:r>
        <w:rPr>
          <w:rStyle w:val="KeywordTok"/>
        </w:rPr>
        <w:t xml:space="preserve">FROM</w:t>
      </w:r>
      <w:r>
        <w:rPr>
          <w:rStyle w:val="NormalTok"/>
        </w:rPr>
        <w:t xml:space="preserve"> LIQUIDITY.LST_SF_EXTRACT.NET_LIABILITIES</w:t>
      </w:r>
      <w:r>
        <w:br/>
      </w:r>
      <w:r>
        <w:rPr>
          <w:rStyle w:val="KeywordTok"/>
        </w:rPr>
        <w:t xml:space="preserve">WHERE</w:t>
      </w:r>
      <w:r>
        <w:rPr>
          <w:rStyle w:val="NormalTok"/>
        </w:rPr>
        <w:t xml:space="preserve"> POSDATE </w:t>
      </w:r>
      <w:r>
        <w:rPr>
          <w:rStyle w:val="OperatorTok"/>
        </w:rPr>
        <w:t xml:space="preserve">=</w:t>
      </w:r>
      <w:r>
        <w:rPr>
          <w:rStyle w:val="NormalTok"/>
        </w:rPr>
        <w:t xml:space="preserve"> ?;</w:t>
      </w:r>
    </w:p>
    <w:p>
      <w:pPr>
        <w:pStyle w:val="FirstParagraph"/>
      </w:pPr>
      <w:r>
        <w:rPr>
          <w:b/>
          <w:bCs/>
        </w:rPr>
        <w:t xml:space="preserve">Bound parameter sequence:</w:t>
      </w:r>
      <w:r>
        <w:t xml:space="preserve"> </w:t>
      </w:r>
      <w:r>
        <w:rPr>
          <w:rStyle w:val="VerbatimChar"/>
        </w:rPr>
        <w:t xml:space="preserve">(TARGET_DATE, TARGET_DATE, SOURCE_DATE)</w:t>
      </w:r>
      <w:r>
        <w:t xml:space="preserve"> </w:t>
      </w:r>
      <w:r>
        <w:t xml:space="preserve">in the simplified column-order illustration. In real execution, the script builds placeholder values in the order those date columns occur in the metadata-derived insertable-column list.</w:t>
      </w:r>
      <w:r>
        <w:t xml:space="preserve"> </w:t>
      </w:r>
      <w:r>
        <w:rPr>
          <w:b/>
          <w:bCs/>
        </w:rPr>
        <w:t xml:space="preserve">Evidence:</w:t>
      </w:r>
      <w:r>
        <w:t xml:space="preserve"> </w:t>
      </w:r>
      <w:r>
        <w:t xml:space="preserve">lines 209–227, 349–360.</w:t>
      </w:r>
    </w:p>
    <w:p>
      <w:pPr>
        <w:pStyle w:val="BodyText"/>
      </w:pPr>
      <w:r>
        <w:t xml:space="preserve">The square-bracket column label above is illustrative only;</w:t>
      </w:r>
      <w:r>
        <w:t xml:space="preserve"> </w:t>
      </w:r>
      <w:r>
        <w:rPr>
          <w:b/>
          <w:bCs/>
        </w:rPr>
        <w:t xml:space="preserve">the generated script SQL does not automatically add brackets around its real column names</w:t>
      </w:r>
      <w:r>
        <w:t xml:space="preserve">. The actual ordering and names depend on the runtime metadata, which has not been supplied.</w:t>
      </w:r>
    </w:p>
    <w:bookmarkEnd w:id="31"/>
    <w:bookmarkEnd w:id="32"/>
    <w:bookmarkStart w:id="33" w:name="Xa5eea62e690f903a1c3547e9c703f7f25cc8f0d"/>
    <w:p>
      <w:pPr>
        <w:pStyle w:val="Heading2"/>
      </w:pPr>
      <w:r>
        <w:t xml:space="preserve">9. Preview mode versus execute mode</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Operation</w:t>
            </w:r>
          </w:p>
        </w:tc>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Without</w:t>
            </w:r>
            <w:r>
              <w:rPr>
                <w:b/>
                <w:color w:val="FFFFFF"/>
                <w:sz w:val="15"/>
              </w:rPr>
              <w:t xml:space="preserve"> </w:t>
            </w:r>
            <w:r>
              <w:rPr>
                <w:rStyle w:val="VerbatimChar"/>
                <w:b/>
                <w:color w:val="FFFFFF"/>
                <w:sz w:val="15"/>
              </w:rPr>
              <w:t xml:space="preserve">--EXECUTE</w:t>
            </w:r>
          </w:p>
        </w:tc>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With</w:t>
            </w:r>
            <w:r>
              <w:rPr>
                <w:b/>
                <w:color w:val="FFFFFF"/>
                <w:sz w:val="15"/>
              </w:rPr>
              <w:t xml:space="preserve"> </w:t>
            </w:r>
            <w:r>
              <w:rPr>
                <w:rStyle w:val="VerbatimChar"/>
                <w:b/>
                <w:color w:val="FFFFFF"/>
                <w:sz w:val="15"/>
              </w:rPr>
              <w:t xml:space="preserve">--EXECUTE</w:t>
            </w:r>
          </w:p>
        </w:tc>
      </w:tr>
      <w:tr>
        <w:tc>
          <w:tcPr>
            <w:vAlign w:val="center"/>
            <w:tcMar>
              <w:top w:w="65" w:type="dxa"/>
              <w:left w:w="65" w:type="dxa"/>
              <w:bottom w:w="65" w:type="dxa"/>
              <w:right w:w="65" w:type="dxa"/>
            </w:tcMar>
          </w:tcPr>
          <w:p>
            <w:pPr>
              <w:pStyle w:val="Compact"/>
              <w:spacing w:after="20" w:before="20"/>
              <w:jc w:val="left"/>
            </w:pPr>
            <w:r>
              <w:rPr>
                <w:sz w:val="15"/>
              </w:rPr>
              <w:t xml:space="preserve">Read INI and establish SQL Server connection</w:t>
            </w:r>
          </w:p>
        </w:tc>
        <w:tc>
          <w:tcPr>
            <w:vAlign w:val="center"/>
            <w:tcMar>
              <w:top w:w="65" w:type="dxa"/>
              <w:left w:w="65" w:type="dxa"/>
              <w:bottom w:w="65" w:type="dxa"/>
              <w:right w:w="65" w:type="dxa"/>
            </w:tcMar>
          </w:tcPr>
          <w:p>
            <w:pPr>
              <w:pStyle w:val="Compact"/>
              <w:spacing w:after="20" w:before="20"/>
              <w:jc w:val="left"/>
            </w:pPr>
            <w:r>
              <w:rPr>
                <w:sz w:val="15"/>
              </w:rPr>
              <w:t xml:space="preserve">Yes</w:t>
            </w:r>
          </w:p>
        </w:tc>
        <w:tc>
          <w:tcPr>
            <w:vAlign w:val="center"/>
            <w:tcMar>
              <w:top w:w="65" w:type="dxa"/>
              <w:left w:w="65" w:type="dxa"/>
              <w:bottom w:w="65" w:type="dxa"/>
              <w:right w:w="65" w:type="dxa"/>
            </w:tcMar>
          </w:tcPr>
          <w:p>
            <w:pPr>
              <w:pStyle w:val="Compact"/>
              <w:spacing w:after="20" w:before="20"/>
              <w:jc w:val="left"/>
            </w:pPr>
            <w:r>
              <w:rPr>
                <w:sz w:val="15"/>
              </w:rPr>
              <w:t xml:space="preserve">Yes</w:t>
            </w:r>
          </w:p>
        </w:tc>
      </w:tr>
      <w:tr>
        <w:tc>
          <w:tcPr>
            <w:vAlign w:val="center"/>
            <w:tcMar>
              <w:top w:w="65" w:type="dxa"/>
              <w:left w:w="65" w:type="dxa"/>
              <w:bottom w:w="65" w:type="dxa"/>
              <w:right w:w="65" w:type="dxa"/>
            </w:tcMar>
            <w:shd w:fill="EFF4F8"/>
          </w:tcPr>
          <w:p>
            <w:pPr>
              <w:pStyle w:val="Compact"/>
              <w:spacing w:after="20" w:before="20"/>
              <w:jc w:val="left"/>
            </w:pPr>
            <w:r>
              <w:rPr>
                <w:sz w:val="15"/>
              </w:rPr>
              <w:t xml:space="preserve">Inspect metadata and count source/target rows</w:t>
            </w:r>
          </w:p>
        </w:tc>
        <w:tc>
          <w:tcPr>
            <w:vAlign w:val="center"/>
            <w:tcMar>
              <w:top w:w="65" w:type="dxa"/>
              <w:left w:w="65" w:type="dxa"/>
              <w:bottom w:w="65" w:type="dxa"/>
              <w:right w:w="65" w:type="dxa"/>
            </w:tcMar>
            <w:shd w:fill="EFF4F8"/>
          </w:tcPr>
          <w:p>
            <w:pPr>
              <w:pStyle w:val="Compact"/>
              <w:spacing w:after="20" w:before="20"/>
              <w:jc w:val="left"/>
            </w:pPr>
            <w:r>
              <w:rPr>
                <w:sz w:val="15"/>
              </w:rPr>
              <w:t xml:space="preserve">Yes</w:t>
            </w:r>
          </w:p>
        </w:tc>
        <w:tc>
          <w:tcPr>
            <w:vAlign w:val="center"/>
            <w:tcMar>
              <w:top w:w="65" w:type="dxa"/>
              <w:left w:w="65" w:type="dxa"/>
              <w:bottom w:w="65" w:type="dxa"/>
              <w:right w:w="65" w:type="dxa"/>
            </w:tcMar>
            <w:shd w:fill="EFF4F8"/>
          </w:tcPr>
          <w:p>
            <w:pPr>
              <w:pStyle w:val="Compact"/>
              <w:spacing w:after="20" w:before="20"/>
              <w:jc w:val="left"/>
            </w:pPr>
            <w:r>
              <w:rPr>
                <w:sz w:val="15"/>
              </w:rPr>
              <w:t xml:space="preserve">Yes</w:t>
            </w:r>
          </w:p>
        </w:tc>
      </w:tr>
      <w:tr>
        <w:tc>
          <w:tcPr>
            <w:vAlign w:val="center"/>
            <w:tcMar>
              <w:top w:w="65" w:type="dxa"/>
              <w:left w:w="65" w:type="dxa"/>
              <w:bottom w:w="65" w:type="dxa"/>
              <w:right w:w="65" w:type="dxa"/>
            </w:tcMar>
          </w:tcPr>
          <w:p>
            <w:pPr>
              <w:pStyle w:val="Compact"/>
              <w:spacing w:after="20" w:before="20"/>
              <w:jc w:val="left"/>
            </w:pPr>
            <w:r>
              <w:rPr>
                <w:sz w:val="15"/>
              </w:rPr>
              <w:t xml:space="preserve">Print details and generated SQL</w:t>
            </w:r>
          </w:p>
        </w:tc>
        <w:tc>
          <w:tcPr>
            <w:vAlign w:val="center"/>
            <w:tcMar>
              <w:top w:w="65" w:type="dxa"/>
              <w:left w:w="65" w:type="dxa"/>
              <w:bottom w:w="65" w:type="dxa"/>
              <w:right w:w="65" w:type="dxa"/>
            </w:tcMar>
          </w:tcPr>
          <w:p>
            <w:pPr>
              <w:pStyle w:val="Compact"/>
              <w:spacing w:after="20" w:before="20"/>
              <w:jc w:val="left"/>
            </w:pPr>
            <w:r>
              <w:rPr>
                <w:sz w:val="15"/>
              </w:rPr>
              <w:t xml:space="preserve">Yes</w:t>
            </w:r>
          </w:p>
        </w:tc>
        <w:tc>
          <w:tcPr>
            <w:vAlign w:val="center"/>
            <w:tcMar>
              <w:top w:w="65" w:type="dxa"/>
              <w:left w:w="65" w:type="dxa"/>
              <w:bottom w:w="65" w:type="dxa"/>
              <w:right w:w="65" w:type="dxa"/>
            </w:tcMar>
          </w:tcPr>
          <w:p>
            <w:pPr>
              <w:pStyle w:val="Compact"/>
              <w:spacing w:after="20" w:before="20"/>
              <w:jc w:val="left"/>
            </w:pPr>
            <w:r>
              <w:rPr>
                <w:sz w:val="15"/>
              </w:rPr>
              <w:t xml:space="preserve">Yes</w:t>
            </w:r>
          </w:p>
        </w:tc>
      </w:tr>
      <w:tr>
        <w:tc>
          <w:tcPr>
            <w:vAlign w:val="center"/>
            <w:tcMar>
              <w:top w:w="65" w:type="dxa"/>
              <w:left w:w="65" w:type="dxa"/>
              <w:bottom w:w="65" w:type="dxa"/>
              <w:right w:w="65" w:type="dxa"/>
            </w:tcMar>
            <w:shd w:fill="EFF4F8"/>
          </w:tcPr>
          <w:p>
            <w:pPr>
              <w:pStyle w:val="Compact"/>
              <w:spacing w:after="20" w:before="20"/>
              <w:jc w:val="left"/>
            </w:pPr>
            <w:r>
              <w:rPr>
                <w:sz w:val="15"/>
              </w:rPr>
              <w:t xml:space="preserve">Send the generated</w:t>
            </w:r>
            <w:r>
              <w:rPr>
                <w:sz w:val="15"/>
              </w:rPr>
              <w:t xml:space="preserve"> </w:t>
            </w:r>
            <w:r>
              <w:rPr>
                <w:rStyle w:val="VerbatimChar"/>
                <w:sz w:val="15"/>
              </w:rPr>
              <w:t xml:space="preserve">INSERT</w:t>
            </w:r>
            <w:r>
              <w:rPr>
                <w:sz w:val="15"/>
              </w:rPr>
              <w:t xml:space="preserve"> </w:t>
            </w:r>
            <w:r>
              <w:rPr>
                <w:sz w:val="15"/>
              </w:rPr>
              <w:t xml:space="preserve">to SQL Server</w:t>
            </w:r>
          </w:p>
        </w:tc>
        <w:tc>
          <w:tcPr>
            <w:vAlign w:val="center"/>
            <w:tcMar>
              <w:top w:w="65" w:type="dxa"/>
              <w:left w:w="65" w:type="dxa"/>
              <w:bottom w:w="65" w:type="dxa"/>
              <w:right w:w="65" w:type="dxa"/>
            </w:tcMar>
            <w:shd w:fill="EFF4F8"/>
          </w:tcPr>
          <w:p>
            <w:pPr>
              <w:pStyle w:val="Compact"/>
              <w:spacing w:after="20" w:before="20"/>
              <w:jc w:val="left"/>
            </w:pPr>
            <w:r>
              <w:rPr>
                <w:sz w:val="15"/>
              </w:rPr>
              <w:t xml:space="preserve">No</w:t>
            </w:r>
          </w:p>
        </w:tc>
        <w:tc>
          <w:tcPr>
            <w:vAlign w:val="center"/>
            <w:tcMar>
              <w:top w:w="65" w:type="dxa"/>
              <w:left w:w="65" w:type="dxa"/>
              <w:bottom w:w="65" w:type="dxa"/>
              <w:right w:w="65" w:type="dxa"/>
            </w:tcMar>
            <w:shd w:fill="EFF4F8"/>
          </w:tcPr>
          <w:p>
            <w:pPr>
              <w:pStyle w:val="Compact"/>
              <w:spacing w:after="20" w:before="20"/>
              <w:jc w:val="left"/>
            </w:pPr>
            <w:r>
              <w:rPr>
                <w:sz w:val="15"/>
              </w:rPr>
              <w:t xml:space="preserve">Yes, after checks</w:t>
            </w:r>
          </w:p>
        </w:tc>
      </w:tr>
      <w:tr>
        <w:tc>
          <w:tcPr>
            <w:vAlign w:val="center"/>
            <w:tcMar>
              <w:top w:w="65" w:type="dxa"/>
              <w:left w:w="65" w:type="dxa"/>
              <w:bottom w:w="65" w:type="dxa"/>
              <w:right w:w="65" w:type="dxa"/>
            </w:tcMar>
          </w:tcPr>
          <w:p>
            <w:pPr>
              <w:pStyle w:val="Compact"/>
              <w:spacing w:after="20" w:before="20"/>
              <w:jc w:val="left"/>
            </w:pPr>
            <w:r>
              <w:rPr>
                <w:sz w:val="15"/>
              </w:rPr>
              <w:t xml:space="preserve">Recount target rows after insert</w:t>
            </w:r>
          </w:p>
        </w:tc>
        <w:tc>
          <w:tcPr>
            <w:vAlign w:val="center"/>
            <w:tcMar>
              <w:top w:w="65" w:type="dxa"/>
              <w:left w:w="65" w:type="dxa"/>
              <w:bottom w:w="65" w:type="dxa"/>
              <w:right w:w="65" w:type="dxa"/>
            </w:tcMar>
          </w:tcPr>
          <w:p>
            <w:pPr>
              <w:pStyle w:val="Compact"/>
              <w:spacing w:after="20" w:before="20"/>
              <w:jc w:val="left"/>
            </w:pPr>
            <w:r>
              <w:rPr>
                <w:sz w:val="15"/>
              </w:rPr>
              <w:t xml:space="preserve">No</w:t>
            </w:r>
          </w:p>
        </w:tc>
        <w:tc>
          <w:tcPr>
            <w:vAlign w:val="center"/>
            <w:tcMar>
              <w:top w:w="65" w:type="dxa"/>
              <w:left w:w="65" w:type="dxa"/>
              <w:bottom w:w="65" w:type="dxa"/>
              <w:right w:w="65" w:type="dxa"/>
            </w:tcMar>
          </w:tcPr>
          <w:p>
            <w:pPr>
              <w:pStyle w:val="Compact"/>
              <w:spacing w:after="20" w:before="20"/>
              <w:jc w:val="left"/>
            </w:pPr>
            <w:r>
              <w:rPr>
                <w:sz w:val="15"/>
              </w:rPr>
              <w:t xml:space="preserve">Yes</w:t>
            </w:r>
          </w:p>
        </w:tc>
      </w:tr>
      <w:tr>
        <w:tc>
          <w:tcPr>
            <w:vAlign w:val="center"/>
            <w:tcMar>
              <w:top w:w="65" w:type="dxa"/>
              <w:left w:w="65" w:type="dxa"/>
              <w:bottom w:w="65" w:type="dxa"/>
              <w:right w:w="65" w:type="dxa"/>
            </w:tcMar>
            <w:shd w:fill="EFF4F8"/>
          </w:tcPr>
          <w:p>
            <w:pPr>
              <w:pStyle w:val="Compact"/>
              <w:spacing w:after="20" w:before="20"/>
              <w:jc w:val="left"/>
            </w:pPr>
            <w:r>
              <w:rPr>
                <w:sz w:val="15"/>
              </w:rPr>
              <w:t xml:space="preserve">Commit inserted records</w:t>
            </w:r>
          </w:p>
        </w:tc>
        <w:tc>
          <w:tcPr>
            <w:vAlign w:val="center"/>
            <w:tcMar>
              <w:top w:w="65" w:type="dxa"/>
              <w:left w:w="65" w:type="dxa"/>
              <w:bottom w:w="65" w:type="dxa"/>
              <w:right w:w="65" w:type="dxa"/>
            </w:tcMar>
            <w:shd w:fill="EFF4F8"/>
          </w:tcPr>
          <w:p>
            <w:pPr>
              <w:pStyle w:val="Compact"/>
              <w:spacing w:after="20" w:before="20"/>
              <w:jc w:val="left"/>
            </w:pPr>
            <w:r>
              <w:rPr>
                <w:sz w:val="15"/>
              </w:rPr>
              <w:t xml:space="preserve">No</w:t>
            </w:r>
          </w:p>
        </w:tc>
        <w:tc>
          <w:tcPr>
            <w:vAlign w:val="center"/>
            <w:tcMar>
              <w:top w:w="65" w:type="dxa"/>
              <w:left w:w="65" w:type="dxa"/>
              <w:bottom w:w="65" w:type="dxa"/>
              <w:right w:w="65" w:type="dxa"/>
            </w:tcMar>
            <w:shd w:fill="EFF4F8"/>
          </w:tcPr>
          <w:p>
            <w:pPr>
              <w:pStyle w:val="Compact"/>
              <w:spacing w:after="20" w:before="20"/>
              <w:jc w:val="left"/>
            </w:pPr>
            <w:r>
              <w:rPr>
                <w:sz w:val="15"/>
              </w:rPr>
              <w:t xml:space="preserve">Yes, if the count validation succeeds</w:t>
            </w:r>
          </w:p>
        </w:tc>
      </w:tr>
    </w:tbl>
    <w:p>
      <w:pPr>
        <w:pStyle w:val="BodyText"/>
      </w:pPr>
      <w:r>
        <w:t xml:space="preserve">The preview prints environment, table, source/target dates, row counts, insertable-column count, generated SQL, and parameters.</w:t>
      </w:r>
      <w:r>
        <w:t xml:space="preserve"> </w:t>
      </w:r>
      <w:r>
        <w:rPr>
          <w:b/>
          <w:bCs/>
        </w:rPr>
        <w:t xml:space="preserve">Evidence:</w:t>
      </w:r>
      <w:r>
        <w:t xml:space="preserve"> </w:t>
      </w:r>
      <w:r>
        <w:t xml:space="preserve">lines 246–274, 338–372.</w:t>
      </w:r>
    </w:p>
    <w:p>
      <w:pPr>
        <w:pStyle w:val="BodyText"/>
      </w:pPr>
      <w:r>
        <w:rPr>
          <w:b/>
          <w:bCs/>
        </w:rPr>
        <w:t xml:space="preserve">Easy-to-miss detail:</w:t>
      </w:r>
      <w:r>
        <w:t xml:space="preserve"> </w:t>
      </w:r>
      <w:r>
        <w:rPr>
          <w:rStyle w:val="VerbatimChar"/>
        </w:rPr>
        <w:t xml:space="preserve">print_preview()</w:t>
      </w:r>
      <w:r>
        <w:t xml:space="preserve"> </w:t>
      </w:r>
      <w:r>
        <w:t xml:space="preserve">is called</w:t>
      </w:r>
      <w:r>
        <w:t xml:space="preserve"> </w:t>
      </w:r>
      <w:r>
        <w:rPr>
          <w:i/>
          <w:iCs/>
        </w:rPr>
        <w:t xml:space="preserve">before</w:t>
      </w:r>
      <w:r>
        <w:t xml:space="preserve"> </w:t>
      </w:r>
      <w:r>
        <w:t xml:space="preserve">the</w:t>
      </w:r>
      <w:r>
        <w:t xml:space="preserve"> </w:t>
      </w:r>
      <w:r>
        <w:rPr>
          <w:rStyle w:val="VerbatimChar"/>
        </w:rPr>
        <w:t xml:space="preserve">if args.EXECUTE:</w:t>
      </w:r>
      <w:r>
        <w:t xml:space="preserve"> </w:t>
      </w:r>
      <w:r>
        <w:t xml:space="preserve">branch in both modes. Therefore, even in an execution-enabled run, it initially prints</w:t>
      </w:r>
      <w:r>
        <w:t xml:space="preserve"> </w:t>
      </w:r>
      <w:r>
        <w:rPr>
          <w:rStyle w:val="VerbatimChar"/>
        </w:rPr>
        <w:t xml:space="preserve">MODE: PREVIEW</w:t>
      </w:r>
      <w:r>
        <w:t xml:space="preserve"> </w:t>
      </w:r>
      <w:r>
        <w:t xml:space="preserve">and</w:t>
      </w:r>
      <w:r>
        <w:t xml:space="preserve"> </w:t>
      </w:r>
      <w:r>
        <w:rPr>
          <w:rStyle w:val="VerbatimChar"/>
        </w:rPr>
        <w:t xml:space="preserve">NO DATABASE CHANGES HAVE BEEN MADE.</w:t>
      </w:r>
      <w:r>
        <w:t xml:space="preserve"> </w:t>
      </w:r>
      <w:r>
        <w:t xml:space="preserve">This is true</w:t>
      </w:r>
      <w:r>
        <w:t xml:space="preserve"> </w:t>
      </w:r>
      <w:r>
        <w:rPr>
          <w:b/>
          <w:bCs/>
        </w:rPr>
        <w:t xml:space="preserve">at the moment of printing</w:t>
      </w:r>
      <w:r>
        <w:t xml:space="preserve">; it does not mean an execution-enabled run will remain read-only.</w:t>
      </w:r>
      <w:r>
        <w:t xml:space="preserve"> </w:t>
      </w:r>
      <w:r>
        <w:rPr>
          <w:b/>
          <w:bCs/>
        </w:rPr>
        <w:t xml:space="preserve">Evidence:</w:t>
      </w:r>
      <w:r>
        <w:t xml:space="preserve"> </w:t>
      </w:r>
      <w:r>
        <w:t xml:space="preserve">lines 338–350.</w:t>
      </w:r>
    </w:p>
    <w:bookmarkEnd w:id="33"/>
    <w:bookmarkStart w:id="36" w:name="X86d47860c8a4b922cf8a0e37005a0a65f741fee"/>
    <w:p>
      <w:pPr>
        <w:pStyle w:val="Heading2"/>
      </w:pPr>
      <w:r>
        <w:t xml:space="preserve">10. Commit, rollback, validation, and error handling</w:t>
      </w:r>
    </w:p>
    <w:p>
      <w:pPr>
        <w:pStyle w:val="FirstParagraph"/>
      </w:pPr>
      <w:r>
        <w:t xml:space="preserve">The connection uses</w:t>
      </w:r>
      <w:r>
        <w:t xml:space="preserve"> </w:t>
      </w:r>
      <w:r>
        <w:rPr>
          <w:rStyle w:val="VerbatimChar"/>
        </w:rPr>
        <w:t xml:space="preserve">autocommit=False</w:t>
      </w:r>
      <w:r>
        <w:t xml:space="preserve">. In execute mode, the script sends one generated</w:t>
      </w:r>
      <w:r>
        <w:t xml:space="preserve"> </w:t>
      </w:r>
      <w:r>
        <w:rPr>
          <w:rStyle w:val="VerbatimChar"/>
        </w:rPr>
        <w:t xml:space="preserve">INSERT ... SELECT</w:t>
      </w:r>
      <w:r>
        <w:t xml:space="preserve"> </w:t>
      </w:r>
      <w:r>
        <w:t xml:space="preserve">using bound date parameters. It then runs another target-date count query</w:t>
      </w:r>
      <w:r>
        <w:t xml:space="preserve"> </w:t>
      </w:r>
      <w:r>
        <w:rPr>
          <w:b/>
          <w:bCs/>
        </w:rPr>
        <w:t xml:space="preserve">on the same connection, before commit</w:t>
      </w:r>
      <w:r>
        <w:t xml:space="preserve">. If the count is not below the original source count, the script commits and prints success.</w:t>
      </w:r>
      <w:r>
        <w:t xml:space="preserve"> </w:t>
      </w:r>
      <w:r>
        <w:rPr>
          <w:b/>
          <w:bCs/>
        </w:rPr>
        <w:t xml:space="preserve">Evidence:</w:t>
      </w:r>
      <w:r>
        <w:t xml:space="preserve"> </w:t>
      </w:r>
      <w:r>
        <w:t xml:space="preserve">lines 289–290, 349–372.</w:t>
      </w:r>
    </w:p>
    <w:bookmarkStart w:id="34" w:name="the-exact-post-insert-rule"/>
    <w:p>
      <w:pPr>
        <w:pStyle w:val="Heading3"/>
      </w:pPr>
      <w:r>
        <w:t xml:space="preserve">The exact post-insert rule</w:t>
      </w:r>
    </w:p>
    <w:p>
      <w:pPr>
        <w:pStyle w:val="SourceCode"/>
        <w:keepLines/>
        <w:spacing w:after="20"/>
        <w:ind w:left="173"/>
      </w:pPr>
      <w:r>
        <w:rPr>
          <w:rStyle w:val="ControlFlowTok"/>
        </w:rPr>
        <w:t xml:space="preserve">if</w:t>
      </w:r>
      <w:r>
        <w:rPr>
          <w:rStyle w:val="NormalTok"/>
        </w:rPr>
        <w:t xml:space="preserve"> inserted_target_count </w:t>
      </w:r>
      <w:r>
        <w:rPr>
          <w:rStyle w:val="OperatorTok"/>
        </w:rPr>
        <w:t xml:space="preserve">&lt;</w:t>
      </w:r>
      <w:r>
        <w:rPr>
          <w:rStyle w:val="NormalTok"/>
        </w:rPr>
        <w:t xml:space="preserve"> source_count: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p>
    <w:p>
      <w:pPr>
        <w:pStyle w:val="FirstParagraph"/>
      </w:pPr>
      <w:r>
        <w:t xml:space="preserve">That means</w:t>
      </w:r>
      <w:r>
        <w:t xml:space="preserve"> </w:t>
      </w:r>
      <w:r>
        <w:rPr>
          <w:rStyle w:val="VerbatimChar"/>
        </w:rPr>
        <w:t xml:space="preserve">inserted_target_count &gt;= source_count</w:t>
      </w:r>
      <w:r>
        <w:t xml:space="preserve"> </w:t>
      </w:r>
      <w:r>
        <w:rPr>
          <w:b/>
          <w:bCs/>
        </w:rPr>
        <w:t xml:space="preserve">passes</w:t>
      </w:r>
      <w:r>
        <w:t xml:space="preserve"> </w:t>
      </w:r>
      <w:r>
        <w:t xml:space="preserve">this particular check. It is</w:t>
      </w:r>
      <w:r>
        <w:t xml:space="preserve"> </w:t>
      </w:r>
      <w:r>
        <w:rPr>
          <w:b/>
          <w:bCs/>
        </w:rPr>
        <w:t xml:space="preserve">not</w:t>
      </w:r>
      <w:r>
        <w:t xml:space="preserve"> </w:t>
      </w:r>
      <w:r>
        <w:t xml:space="preserve">an exact count-equality rule, a per-row comparison, a checksum, or a guarantee that every value in each copied row matches the original.</w:t>
      </w:r>
      <w:r>
        <w:t xml:space="preserve"> </w:t>
      </w:r>
      <w:r>
        <w:rPr>
          <w:b/>
          <w:bCs/>
        </w:rPr>
        <w:t xml:space="preserve">Evidence:</w:t>
      </w:r>
      <w:r>
        <w:t xml:space="preserve"> </w:t>
      </w:r>
      <w:r>
        <w:t xml:space="preserve">lines 360–369.</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65" w:type="dxa"/>
              <w:left w:w="65" w:type="dxa"/>
              <w:bottom w:w="65" w:type="dxa"/>
              <w:right w:w="65" w:type="dxa"/>
            </w:tcMar>
            <w:shd w:fill="174C6C"/>
          </w:tcPr>
          <w:p>
            <w:pPr>
              <w:pStyle w:val="Compact"/>
              <w:spacing w:after="20" w:before="20"/>
              <w:jc w:val="right"/>
            </w:pPr>
            <w:r>
              <w:rPr>
                <w:b/>
                <w:color w:val="FFFFFF"/>
                <w:sz w:val="15"/>
              </w:rPr>
              <w:t xml:space="preserve">Hypothetical source count</w:t>
            </w:r>
          </w:p>
        </w:tc>
        <w:tc>
          <w:tcPr>
            <w:vAlign w:val="center"/>
            <w:tcMar>
              <w:top w:w="65" w:type="dxa"/>
              <w:left w:w="65" w:type="dxa"/>
              <w:bottom w:w="65" w:type="dxa"/>
              <w:right w:w="65" w:type="dxa"/>
            </w:tcMar>
            <w:shd w:fill="174C6C"/>
          </w:tcPr>
          <w:p>
            <w:pPr>
              <w:pStyle w:val="Compact"/>
              <w:spacing w:after="20" w:before="20"/>
              <w:jc w:val="right"/>
            </w:pPr>
            <w:r>
              <w:rPr>
                <w:b/>
                <w:color w:val="FFFFFF"/>
                <w:sz w:val="15"/>
              </w:rPr>
              <w:t xml:space="preserve">Hypothetical target count after insert</w:t>
            </w:r>
          </w:p>
        </w:tc>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Result of this exact check</w:t>
            </w:r>
          </w:p>
        </w:tc>
      </w:tr>
      <w:tr>
        <w:tc>
          <w:tcPr>
            <w:vAlign w:val="center"/>
            <w:tcMar>
              <w:top w:w="65" w:type="dxa"/>
              <w:left w:w="65" w:type="dxa"/>
              <w:bottom w:w="65" w:type="dxa"/>
              <w:right w:w="65" w:type="dxa"/>
            </w:tcMar>
          </w:tcPr>
          <w:p>
            <w:pPr>
              <w:pStyle w:val="Compact"/>
              <w:spacing w:after="20" w:before="20"/>
              <w:jc w:val="right"/>
            </w:pPr>
            <w:r>
              <w:rPr>
                <w:sz w:val="15"/>
              </w:rPr>
              <w:t xml:space="preserve">120</w:t>
            </w:r>
          </w:p>
        </w:tc>
        <w:tc>
          <w:tcPr>
            <w:vAlign w:val="center"/>
            <w:tcMar>
              <w:top w:w="65" w:type="dxa"/>
              <w:left w:w="65" w:type="dxa"/>
              <w:bottom w:w="65" w:type="dxa"/>
              <w:right w:w="65" w:type="dxa"/>
            </w:tcMar>
          </w:tcPr>
          <w:p>
            <w:pPr>
              <w:pStyle w:val="Compact"/>
              <w:spacing w:after="20" w:before="20"/>
              <w:jc w:val="right"/>
            </w:pPr>
            <w:r>
              <w:rPr>
                <w:sz w:val="15"/>
              </w:rPr>
              <w:t xml:space="preserve">119</w:t>
            </w:r>
          </w:p>
        </w:tc>
        <w:tc>
          <w:tcPr>
            <w:vAlign w:val="center"/>
            <w:tcMar>
              <w:top w:w="65" w:type="dxa"/>
              <w:left w:w="65" w:type="dxa"/>
              <w:bottom w:w="65" w:type="dxa"/>
              <w:right w:w="65" w:type="dxa"/>
            </w:tcMar>
          </w:tcPr>
          <w:p>
            <w:pPr>
              <w:pStyle w:val="Compact"/>
              <w:spacing w:after="20" w:before="20"/>
              <w:jc w:val="left"/>
            </w:pPr>
            <w:r>
              <w:rPr>
                <w:sz w:val="15"/>
              </w:rPr>
              <w:t xml:space="preserve">Fails because 119 is below 120.</w:t>
            </w:r>
          </w:p>
        </w:tc>
      </w:tr>
      <w:tr>
        <w:tc>
          <w:tcPr>
            <w:vAlign w:val="center"/>
            <w:tcMar>
              <w:top w:w="65" w:type="dxa"/>
              <w:left w:w="65" w:type="dxa"/>
              <w:bottom w:w="65" w:type="dxa"/>
              <w:right w:w="65" w:type="dxa"/>
            </w:tcMar>
            <w:shd w:fill="EFF4F8"/>
          </w:tcPr>
          <w:p>
            <w:pPr>
              <w:pStyle w:val="Compact"/>
              <w:spacing w:after="20" w:before="20"/>
              <w:jc w:val="right"/>
            </w:pPr>
            <w:r>
              <w:rPr>
                <w:sz w:val="15"/>
              </w:rPr>
              <w:t xml:space="preserve">120</w:t>
            </w:r>
          </w:p>
        </w:tc>
        <w:tc>
          <w:tcPr>
            <w:vAlign w:val="center"/>
            <w:tcMar>
              <w:top w:w="65" w:type="dxa"/>
              <w:left w:w="65" w:type="dxa"/>
              <w:bottom w:w="65" w:type="dxa"/>
              <w:right w:w="65" w:type="dxa"/>
            </w:tcMar>
            <w:shd w:fill="EFF4F8"/>
          </w:tcPr>
          <w:p>
            <w:pPr>
              <w:pStyle w:val="Compact"/>
              <w:spacing w:after="20" w:before="20"/>
              <w:jc w:val="right"/>
            </w:pPr>
            <w:r>
              <w:rPr>
                <w:sz w:val="15"/>
              </w:rPr>
              <w:t xml:space="preserve">120</w:t>
            </w:r>
          </w:p>
        </w:tc>
        <w:tc>
          <w:tcPr>
            <w:vAlign w:val="center"/>
            <w:tcMar>
              <w:top w:w="65" w:type="dxa"/>
              <w:left w:w="65" w:type="dxa"/>
              <w:bottom w:w="65" w:type="dxa"/>
              <w:right w:w="65" w:type="dxa"/>
            </w:tcMar>
            <w:shd w:fill="EFF4F8"/>
          </w:tcPr>
          <w:p>
            <w:pPr>
              <w:pStyle w:val="Compact"/>
              <w:spacing w:after="20" w:before="20"/>
              <w:jc w:val="left"/>
            </w:pPr>
            <w:r>
              <w:rPr>
                <w:sz w:val="15"/>
              </w:rPr>
              <w:t xml:space="preserve">Passes.</w:t>
            </w:r>
          </w:p>
        </w:tc>
      </w:tr>
      <w:tr>
        <w:tc>
          <w:tcPr>
            <w:vAlign w:val="center"/>
            <w:tcMar>
              <w:top w:w="65" w:type="dxa"/>
              <w:left w:w="65" w:type="dxa"/>
              <w:bottom w:w="65" w:type="dxa"/>
              <w:right w:w="65" w:type="dxa"/>
            </w:tcMar>
          </w:tcPr>
          <w:p>
            <w:pPr>
              <w:pStyle w:val="Compact"/>
              <w:spacing w:after="20" w:before="20"/>
              <w:jc w:val="right"/>
            </w:pPr>
            <w:r>
              <w:rPr>
                <w:sz w:val="15"/>
              </w:rPr>
              <w:t xml:space="preserve">120</w:t>
            </w:r>
          </w:p>
        </w:tc>
        <w:tc>
          <w:tcPr>
            <w:vAlign w:val="center"/>
            <w:tcMar>
              <w:top w:w="65" w:type="dxa"/>
              <w:left w:w="65" w:type="dxa"/>
              <w:bottom w:w="65" w:type="dxa"/>
              <w:right w:w="65" w:type="dxa"/>
            </w:tcMar>
          </w:tcPr>
          <w:p>
            <w:pPr>
              <w:pStyle w:val="Compact"/>
              <w:spacing w:after="20" w:before="20"/>
              <w:jc w:val="right"/>
            </w:pPr>
            <w:r>
              <w:rPr>
                <w:sz w:val="15"/>
              </w:rPr>
              <w:t xml:space="preserve">121</w:t>
            </w:r>
          </w:p>
        </w:tc>
        <w:tc>
          <w:tcPr>
            <w:vAlign w:val="center"/>
            <w:tcMar>
              <w:top w:w="65" w:type="dxa"/>
              <w:left w:w="65" w:type="dxa"/>
              <w:bottom w:w="65" w:type="dxa"/>
              <w:right w:w="65" w:type="dxa"/>
            </w:tcMar>
          </w:tcPr>
          <w:p>
            <w:pPr>
              <w:pStyle w:val="Compact"/>
              <w:spacing w:after="20" w:before="20"/>
              <w:jc w:val="left"/>
            </w:pPr>
            <w:r>
              <w:rPr>
                <w:sz w:val="15"/>
              </w:rPr>
              <w:t xml:space="preserve">Also passes this count check.</w:t>
            </w:r>
          </w:p>
        </w:tc>
      </w:tr>
    </w:tbl>
    <w:p>
      <w:pPr>
        <w:pStyle w:val="BodyText"/>
      </w:pPr>
      <w:r>
        <w:t xml:space="preserve">These are</w:t>
      </w:r>
      <w:r>
        <w:t xml:space="preserve"> </w:t>
      </w:r>
      <w:r>
        <w:rPr>
          <w:b/>
          <w:bCs/>
        </w:rPr>
        <w:t xml:space="preserve">mathematical examples</w:t>
      </w:r>
      <w:r>
        <w:t xml:space="preserve">, not observed database results.</w:t>
      </w:r>
    </w:p>
    <w:bookmarkEnd w:id="34"/>
    <w:bookmarkStart w:id="35" w:name="distinct-error-paths"/>
    <w:p>
      <w:pPr>
        <w:pStyle w:val="Heading3"/>
      </w:pPr>
      <w:r>
        <w:t xml:space="preserve">Distinct error paths</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When the error happens</w:t>
            </w:r>
          </w:p>
        </w:tc>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Observed handling</w:t>
            </w:r>
          </w:p>
        </w:tc>
      </w:tr>
      <w:tr>
        <w:tc>
          <w:tcPr>
            <w:vAlign w:val="center"/>
            <w:tcMar>
              <w:top w:w="65" w:type="dxa"/>
              <w:left w:w="65" w:type="dxa"/>
              <w:bottom w:w="65" w:type="dxa"/>
              <w:right w:w="65" w:type="dxa"/>
            </w:tcMar>
          </w:tcPr>
          <w:p>
            <w:pPr>
              <w:pStyle w:val="Compact"/>
              <w:spacing w:after="20" w:before="20"/>
              <w:jc w:val="left"/>
            </w:pPr>
            <w:r>
              <w:rPr>
                <w:sz w:val="15"/>
              </w:rPr>
              <w:t xml:space="preserve">During the inner</w:t>
            </w:r>
            <w:r>
              <w:rPr>
                <w:sz w:val="15"/>
              </w:rPr>
              <w:t xml:space="preserve"> </w:t>
            </w:r>
            <w:r>
              <w:rPr>
                <w:rStyle w:val="VerbatimChar"/>
                <w:sz w:val="15"/>
              </w:rPr>
              <w:t xml:space="preserve">try</w:t>
            </w:r>
            <w:r>
              <w:rPr>
                <w:sz w:val="15"/>
              </w:rPr>
              <w:t xml:space="preserve"> </w:t>
            </w:r>
            <w:r>
              <w:rPr>
                <w:sz w:val="15"/>
              </w:rPr>
              <w:t xml:space="preserve">(e.g., table check, source count check,</w:t>
            </w:r>
            <w:r>
              <w:rPr>
                <w:sz w:val="15"/>
              </w:rPr>
              <w:t xml:space="preserve"> </w:t>
            </w:r>
            <w:r>
              <w:rPr>
                <w:rStyle w:val="VerbatimChar"/>
                <w:sz w:val="15"/>
              </w:rPr>
              <w:t xml:space="preserve">INSERT</w:t>
            </w:r>
            <w:r>
              <w:rPr>
                <w:sz w:val="15"/>
              </w:rPr>
              <w:t xml:space="preserve">, post-insert validation)</w:t>
            </w:r>
          </w:p>
        </w:tc>
        <w:tc>
          <w:tcPr>
            <w:vAlign w:val="center"/>
            <w:tcMar>
              <w:top w:w="65" w:type="dxa"/>
              <w:left w:w="65" w:type="dxa"/>
              <w:bottom w:w="65" w:type="dxa"/>
              <w:right w:w="65" w:type="dxa"/>
            </w:tcMar>
          </w:tcPr>
          <w:p>
            <w:pPr>
              <w:pStyle w:val="Compact"/>
              <w:spacing w:after="20" w:before="20"/>
              <w:jc w:val="left"/>
            </w:pPr>
            <w:r>
              <w:rPr>
                <w:sz w:val="15"/>
              </w:rPr>
              <w:t xml:space="preserve">Log error/traceback, attempt</w:t>
            </w:r>
            <w:r>
              <w:rPr>
                <w:sz w:val="15"/>
              </w:rPr>
              <w:t xml:space="preserve"> </w:t>
            </w:r>
            <w:r>
              <w:rPr>
                <w:rStyle w:val="VerbatimChar"/>
                <w:sz w:val="15"/>
              </w:rPr>
              <w:t xml:space="preserve">conn.rollback()</w:t>
            </w:r>
            <w:r>
              <w:rPr>
                <w:sz w:val="15"/>
              </w:rPr>
              <w:t xml:space="preserve">, print</w:t>
            </w:r>
            <w:r>
              <w:rPr>
                <w:sz w:val="15"/>
              </w:rPr>
              <w:t xml:space="preserve"> </w:t>
            </w:r>
            <w:r>
              <w:rPr>
                <w:rStyle w:val="VerbatimChar"/>
                <w:sz w:val="15"/>
              </w:rPr>
              <w:t xml:space="preserve">Operational error</w:t>
            </w:r>
            <w:r>
              <w:rPr>
                <w:sz w:val="15"/>
              </w:rPr>
              <w:t xml:space="preserve">, return</w:t>
            </w:r>
            <w:r>
              <w:rPr>
                <w:sz w:val="15"/>
              </w:rPr>
              <w:t xml:space="preserve"> </w:t>
            </w:r>
            <w:r>
              <w:rPr>
                <w:rStyle w:val="VerbatimChar"/>
                <w:sz w:val="15"/>
              </w:rPr>
              <w:t xml:space="preserve">1</w:t>
            </w:r>
            <w:r>
              <w:rPr>
                <w:sz w:val="15"/>
              </w:rPr>
              <w:t xml:space="preserve">, attempt cursor/connection close in</w:t>
            </w:r>
            <w:r>
              <w:rPr>
                <w:sz w:val="15"/>
              </w:rPr>
              <w:t xml:space="preserve"> </w:t>
            </w:r>
            <w:r>
              <w:rPr>
                <w:rStyle w:val="VerbatimChar"/>
                <w:sz w:val="15"/>
              </w:rPr>
              <w:t xml:space="preserve">finally</w:t>
            </w:r>
            <w:r>
              <w:rPr>
                <w:sz w:val="15"/>
              </w:rPr>
              <w:t xml:space="preserve">.</w:t>
            </w:r>
          </w:p>
        </w:tc>
      </w:tr>
      <w:tr>
        <w:tc>
          <w:tcPr>
            <w:vAlign w:val="center"/>
            <w:tcMar>
              <w:top w:w="65" w:type="dxa"/>
              <w:left w:w="65" w:type="dxa"/>
              <w:bottom w:w="65" w:type="dxa"/>
              <w:right w:w="65" w:type="dxa"/>
            </w:tcMar>
            <w:shd w:fill="EFF4F8"/>
          </w:tcPr>
          <w:p>
            <w:pPr>
              <w:pStyle w:val="Compact"/>
              <w:spacing w:after="20" w:before="20"/>
              <w:jc w:val="left"/>
            </w:pPr>
            <w:r>
              <w:rPr>
                <w:sz w:val="15"/>
              </w:rPr>
              <w:t xml:space="preserve">Before the inner</w:t>
            </w:r>
            <w:r>
              <w:rPr>
                <w:sz w:val="15"/>
              </w:rPr>
              <w:t xml:space="preserve"> </w:t>
            </w:r>
            <w:r>
              <w:rPr>
                <w:rStyle w:val="VerbatimChar"/>
                <w:sz w:val="15"/>
              </w:rPr>
              <w:t xml:space="preserve">try</w:t>
            </w:r>
            <w:r>
              <w:rPr>
                <w:sz w:val="15"/>
              </w:rPr>
              <w:t xml:space="preserve"> </w:t>
            </w:r>
            <w:r>
              <w:rPr>
                <w:sz w:val="15"/>
              </w:rPr>
              <w:t xml:space="preserve">(e.g., environment/date setup, config validation, creating connection/cursor)</w:t>
            </w:r>
          </w:p>
        </w:tc>
        <w:tc>
          <w:tcPr>
            <w:vAlign w:val="center"/>
            <w:tcMar>
              <w:top w:w="65" w:type="dxa"/>
              <w:left w:w="65" w:type="dxa"/>
              <w:bottom w:w="65" w:type="dxa"/>
              <w:right w:w="65" w:type="dxa"/>
            </w:tcMar>
            <w:shd w:fill="EFF4F8"/>
          </w:tcPr>
          <w:p>
            <w:pPr>
              <w:pStyle w:val="Compact"/>
              <w:spacing w:after="20" w:before="20"/>
              <w:jc w:val="left"/>
            </w:pPr>
            <w:r>
              <w:rPr>
                <w:sz w:val="15"/>
              </w:rPr>
              <w:t xml:space="preserve">Error can propagate to</w:t>
            </w:r>
            <w:r>
              <w:rPr>
                <w:sz w:val="15"/>
              </w:rPr>
              <w:t xml:space="preserve"> </w:t>
            </w:r>
            <w:r>
              <w:rPr>
                <w:rStyle w:val="VerbatimChar"/>
                <w:sz w:val="15"/>
              </w:rPr>
              <w:t xml:space="preserve">main()</w:t>
            </w:r>
            <w:r>
              <w:rPr>
                <w:sz w:val="15"/>
              </w:rPr>
              <w:t xml:space="preserve">, which logs/prints</w:t>
            </w:r>
            <w:r>
              <w:rPr>
                <w:sz w:val="15"/>
              </w:rPr>
              <w:t xml:space="preserve"> </w:t>
            </w:r>
            <w:r>
              <w:rPr>
                <w:rStyle w:val="VerbatimChar"/>
                <w:sz w:val="15"/>
              </w:rPr>
              <w:t xml:space="preserve">Fatal error</w:t>
            </w:r>
            <w:r>
              <w:rPr>
                <w:sz w:val="15"/>
              </w:rPr>
              <w:t xml:space="preserve"> </w:t>
            </w:r>
            <w:r>
              <w:rPr>
                <w:sz w:val="15"/>
              </w:rPr>
              <w:t xml:space="preserve">and returns</w:t>
            </w:r>
            <w:r>
              <w:rPr>
                <w:sz w:val="15"/>
              </w:rPr>
              <w:t xml:space="preserve"> </w:t>
            </w:r>
            <w:r>
              <w:rPr>
                <w:rStyle w:val="VerbatimChar"/>
                <w:sz w:val="15"/>
              </w:rPr>
              <w:t xml:space="preserve">1</w:t>
            </w:r>
            <w:r>
              <w:rPr>
                <w:sz w:val="15"/>
              </w:rPr>
              <w:t xml:space="preserve">.</w:t>
            </w:r>
          </w:p>
        </w:tc>
      </w:tr>
      <w:tr>
        <w:tc>
          <w:tcPr>
            <w:vAlign w:val="center"/>
            <w:tcMar>
              <w:top w:w="65" w:type="dxa"/>
              <w:left w:w="65" w:type="dxa"/>
              <w:bottom w:w="65" w:type="dxa"/>
              <w:right w:w="65" w:type="dxa"/>
            </w:tcMar>
          </w:tcPr>
          <w:p>
            <w:pPr>
              <w:pStyle w:val="Compact"/>
              <w:spacing w:after="20" w:before="20"/>
              <w:jc w:val="left"/>
            </w:pPr>
            <w:r>
              <w:rPr>
                <w:sz w:val="15"/>
              </w:rPr>
              <w:t xml:space="preserve">During argument parsing</w:t>
            </w:r>
          </w:p>
        </w:tc>
        <w:tc>
          <w:tcPr>
            <w:vAlign w:val="center"/>
            <w:tcMar>
              <w:top w:w="65" w:type="dxa"/>
              <w:left w:w="65" w:type="dxa"/>
              <w:bottom w:w="65" w:type="dxa"/>
              <w:right w:w="65" w:type="dxa"/>
            </w:tcMar>
          </w:tcPr>
          <w:p>
            <w:pPr>
              <w:pStyle w:val="Compact"/>
              <w:spacing w:after="20" w:before="20"/>
              <w:jc w:val="left"/>
            </w:pPr>
            <w:r>
              <w:rPr>
                <w:rStyle w:val="VerbatimChar"/>
                <w:sz w:val="15"/>
              </w:rPr>
              <w:t xml:space="preserve">argparse</w:t>
            </w:r>
            <w:r>
              <w:rPr>
                <w:sz w:val="15"/>
              </w:rPr>
              <w:t xml:space="preserve"> </w:t>
            </w:r>
            <w:r>
              <w:rPr>
                <w:sz w:val="15"/>
              </w:rPr>
              <w:t xml:space="preserve">handles missing/invalid command-line options before the</w:t>
            </w:r>
            <w:r>
              <w:rPr>
                <w:sz w:val="15"/>
              </w:rPr>
              <w:t xml:space="preserve"> </w:t>
            </w:r>
            <w:r>
              <w:rPr>
                <w:rStyle w:val="VerbatimChar"/>
                <w:sz w:val="15"/>
              </w:rPr>
              <w:t xml:space="preserve">main()</w:t>
            </w:r>
            <w:r>
              <w:rPr>
                <w:sz w:val="15"/>
              </w:rPr>
              <w:t xml:space="preserve"> </w:t>
            </w:r>
            <w:r>
              <w:rPr>
                <w:sz w:val="15"/>
              </w:rPr>
              <w:t xml:space="preserve">exception block.</w:t>
            </w:r>
          </w:p>
        </w:tc>
      </w:tr>
      <w:tr>
        <w:tc>
          <w:tcPr>
            <w:vAlign w:val="center"/>
            <w:tcMar>
              <w:top w:w="65" w:type="dxa"/>
              <w:left w:w="65" w:type="dxa"/>
              <w:bottom w:w="65" w:type="dxa"/>
              <w:right w:w="65" w:type="dxa"/>
            </w:tcMar>
            <w:shd w:fill="EFF4F8"/>
          </w:tcPr>
          <w:p>
            <w:pPr>
              <w:pStyle w:val="Compact"/>
              <w:spacing w:after="20" w:before="20"/>
              <w:jc w:val="left"/>
            </w:pPr>
            <w:r>
              <w:rPr>
                <w:sz w:val="15"/>
              </w:rPr>
              <w:t xml:space="preserve">During cleanup inside the final block</w:t>
            </w:r>
          </w:p>
        </w:tc>
        <w:tc>
          <w:tcPr>
            <w:vAlign w:val="center"/>
            <w:tcMar>
              <w:top w:w="65" w:type="dxa"/>
              <w:left w:w="65" w:type="dxa"/>
              <w:bottom w:w="65" w:type="dxa"/>
              <w:right w:w="65" w:type="dxa"/>
            </w:tcMar>
            <w:shd w:fill="EFF4F8"/>
          </w:tcPr>
          <w:p>
            <w:pPr>
              <w:pStyle w:val="Compact"/>
              <w:spacing w:after="20" w:before="20"/>
              <w:jc w:val="left"/>
            </w:pPr>
            <w:r>
              <w:rPr>
                <w:sz w:val="15"/>
              </w:rPr>
              <w:t xml:space="preserve">Exceptions from</w:t>
            </w:r>
            <w:r>
              <w:rPr>
                <w:sz w:val="15"/>
              </w:rPr>
              <w:t xml:space="preserve"> </w:t>
            </w:r>
            <w:r>
              <w:rPr>
                <w:rStyle w:val="VerbatimChar"/>
                <w:sz w:val="15"/>
              </w:rPr>
              <w:t xml:space="preserve">cursor.close()</w:t>
            </w:r>
            <w:r>
              <w:rPr>
                <w:sz w:val="15"/>
              </w:rPr>
              <w:t xml:space="preserve"> </w:t>
            </w:r>
            <w:r>
              <w:rPr>
                <w:sz w:val="15"/>
              </w:rPr>
              <w:t xml:space="preserve">and</w:t>
            </w:r>
            <w:r>
              <w:rPr>
                <w:sz w:val="15"/>
              </w:rPr>
              <w:t xml:space="preserve"> </w:t>
            </w:r>
            <w:r>
              <w:rPr>
                <w:rStyle w:val="VerbatimChar"/>
                <w:sz w:val="15"/>
              </w:rPr>
              <w:t xml:space="preserve">conn.close()</w:t>
            </w:r>
            <w:r>
              <w:rPr>
                <w:sz w:val="15"/>
              </w:rPr>
              <w:t xml:space="preserve"> </w:t>
            </w:r>
            <w:r>
              <w:rPr>
                <w:sz w:val="15"/>
              </w:rPr>
              <w:t xml:space="preserve">are suppressed.</w:t>
            </w:r>
          </w:p>
        </w:tc>
      </w:tr>
    </w:tbl>
    <w:p>
      <w:pPr>
        <w:pStyle w:val="BodyText"/>
      </w:pPr>
      <w:r>
        <w:t xml:space="preserve">The success execution branch returns</w:t>
      </w:r>
      <w:r>
        <w:t xml:space="preserve"> </w:t>
      </w:r>
      <w:r>
        <w:rPr>
          <w:rStyle w:val="VerbatimChar"/>
        </w:rPr>
        <w:t xml:space="preserve">0</w:t>
      </w:r>
      <w:r>
        <w:t xml:space="preserve">. A successful preview-only flow does not contain an explicit return in</w:t>
      </w:r>
      <w:r>
        <w:t xml:space="preserve"> </w:t>
      </w:r>
      <w:r>
        <w:rPr>
          <w:rStyle w:val="VerbatimChar"/>
        </w:rPr>
        <w:t xml:space="preserve">run_backfill()</w:t>
      </w:r>
      <w:r>
        <w:t xml:space="preserve"> </w:t>
      </w:r>
      <w:r>
        <w:t xml:space="preserve">and therefore yields</w:t>
      </w:r>
      <w:r>
        <w:t xml:space="preserve"> </w:t>
      </w:r>
      <w:r>
        <w:rPr>
          <w:rStyle w:val="VerbatimChar"/>
        </w:rPr>
        <w:t xml:space="preserve">None</w:t>
      </w:r>
      <w:r>
        <w:t xml:space="preserve">, which gives a zero exit status when passed to</w:t>
      </w:r>
      <w:r>
        <w:t xml:space="preserve"> </w:t>
      </w:r>
      <w:r>
        <w:rPr>
          <w:rStyle w:val="VerbatimChar"/>
        </w:rPr>
        <w:t xml:space="preserve">sys.exit(main())</w:t>
      </w:r>
      <w:r>
        <w:t xml:space="preserve">.</w:t>
      </w:r>
      <w:r>
        <w:t xml:space="preserve"> </w:t>
      </w:r>
      <w:r>
        <w:rPr>
          <w:b/>
          <w:bCs/>
        </w:rPr>
        <w:t xml:space="preserve">Evidence:</w:t>
      </w:r>
      <w:r>
        <w:t xml:space="preserve"> </w:t>
      </w:r>
      <w:r>
        <w:t xml:space="preserve">lines 373–420.</w:t>
      </w:r>
    </w:p>
    <w:bookmarkEnd w:id="35"/>
    <w:bookmarkEnd w:id="36"/>
    <w:bookmarkStart w:id="40" w:name="Xd087b984ed734ed327024b7f1cb3f6a28b7834e"/>
    <w:p>
      <w:pPr>
        <w:pStyle w:val="Heading2"/>
      </w:pPr>
      <w:r>
        <w:t xml:space="preserve">11. Hypothetical worked examples</w:t>
      </w:r>
    </w:p>
    <w:bookmarkStart w:id="37" w:name="example-a-ordinary-table-backfill"/>
    <w:p>
      <w:pPr>
        <w:pStyle w:val="Heading3"/>
      </w:pPr>
      <w:r>
        <w:t xml:space="preserve">Example A: ordinary-table backfill</w:t>
      </w:r>
    </w:p>
    <w:p>
      <w:pPr>
        <w:pStyle w:val="FirstParagraph"/>
      </w:pPr>
      <w:r>
        <w:rPr>
          <w:b/>
          <w:bCs/>
        </w:rPr>
        <w:t xml:space="preserve">Assumptions solely for illustration:</w:t>
      </w:r>
      <w:r>
        <w:t xml:space="preserve"> </w:t>
      </w:r>
      <w:r>
        <w:rPr>
          <w:rStyle w:val="VerbatimChar"/>
        </w:rPr>
        <w:t xml:space="preserve">BANKING_LOANS</w:t>
      </w:r>
      <w:r>
        <w:t xml:space="preserve"> </w:t>
      </w:r>
      <w:r>
        <w:t xml:space="preserve">contains 120 source rows for</w:t>
      </w:r>
      <w:r>
        <w:t xml:space="preserve"> </w:t>
      </w:r>
      <w:r>
        <w:rPr>
          <w:rStyle w:val="VerbatimChar"/>
        </w:rPr>
        <w:t xml:space="preserve">2026-09-17</w:t>
      </w:r>
      <w:r>
        <w:t xml:space="preserve"> </w:t>
      </w:r>
      <w:r>
        <w:t xml:space="preserve">and zero target rows for</w:t>
      </w:r>
      <w:r>
        <w:t xml:space="preserve"> </w:t>
      </w:r>
      <w:r>
        <w:rPr>
          <w:rStyle w:val="VerbatimChar"/>
        </w:rPr>
        <w:t xml:space="preserve">2026-09-18</w:t>
      </w:r>
      <w:r>
        <w:t xml:space="preserve">; all catalog checks and SQL constraints are satisfied.</w:t>
      </w:r>
    </w:p>
    <w:p>
      <w:pPr>
        <w:pStyle w:val="Compact"/>
        <w:numPr>
          <w:ilvl w:val="0"/>
          <w:numId w:val="1002"/>
        </w:numPr>
      </w:pPr>
      <w:r>
        <w:t xml:space="preserve">The script reads</w:t>
      </w:r>
      <w:r>
        <w:t xml:space="preserve"> </w:t>
      </w:r>
      <w:r>
        <w:rPr>
          <w:rStyle w:val="VerbatimChar"/>
        </w:rPr>
        <w:t xml:space="preserve">BANKING_LOANS</w:t>
      </w:r>
      <w:r>
        <w:t xml:space="preserve"> </w:t>
      </w:r>
      <w:r>
        <w:t xml:space="preserve">metadata and identifies</w:t>
      </w:r>
      <w:r>
        <w:t xml:space="preserve"> </w:t>
      </w:r>
      <w:r>
        <w:rPr>
          <w:rStyle w:val="VerbatimChar"/>
        </w:rPr>
        <w:t xml:space="preserve">AS_OF_DATE</w:t>
      </w:r>
      <w:r>
        <w:t xml:space="preserve"> </w:t>
      </w:r>
      <w:r>
        <w:t xml:space="preserve">as the relevant date column.</w:t>
      </w:r>
    </w:p>
    <w:p>
      <w:pPr>
        <w:pStyle w:val="Compact"/>
        <w:numPr>
          <w:ilvl w:val="0"/>
          <w:numId w:val="1002"/>
        </w:numPr>
      </w:pPr>
      <w:r>
        <w:t xml:space="preserve">The source count is hypothetically 120; the target count is 0, so both pre-insert row-count checks pass.</w:t>
      </w:r>
    </w:p>
    <w:p>
      <w:pPr>
        <w:pStyle w:val="Compact"/>
        <w:numPr>
          <w:ilvl w:val="0"/>
          <w:numId w:val="1002"/>
        </w:numPr>
      </w:pPr>
      <w:r>
        <w:t xml:space="preserve">The preview shows the proposed</w:t>
      </w:r>
      <w:r>
        <w:t xml:space="preserve"> </w:t>
      </w:r>
      <w:r>
        <w:rPr>
          <w:rStyle w:val="VerbatimChar"/>
        </w:rPr>
        <w:t xml:space="preserve">INSERT ... SELECT</w:t>
      </w:r>
      <w:r>
        <w:t xml:space="preserve"> </w:t>
      </w:r>
      <w:r>
        <w:t xml:space="preserve">and parameters.</w:t>
      </w:r>
    </w:p>
    <w:p>
      <w:pPr>
        <w:pStyle w:val="Compact"/>
        <w:numPr>
          <w:ilvl w:val="0"/>
          <w:numId w:val="1002"/>
        </w:numPr>
      </w:pPr>
      <w:r>
        <w:t xml:space="preserve">Without</w:t>
      </w:r>
      <w:r>
        <w:t xml:space="preserve"> </w:t>
      </w:r>
      <w:r>
        <w:rPr>
          <w:rStyle w:val="VerbatimChar"/>
        </w:rPr>
        <w:t xml:space="preserve">--EXECUTE</w:t>
      </w:r>
      <w:r>
        <w:t xml:space="preserve">, there is no insert.</w:t>
      </w:r>
    </w:p>
    <w:p>
      <w:pPr>
        <w:pStyle w:val="Compact"/>
        <w:numPr>
          <w:ilvl w:val="0"/>
          <w:numId w:val="1002"/>
        </w:numPr>
      </w:pPr>
      <w:r>
        <w:t xml:space="preserve">With</w:t>
      </w:r>
      <w:r>
        <w:t xml:space="preserve"> </w:t>
      </w:r>
      <w:r>
        <w:rPr>
          <w:rStyle w:val="VerbatimChar"/>
        </w:rPr>
        <w:t xml:space="preserve">--EXECUTE</w:t>
      </w:r>
      <w:r>
        <w:t xml:space="preserve">, it attempts to insert 120 rows with the new</w:t>
      </w:r>
      <w:r>
        <w:t xml:space="preserve"> </w:t>
      </w:r>
      <w:r>
        <w:rPr>
          <w:rStyle w:val="VerbatimChar"/>
        </w:rPr>
        <w:t xml:space="preserve">AS_OF_DATE</w:t>
      </w:r>
      <w:r>
        <w:t xml:space="preserve">, retaining other included source values.</w:t>
      </w:r>
    </w:p>
    <w:p>
      <w:pPr>
        <w:pStyle w:val="Compact"/>
        <w:numPr>
          <w:ilvl w:val="0"/>
          <w:numId w:val="1002"/>
        </w:numPr>
      </w:pPr>
      <w:r>
        <w:t xml:space="preserve">If the post-insert target count becomes 120, the count check passes and the code commits.</w:t>
      </w:r>
    </w:p>
    <w:p>
      <w:pPr>
        <w:pStyle w:val="FirstParagraph"/>
      </w:pPr>
      <w:r>
        <w:rPr>
          <w:b/>
          <w:bCs/>
        </w:rPr>
        <w:t xml:space="preserve">Evidence for the mechanism:</w:t>
      </w:r>
      <w:r>
        <w:t xml:space="preserve"> </w:t>
      </w:r>
      <w:r>
        <w:t xml:space="preserve">lines 116–119, 209–227, 320–371.</w:t>
      </w:r>
      <w:r>
        <w:t xml:space="preserve"> </w:t>
      </w:r>
      <w:r>
        <w:rPr>
          <w:b/>
          <w:bCs/>
        </w:rPr>
        <w:t xml:space="preserve">Not evidence:</w:t>
      </w:r>
      <w:r>
        <w:t xml:space="preserve"> </w:t>
      </w:r>
      <w:r>
        <w:t xml:space="preserve">the illustrative dates, 120-row figure, or an actual successful run.</w:t>
      </w:r>
    </w:p>
    <w:bookmarkEnd w:id="37"/>
    <w:bookmarkStart w:id="38" w:name="example-b-net_liabilities-backfill"/>
    <w:p>
      <w:pPr>
        <w:pStyle w:val="Heading3"/>
      </w:pPr>
      <w:r>
        <w:t xml:space="preserve">Example B:</w:t>
      </w:r>
      <w:r>
        <w:t xml:space="preserve"> </w:t>
      </w:r>
      <w:r>
        <w:rPr>
          <w:rStyle w:val="VerbatimChar"/>
        </w:rPr>
        <w:t xml:space="preserve">NET_LIABILITIES</w:t>
      </w:r>
      <w:r>
        <w:t xml:space="preserve"> </w:t>
      </w:r>
      <w:r>
        <w:t xml:space="preserve">backfill</w:t>
      </w:r>
    </w:p>
    <w:p>
      <w:pPr>
        <w:pStyle w:val="FirstParagraph"/>
      </w:pPr>
      <w:r>
        <w:rPr>
          <w:b/>
          <w:bCs/>
        </w:rPr>
        <w:t xml:space="preserve">Assumptions solely for illustration:</w:t>
      </w:r>
      <w:r>
        <w:t xml:space="preserve"> </w:t>
      </w:r>
      <w:r>
        <w:rPr>
          <w:rStyle w:val="VerbatimChar"/>
        </w:rPr>
        <w:t xml:space="preserve">NET_LIABILITIES</w:t>
      </w:r>
      <w:r>
        <w:t xml:space="preserve"> </w:t>
      </w:r>
      <w:r>
        <w:t xml:space="preserve">has 35 source rows where</w:t>
      </w:r>
      <w:r>
        <w:t xml:space="preserve"> </w:t>
      </w:r>
      <w:r>
        <w:rPr>
          <w:rStyle w:val="VerbatimChar"/>
        </w:rPr>
        <w:t xml:space="preserve">POSDATE = 2026-09-17</w:t>
      </w:r>
      <w:r>
        <w:t xml:space="preserve">, zero rows at target</w:t>
      </w:r>
      <w:r>
        <w:t xml:space="preserve"> </w:t>
      </w:r>
      <w:r>
        <w:rPr>
          <w:rStyle w:val="VerbatimChar"/>
        </w:rPr>
        <w:t xml:space="preserve">POSDATE = 2026-09-18</w:t>
      </w:r>
      <w:r>
        <w:t xml:space="preserve">, and an insertable</w:t>
      </w:r>
      <w:r>
        <w:t xml:space="preserve"> </w:t>
      </w:r>
      <w:r>
        <w:rPr>
          <w:rStyle w:val="VerbatimChar"/>
        </w:rPr>
        <w:t xml:space="preserve">DTPOS</w:t>
      </w:r>
      <w:r>
        <w:t xml:space="preserve"> </w:t>
      </w:r>
      <w:r>
        <w:t xml:space="preserve">column.</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Row element</w:t>
            </w:r>
          </w:p>
        </w:tc>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What happens in new rows</w:t>
            </w:r>
          </w:p>
        </w:tc>
      </w:tr>
      <w:tr>
        <w:tc>
          <w:tcPr>
            <w:vAlign w:val="center"/>
            <w:tcMar>
              <w:top w:w="65" w:type="dxa"/>
              <w:left w:w="65" w:type="dxa"/>
              <w:bottom w:w="65" w:type="dxa"/>
              <w:right w:w="65" w:type="dxa"/>
            </w:tcMar>
          </w:tcPr>
          <w:p>
            <w:pPr>
              <w:pStyle w:val="Compact"/>
              <w:spacing w:after="20" w:before="20"/>
              <w:jc w:val="left"/>
            </w:pPr>
            <w:r>
              <w:rPr>
                <w:sz w:val="15"/>
              </w:rPr>
              <w:t xml:space="preserve">Which source rows are selected?</w:t>
            </w:r>
          </w:p>
        </w:tc>
        <w:tc>
          <w:tcPr>
            <w:vAlign w:val="center"/>
            <w:tcMar>
              <w:top w:w="65" w:type="dxa"/>
              <w:left w:w="65" w:type="dxa"/>
              <w:bottom w:w="65" w:type="dxa"/>
              <w:right w:w="65" w:type="dxa"/>
            </w:tcMar>
          </w:tcPr>
          <w:p>
            <w:pPr>
              <w:pStyle w:val="Compact"/>
              <w:spacing w:after="20" w:before="20"/>
              <w:jc w:val="left"/>
            </w:pPr>
            <w:r>
              <w:rPr>
                <w:rStyle w:val="VerbatimChar"/>
                <w:sz w:val="15"/>
              </w:rPr>
              <w:t xml:space="preserve">POSDATE = 2026-09-17</w:t>
            </w:r>
            <w:r>
              <w:rPr>
                <w:sz w:val="15"/>
              </w:rPr>
              <w:t xml:space="preserve">.</w:t>
            </w:r>
          </w:p>
        </w:tc>
      </w:tr>
      <w:tr>
        <w:tc>
          <w:tcPr>
            <w:vAlign w:val="center"/>
            <w:tcMar>
              <w:top w:w="65" w:type="dxa"/>
              <w:left w:w="65" w:type="dxa"/>
              <w:bottom w:w="65" w:type="dxa"/>
              <w:right w:w="65" w:type="dxa"/>
            </w:tcMar>
            <w:shd w:fill="EFF4F8"/>
          </w:tcPr>
          <w:p>
            <w:pPr>
              <w:pStyle w:val="Compact"/>
              <w:spacing w:after="20" w:before="20"/>
              <w:jc w:val="left"/>
            </w:pPr>
            <w:r>
              <w:rPr>
                <w:sz w:val="15"/>
              </w:rPr>
              <w:t xml:space="preserve">New</w:t>
            </w:r>
            <w:r>
              <w:rPr>
                <w:sz w:val="15"/>
              </w:rPr>
              <w:t xml:space="preserve"> </w:t>
            </w:r>
            <w:r>
              <w:rPr>
                <w:rStyle w:val="VerbatimChar"/>
                <w:sz w:val="15"/>
              </w:rPr>
              <w:t xml:space="preserve">POSDATE</w:t>
            </w:r>
          </w:p>
        </w:tc>
        <w:tc>
          <w:tcPr>
            <w:vAlign w:val="center"/>
            <w:tcMar>
              <w:top w:w="65" w:type="dxa"/>
              <w:left w:w="65" w:type="dxa"/>
              <w:bottom w:w="65" w:type="dxa"/>
              <w:right w:w="65" w:type="dxa"/>
            </w:tcMar>
            <w:shd w:fill="EFF4F8"/>
          </w:tcPr>
          <w:p>
            <w:pPr>
              <w:pStyle w:val="Compact"/>
              <w:spacing w:after="20" w:before="20"/>
              <w:jc w:val="left"/>
            </w:pPr>
            <w:r>
              <w:rPr>
                <w:sz w:val="15"/>
              </w:rPr>
              <w:t xml:space="preserve">Set to</w:t>
            </w:r>
            <w:r>
              <w:rPr>
                <w:sz w:val="15"/>
              </w:rPr>
              <w:t xml:space="preserve"> </w:t>
            </w:r>
            <w:r>
              <w:rPr>
                <w:rStyle w:val="VerbatimChar"/>
                <w:sz w:val="15"/>
              </w:rPr>
              <w:t xml:space="preserve">2026-09-18</w:t>
            </w:r>
            <w:r>
              <w:rPr>
                <w:sz w:val="15"/>
              </w:rPr>
              <w:t xml:space="preserve">.</w:t>
            </w:r>
          </w:p>
        </w:tc>
      </w:tr>
      <w:tr>
        <w:tc>
          <w:tcPr>
            <w:vAlign w:val="center"/>
            <w:tcMar>
              <w:top w:w="65" w:type="dxa"/>
              <w:left w:w="65" w:type="dxa"/>
              <w:bottom w:w="65" w:type="dxa"/>
              <w:right w:w="65" w:type="dxa"/>
            </w:tcMar>
          </w:tcPr>
          <w:p>
            <w:pPr>
              <w:pStyle w:val="Compact"/>
              <w:spacing w:after="20" w:before="20"/>
              <w:jc w:val="left"/>
            </w:pPr>
            <w:r>
              <w:rPr>
                <w:sz w:val="15"/>
              </w:rPr>
              <w:t xml:space="preserve">New</w:t>
            </w:r>
            <w:r>
              <w:rPr>
                <w:sz w:val="15"/>
              </w:rPr>
              <w:t xml:space="preserve"> </w:t>
            </w:r>
            <w:r>
              <w:rPr>
                <w:rStyle w:val="VerbatimChar"/>
                <w:sz w:val="15"/>
              </w:rPr>
              <w:t xml:space="preserve">DTPOS</w:t>
            </w:r>
          </w:p>
        </w:tc>
        <w:tc>
          <w:tcPr>
            <w:vAlign w:val="center"/>
            <w:tcMar>
              <w:top w:w="65" w:type="dxa"/>
              <w:left w:w="65" w:type="dxa"/>
              <w:bottom w:w="65" w:type="dxa"/>
              <w:right w:w="65" w:type="dxa"/>
            </w:tcMar>
          </w:tcPr>
          <w:p>
            <w:pPr>
              <w:pStyle w:val="Compact"/>
              <w:spacing w:after="20" w:before="20"/>
              <w:jc w:val="left"/>
            </w:pPr>
            <w:r>
              <w:rPr>
                <w:sz w:val="15"/>
              </w:rPr>
              <w:t xml:space="preserve">Also set to</w:t>
            </w:r>
            <w:r>
              <w:rPr>
                <w:sz w:val="15"/>
              </w:rPr>
              <w:t xml:space="preserve"> </w:t>
            </w:r>
            <w:r>
              <w:rPr>
                <w:rStyle w:val="VerbatimChar"/>
                <w:sz w:val="15"/>
              </w:rPr>
              <w:t xml:space="preserve">2026-09-18</w:t>
            </w:r>
            <w:r>
              <w:rPr>
                <w:sz w:val="15"/>
              </w:rPr>
              <w:t xml:space="preserve">.</w:t>
            </w:r>
          </w:p>
        </w:tc>
      </w:tr>
      <w:tr>
        <w:tc>
          <w:tcPr>
            <w:vAlign w:val="center"/>
            <w:tcMar>
              <w:top w:w="65" w:type="dxa"/>
              <w:left w:w="65" w:type="dxa"/>
              <w:bottom w:w="65" w:type="dxa"/>
              <w:right w:w="65" w:type="dxa"/>
            </w:tcMar>
            <w:shd w:fill="EFF4F8"/>
          </w:tcPr>
          <w:p>
            <w:pPr>
              <w:pStyle w:val="Compact"/>
              <w:spacing w:after="20" w:before="20"/>
              <w:jc w:val="left"/>
            </w:pPr>
            <w:r>
              <w:rPr>
                <w:sz w:val="15"/>
              </w:rPr>
              <w:t xml:space="preserve">Other insertable columns</w:t>
            </w:r>
          </w:p>
        </w:tc>
        <w:tc>
          <w:tcPr>
            <w:vAlign w:val="center"/>
            <w:tcMar>
              <w:top w:w="65" w:type="dxa"/>
              <w:left w:w="65" w:type="dxa"/>
              <w:bottom w:w="65" w:type="dxa"/>
              <w:right w:w="65" w:type="dxa"/>
            </w:tcMar>
            <w:shd w:fill="EFF4F8"/>
          </w:tcPr>
          <w:p>
            <w:pPr>
              <w:pStyle w:val="Compact"/>
              <w:spacing w:after="20" w:before="20"/>
              <w:jc w:val="left"/>
            </w:pPr>
            <w:r>
              <w:rPr>
                <w:sz w:val="15"/>
              </w:rPr>
              <w:t xml:space="preserve">Values taken from the source row.</w:t>
            </w:r>
          </w:p>
        </w:tc>
      </w:tr>
      <w:tr>
        <w:tc>
          <w:tcPr>
            <w:vAlign w:val="center"/>
            <w:tcMar>
              <w:top w:w="65" w:type="dxa"/>
              <w:left w:w="65" w:type="dxa"/>
              <w:bottom w:w="65" w:type="dxa"/>
              <w:right w:w="65" w:type="dxa"/>
            </w:tcMar>
          </w:tcPr>
          <w:p>
            <w:pPr>
              <w:pStyle w:val="Compact"/>
              <w:spacing w:after="20" w:before="20"/>
              <w:jc w:val="left"/>
            </w:pPr>
            <w:r>
              <w:rPr>
                <w:sz w:val="15"/>
              </w:rPr>
              <w:t xml:space="preserve">Computed/identity/rowversion fields</w:t>
            </w:r>
          </w:p>
        </w:tc>
        <w:tc>
          <w:tcPr>
            <w:vAlign w:val="center"/>
            <w:tcMar>
              <w:top w:w="65" w:type="dxa"/>
              <w:left w:w="65" w:type="dxa"/>
              <w:bottom w:w="65" w:type="dxa"/>
              <w:right w:w="65" w:type="dxa"/>
            </w:tcMar>
          </w:tcPr>
          <w:p>
            <w:pPr>
              <w:pStyle w:val="Compact"/>
              <w:spacing w:after="20" w:before="20"/>
              <w:jc w:val="left"/>
            </w:pPr>
            <w:r>
              <w:rPr>
                <w:sz w:val="15"/>
              </w:rPr>
              <w:t xml:space="preserve">Excluded from the explicit insert list.</w:t>
            </w:r>
          </w:p>
        </w:tc>
      </w:tr>
    </w:tbl>
    <w:p>
      <w:pPr>
        <w:pStyle w:val="BodyText"/>
      </w:pPr>
      <w:r>
        <w:t xml:space="preserve">There is</w:t>
      </w:r>
      <w:r>
        <w:t xml:space="preserve"> </w:t>
      </w:r>
      <w:r>
        <w:rPr>
          <w:b/>
          <w:bCs/>
        </w:rPr>
        <w:t xml:space="preserve">no</w:t>
      </w:r>
      <w:r>
        <w:t xml:space="preserve"> </w:t>
      </w:r>
      <w:r>
        <w:t xml:space="preserve">additional source-row filter on</w:t>
      </w:r>
      <w:r>
        <w:t xml:space="preserve"> </w:t>
      </w:r>
      <w:r>
        <w:rPr>
          <w:rStyle w:val="VerbatimChar"/>
        </w:rPr>
        <w:t xml:space="preserve">DTPOS</w:t>
      </w:r>
      <w:r>
        <w:t xml:space="preserve"> </w:t>
      </w:r>
      <w:r>
        <w:t xml:space="preserve">in the code, and the inserted</w:t>
      </w:r>
      <w:r>
        <w:t xml:space="preserve"> </w:t>
      </w:r>
      <w:r>
        <w:rPr>
          <w:rStyle w:val="VerbatimChar"/>
        </w:rPr>
        <w:t xml:space="preserve">DTPOS</w:t>
      </w:r>
      <w:r>
        <w:t xml:space="preserve"> </w:t>
      </w:r>
      <w:r>
        <w:t xml:space="preserve">value is replaced regardless of its source-row value.</w:t>
      </w:r>
      <w:r>
        <w:t xml:space="preserve"> </w:t>
      </w:r>
      <w:r>
        <w:rPr>
          <w:b/>
          <w:bCs/>
        </w:rPr>
        <w:t xml:space="preserve">Evidence:</w:t>
      </w:r>
      <w:r>
        <w:t xml:space="preserve"> </w:t>
      </w:r>
      <w:r>
        <w:t xml:space="preserve">lines 116–119, 181–227, 349–360.</w:t>
      </w:r>
    </w:p>
    <w:bookmarkEnd w:id="38"/>
    <w:bookmarkStart w:id="39" w:name="example-c-refusals-before-insert"/>
    <w:p>
      <w:pPr>
        <w:pStyle w:val="Heading3"/>
      </w:pPr>
      <w:r>
        <w:t xml:space="preserve">Example C: refusals before insert</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Hypothetical condition</w:t>
            </w:r>
          </w:p>
        </w:tc>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What the script does</w:t>
            </w:r>
          </w:p>
        </w:tc>
      </w:tr>
      <w:tr>
        <w:tc>
          <w:tcPr>
            <w:vAlign w:val="center"/>
            <w:tcMar>
              <w:top w:w="65" w:type="dxa"/>
              <w:left w:w="65" w:type="dxa"/>
              <w:bottom w:w="65" w:type="dxa"/>
              <w:right w:w="65" w:type="dxa"/>
            </w:tcMar>
          </w:tcPr>
          <w:p>
            <w:pPr>
              <w:pStyle w:val="Compact"/>
              <w:spacing w:after="20" w:before="20"/>
              <w:jc w:val="left"/>
            </w:pPr>
            <w:r>
              <w:rPr>
                <w:sz w:val="15"/>
              </w:rPr>
              <w:t xml:space="preserve">0 source rows, 0 target rows</w:t>
            </w:r>
          </w:p>
        </w:tc>
        <w:tc>
          <w:tcPr>
            <w:vAlign w:val="center"/>
            <w:tcMar>
              <w:top w:w="65" w:type="dxa"/>
              <w:left w:w="65" w:type="dxa"/>
              <w:bottom w:w="65" w:type="dxa"/>
              <w:right w:w="65" w:type="dxa"/>
            </w:tcMar>
          </w:tcPr>
          <w:p>
            <w:pPr>
              <w:pStyle w:val="Compact"/>
              <w:spacing w:after="20" w:before="20"/>
              <w:jc w:val="left"/>
            </w:pPr>
            <w:r>
              <w:rPr>
                <w:sz w:val="15"/>
              </w:rPr>
              <w:t xml:space="preserve">Raises the source-zero error before printing the preview.</w:t>
            </w:r>
          </w:p>
        </w:tc>
      </w:tr>
      <w:tr>
        <w:tc>
          <w:tcPr>
            <w:vAlign w:val="center"/>
            <w:tcMar>
              <w:top w:w="65" w:type="dxa"/>
              <w:left w:w="65" w:type="dxa"/>
              <w:bottom w:w="65" w:type="dxa"/>
              <w:right w:w="65" w:type="dxa"/>
            </w:tcMar>
            <w:shd w:fill="EFF4F8"/>
          </w:tcPr>
          <w:p>
            <w:pPr>
              <w:pStyle w:val="Compact"/>
              <w:spacing w:after="20" w:before="20"/>
              <w:jc w:val="left"/>
            </w:pPr>
            <w:r>
              <w:rPr>
                <w:sz w:val="15"/>
              </w:rPr>
              <w:t xml:space="preserve">120 source rows, 3 target rows</w:t>
            </w:r>
          </w:p>
        </w:tc>
        <w:tc>
          <w:tcPr>
            <w:vAlign w:val="center"/>
            <w:tcMar>
              <w:top w:w="65" w:type="dxa"/>
              <w:left w:w="65" w:type="dxa"/>
              <w:bottom w:w="65" w:type="dxa"/>
              <w:right w:w="65" w:type="dxa"/>
            </w:tcMar>
            <w:shd w:fill="EFF4F8"/>
          </w:tcPr>
          <w:p>
            <w:pPr>
              <w:pStyle w:val="Compact"/>
              <w:spacing w:after="20" w:before="20"/>
              <w:jc w:val="left"/>
            </w:pPr>
            <w:r>
              <w:rPr>
                <w:sz w:val="15"/>
              </w:rPr>
              <w:t xml:space="preserve">Raises the target-populated error; no insert attempted.</w:t>
            </w:r>
          </w:p>
        </w:tc>
      </w:tr>
      <w:tr>
        <w:tc>
          <w:tcPr>
            <w:vAlign w:val="center"/>
            <w:tcMar>
              <w:top w:w="65" w:type="dxa"/>
              <w:left w:w="65" w:type="dxa"/>
              <w:bottom w:w="65" w:type="dxa"/>
              <w:right w:w="65" w:type="dxa"/>
            </w:tcMar>
          </w:tcPr>
          <w:p>
            <w:pPr>
              <w:pStyle w:val="Compact"/>
              <w:spacing w:after="20" w:before="20"/>
              <w:jc w:val="left"/>
            </w:pPr>
            <w:r>
              <w:rPr>
                <w:sz w:val="15"/>
              </w:rPr>
              <w:t xml:space="preserve">Source and target dates are identical</w:t>
            </w:r>
          </w:p>
        </w:tc>
        <w:tc>
          <w:tcPr>
            <w:vAlign w:val="center"/>
            <w:tcMar>
              <w:top w:w="65" w:type="dxa"/>
              <w:left w:w="65" w:type="dxa"/>
              <w:bottom w:w="65" w:type="dxa"/>
              <w:right w:w="65" w:type="dxa"/>
            </w:tcMar>
          </w:tcPr>
          <w:p>
            <w:pPr>
              <w:pStyle w:val="Compact"/>
              <w:spacing w:after="20" w:before="20"/>
              <w:jc w:val="left"/>
            </w:pPr>
            <w:r>
              <w:rPr>
                <w:sz w:val="15"/>
              </w:rPr>
              <w:t xml:space="preserve">Raises an error before connecting.</w:t>
            </w:r>
          </w:p>
        </w:tc>
      </w:tr>
      <w:tr>
        <w:tc>
          <w:tcPr>
            <w:vAlign w:val="center"/>
            <w:tcMar>
              <w:top w:w="65" w:type="dxa"/>
              <w:left w:w="65" w:type="dxa"/>
              <w:bottom w:w="65" w:type="dxa"/>
              <w:right w:w="65" w:type="dxa"/>
            </w:tcMar>
            <w:shd w:fill="EFF4F8"/>
          </w:tcPr>
          <w:p>
            <w:pPr>
              <w:pStyle w:val="Compact"/>
              <w:spacing w:after="20" w:before="20"/>
              <w:jc w:val="left"/>
            </w:pPr>
            <w:r>
              <w:rPr>
                <w:rStyle w:val="VerbatimChar"/>
                <w:sz w:val="15"/>
              </w:rPr>
              <w:t xml:space="preserve">NET_LIABILITIES</w:t>
            </w:r>
            <w:r>
              <w:rPr>
                <w:sz w:val="15"/>
              </w:rPr>
              <w:t xml:space="preserve"> </w:t>
            </w:r>
            <w:r>
              <w:rPr>
                <w:sz w:val="15"/>
              </w:rPr>
              <w:t xml:space="preserve">has no insertable</w:t>
            </w:r>
            <w:r>
              <w:rPr>
                <w:sz w:val="15"/>
              </w:rPr>
              <w:t xml:space="preserve"> </w:t>
            </w:r>
            <w:r>
              <w:rPr>
                <w:rStyle w:val="VerbatimChar"/>
                <w:sz w:val="15"/>
              </w:rPr>
              <w:t xml:space="preserve">DTPOS</w:t>
            </w:r>
          </w:p>
        </w:tc>
        <w:tc>
          <w:tcPr>
            <w:vAlign w:val="center"/>
            <w:tcMar>
              <w:top w:w="65" w:type="dxa"/>
              <w:left w:w="65" w:type="dxa"/>
              <w:bottom w:w="65" w:type="dxa"/>
              <w:right w:w="65" w:type="dxa"/>
            </w:tcMar>
            <w:shd w:fill="EFF4F8"/>
          </w:tcPr>
          <w:p>
            <w:pPr>
              <w:pStyle w:val="Compact"/>
              <w:spacing w:after="20" w:before="20"/>
              <w:jc w:val="left"/>
            </w:pPr>
            <w:r>
              <w:rPr>
                <w:sz w:val="15"/>
              </w:rPr>
              <w:t xml:space="preserve">Raises an error before building/executing the insert.</w:t>
            </w:r>
          </w:p>
        </w:tc>
      </w:tr>
    </w:tbl>
    <w:p>
      <w:pPr>
        <w:pStyle w:val="BodyText"/>
      </w:pPr>
      <w:r>
        <w:rPr>
          <w:b/>
          <w:bCs/>
        </w:rPr>
        <w:t xml:space="preserve">Evidence:</w:t>
      </w:r>
      <w:r>
        <w:t xml:space="preserve"> </w:t>
      </w:r>
      <w:r>
        <w:t xml:space="preserve">lines 284–285, 308–337.</w:t>
      </w:r>
    </w:p>
    <w:bookmarkEnd w:id="39"/>
    <w:bookmarkEnd w:id="40"/>
    <w:bookmarkStart w:id="41" w:name="X3a165c94e521effd8c36f28e94873dc6320cbdc"/>
    <w:p>
      <w:pPr>
        <w:pStyle w:val="Heading2"/>
      </w:pPr>
      <w:r>
        <w:t xml:space="preserve">12. Function-by-function reference</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Function or entry point</w:t>
            </w:r>
          </w:p>
        </w:tc>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Source lines</w:t>
            </w:r>
          </w:p>
        </w:tc>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Verified responsibility</w:t>
            </w:r>
          </w:p>
        </w:tc>
      </w:tr>
      <w:tr>
        <w:tc>
          <w:tcPr>
            <w:vAlign w:val="center"/>
            <w:tcMar>
              <w:top w:w="65" w:type="dxa"/>
              <w:left w:w="65" w:type="dxa"/>
              <w:bottom w:w="65" w:type="dxa"/>
              <w:right w:w="65" w:type="dxa"/>
            </w:tcMar>
          </w:tcPr>
          <w:p>
            <w:pPr>
              <w:pStyle w:val="Compact"/>
              <w:spacing w:after="20" w:before="20"/>
              <w:jc w:val="left"/>
            </w:pPr>
            <w:r>
              <w:rPr>
                <w:rStyle w:val="VerbatimChar"/>
                <w:sz w:val="15"/>
              </w:rPr>
              <w:t xml:space="preserve">setup_logger()</w:t>
            </w:r>
          </w:p>
        </w:tc>
        <w:tc>
          <w:tcPr>
            <w:vAlign w:val="center"/>
            <w:tcMar>
              <w:top w:w="65" w:type="dxa"/>
              <w:left w:w="65" w:type="dxa"/>
              <w:bottom w:w="65" w:type="dxa"/>
              <w:right w:w="65" w:type="dxa"/>
            </w:tcMar>
          </w:tcPr>
          <w:p>
            <w:pPr>
              <w:pStyle w:val="Compact"/>
              <w:spacing w:after="20" w:before="20"/>
              <w:jc w:val="left"/>
            </w:pPr>
            <w:r>
              <w:rPr>
                <w:sz w:val="15"/>
              </w:rPr>
              <w:t xml:space="preserve">32–41</w:t>
            </w:r>
          </w:p>
        </w:tc>
        <w:tc>
          <w:tcPr>
            <w:vAlign w:val="center"/>
            <w:tcMar>
              <w:top w:w="65" w:type="dxa"/>
              <w:left w:w="65" w:type="dxa"/>
              <w:bottom w:w="65" w:type="dxa"/>
              <w:right w:w="65" w:type="dxa"/>
            </w:tcMar>
          </w:tcPr>
          <w:p>
            <w:pPr>
              <w:pStyle w:val="Compact"/>
              <w:spacing w:after="20" w:before="20"/>
              <w:jc w:val="left"/>
            </w:pPr>
            <w:r>
              <w:rPr>
                <w:sz w:val="15"/>
              </w:rPr>
              <w:t xml:space="preserve">Configures named console logger, debug level, timestamp format and handler.</w:t>
            </w:r>
          </w:p>
        </w:tc>
      </w:tr>
      <w:tr>
        <w:tc>
          <w:tcPr>
            <w:vAlign w:val="center"/>
            <w:tcMar>
              <w:top w:w="65" w:type="dxa"/>
              <w:left w:w="65" w:type="dxa"/>
              <w:bottom w:w="65" w:type="dxa"/>
              <w:right w:w="65" w:type="dxa"/>
            </w:tcMar>
            <w:shd w:fill="EFF4F8"/>
          </w:tcPr>
          <w:p>
            <w:pPr>
              <w:pStyle w:val="Compact"/>
              <w:spacing w:after="20" w:before="20"/>
              <w:jc w:val="left"/>
            </w:pPr>
            <w:r>
              <w:rPr>
                <w:rStyle w:val="VerbatimChar"/>
                <w:sz w:val="15"/>
              </w:rPr>
              <w:t xml:space="preserve">get_db_connect_str()</w:t>
            </w:r>
          </w:p>
        </w:tc>
        <w:tc>
          <w:tcPr>
            <w:vAlign w:val="center"/>
            <w:tcMar>
              <w:top w:w="65" w:type="dxa"/>
              <w:left w:w="65" w:type="dxa"/>
              <w:bottom w:w="65" w:type="dxa"/>
              <w:right w:w="65" w:type="dxa"/>
            </w:tcMar>
            <w:shd w:fill="EFF4F8"/>
          </w:tcPr>
          <w:p>
            <w:pPr>
              <w:pStyle w:val="Compact"/>
              <w:spacing w:after="20" w:before="20"/>
              <w:jc w:val="left"/>
            </w:pPr>
            <w:r>
              <w:rPr>
                <w:sz w:val="15"/>
              </w:rPr>
              <w:t xml:space="preserve">47–100</w:t>
            </w:r>
          </w:p>
        </w:tc>
        <w:tc>
          <w:tcPr>
            <w:vAlign w:val="center"/>
            <w:tcMar>
              <w:top w:w="65" w:type="dxa"/>
              <w:left w:w="65" w:type="dxa"/>
              <w:bottom w:w="65" w:type="dxa"/>
              <w:right w:w="65" w:type="dxa"/>
            </w:tcMar>
            <w:shd w:fill="EFF4F8"/>
          </w:tcPr>
          <w:p>
            <w:pPr>
              <w:pStyle w:val="Compact"/>
              <w:spacing w:after="20" w:before="20"/>
              <w:jc w:val="left"/>
            </w:pPr>
            <w:r>
              <w:rPr>
                <w:sz w:val="15"/>
              </w:rPr>
              <w:t xml:space="preserve">Reads selected INI section, resolves ODBC driver, creates connection string.</w:t>
            </w:r>
          </w:p>
        </w:tc>
      </w:tr>
      <w:tr>
        <w:tc>
          <w:tcPr>
            <w:vAlign w:val="center"/>
            <w:tcMar>
              <w:top w:w="65" w:type="dxa"/>
              <w:left w:w="65" w:type="dxa"/>
              <w:bottom w:w="65" w:type="dxa"/>
              <w:right w:w="65" w:type="dxa"/>
            </w:tcMar>
          </w:tcPr>
          <w:p>
            <w:pPr>
              <w:pStyle w:val="Compact"/>
              <w:spacing w:after="20" w:before="20"/>
              <w:jc w:val="left"/>
            </w:pPr>
            <w:r>
              <w:rPr>
                <w:rStyle w:val="VerbatimChar"/>
                <w:sz w:val="15"/>
              </w:rPr>
              <w:t xml:space="preserve">parse_date_value()</w:t>
            </w:r>
          </w:p>
        </w:tc>
        <w:tc>
          <w:tcPr>
            <w:vAlign w:val="center"/>
            <w:tcMar>
              <w:top w:w="65" w:type="dxa"/>
              <w:left w:w="65" w:type="dxa"/>
              <w:bottom w:w="65" w:type="dxa"/>
              <w:right w:w="65" w:type="dxa"/>
            </w:tcMar>
          </w:tcPr>
          <w:p>
            <w:pPr>
              <w:pStyle w:val="Compact"/>
              <w:spacing w:after="20" w:before="20"/>
              <w:jc w:val="left"/>
            </w:pPr>
            <w:r>
              <w:rPr>
                <w:sz w:val="15"/>
              </w:rPr>
              <w:t xml:space="preserve">103–109</w:t>
            </w:r>
          </w:p>
        </w:tc>
        <w:tc>
          <w:tcPr>
            <w:vAlign w:val="center"/>
            <w:tcMar>
              <w:top w:w="65" w:type="dxa"/>
              <w:left w:w="65" w:type="dxa"/>
              <w:bottom w:w="65" w:type="dxa"/>
              <w:right w:w="65" w:type="dxa"/>
            </w:tcMar>
          </w:tcPr>
          <w:p>
            <w:pPr>
              <w:pStyle w:val="Compact"/>
              <w:spacing w:after="20" w:before="20"/>
              <w:jc w:val="left"/>
            </w:pPr>
            <w:r>
              <w:rPr>
                <w:sz w:val="15"/>
              </w:rPr>
              <w:t xml:space="preserve">Parses</w:t>
            </w:r>
            <w:r>
              <w:rPr>
                <w:sz w:val="15"/>
              </w:rPr>
              <w:t xml:space="preserve"> </w:t>
            </w:r>
            <w:r>
              <w:rPr>
                <w:rStyle w:val="VerbatimChar"/>
                <w:sz w:val="15"/>
              </w:rPr>
              <w:t xml:space="preserve">YYYY-MM-DD</w:t>
            </w:r>
            <w:r>
              <w:rPr>
                <w:sz w:val="15"/>
              </w:rPr>
              <w:t xml:space="preserve"> </w:t>
            </w:r>
            <w:r>
              <w:rPr>
                <w:sz w:val="15"/>
              </w:rPr>
              <w:t xml:space="preserve">as a Python date; raises parsing error when invalid.</w:t>
            </w:r>
          </w:p>
        </w:tc>
      </w:tr>
      <w:tr>
        <w:tc>
          <w:tcPr>
            <w:vAlign w:val="center"/>
            <w:tcMar>
              <w:top w:w="65" w:type="dxa"/>
              <w:left w:w="65" w:type="dxa"/>
              <w:bottom w:w="65" w:type="dxa"/>
              <w:right w:w="65" w:type="dxa"/>
            </w:tcMar>
            <w:shd w:fill="EFF4F8"/>
          </w:tcPr>
          <w:p>
            <w:pPr>
              <w:pStyle w:val="Compact"/>
              <w:spacing w:after="20" w:before="20"/>
              <w:jc w:val="left"/>
            </w:pPr>
            <w:r>
              <w:rPr>
                <w:rStyle w:val="VerbatimChar"/>
                <w:sz w:val="15"/>
              </w:rPr>
              <w:t xml:space="preserve">table_full_name()</w:t>
            </w:r>
          </w:p>
        </w:tc>
        <w:tc>
          <w:tcPr>
            <w:vAlign w:val="center"/>
            <w:tcMar>
              <w:top w:w="65" w:type="dxa"/>
              <w:left w:w="65" w:type="dxa"/>
              <w:bottom w:w="65" w:type="dxa"/>
              <w:right w:w="65" w:type="dxa"/>
            </w:tcMar>
            <w:shd w:fill="EFF4F8"/>
          </w:tcPr>
          <w:p>
            <w:pPr>
              <w:pStyle w:val="Compact"/>
              <w:spacing w:after="20" w:before="20"/>
              <w:jc w:val="left"/>
            </w:pPr>
            <w:r>
              <w:rPr>
                <w:sz w:val="15"/>
              </w:rPr>
              <w:t xml:space="preserve">112–113</w:t>
            </w:r>
          </w:p>
        </w:tc>
        <w:tc>
          <w:tcPr>
            <w:vAlign w:val="center"/>
            <w:tcMar>
              <w:top w:w="65" w:type="dxa"/>
              <w:left w:w="65" w:type="dxa"/>
              <w:bottom w:w="65" w:type="dxa"/>
              <w:right w:w="65" w:type="dxa"/>
            </w:tcMar>
            <w:shd w:fill="EFF4F8"/>
          </w:tcPr>
          <w:p>
            <w:pPr>
              <w:pStyle w:val="Compact"/>
              <w:spacing w:after="20" w:before="20"/>
              <w:jc w:val="left"/>
            </w:pPr>
            <w:r>
              <w:rPr>
                <w:sz w:val="15"/>
              </w:rPr>
              <w:t xml:space="preserve">Constructs</w:t>
            </w:r>
            <w:r>
              <w:rPr>
                <w:sz w:val="15"/>
              </w:rPr>
              <w:t xml:space="preserve"> </w:t>
            </w:r>
            <w:r>
              <w:rPr>
                <w:rStyle w:val="VerbatimChar"/>
                <w:sz w:val="15"/>
              </w:rPr>
              <w:t xml:space="preserve">LIQUIDITY.LST_SF_EXTRACT.&lt;TABLE&gt;</w:t>
            </w:r>
            <w:r>
              <w:rPr>
                <w:sz w:val="15"/>
              </w:rPr>
              <w:t xml:space="preserve">.</w:t>
            </w:r>
          </w:p>
        </w:tc>
      </w:tr>
      <w:tr>
        <w:tc>
          <w:tcPr>
            <w:vAlign w:val="center"/>
            <w:tcMar>
              <w:top w:w="65" w:type="dxa"/>
              <w:left w:w="65" w:type="dxa"/>
              <w:bottom w:w="65" w:type="dxa"/>
              <w:right w:w="65" w:type="dxa"/>
            </w:tcMar>
          </w:tcPr>
          <w:p>
            <w:pPr>
              <w:pStyle w:val="Compact"/>
              <w:spacing w:after="20" w:before="20"/>
              <w:jc w:val="left"/>
            </w:pPr>
            <w:r>
              <w:rPr>
                <w:rStyle w:val="VerbatimChar"/>
                <w:sz w:val="15"/>
              </w:rPr>
              <w:t xml:space="preserve">get_date_column_for_table()</w:t>
            </w:r>
          </w:p>
        </w:tc>
        <w:tc>
          <w:tcPr>
            <w:vAlign w:val="center"/>
            <w:tcMar>
              <w:top w:w="65" w:type="dxa"/>
              <w:left w:w="65" w:type="dxa"/>
              <w:bottom w:w="65" w:type="dxa"/>
              <w:right w:w="65" w:type="dxa"/>
            </w:tcMar>
          </w:tcPr>
          <w:p>
            <w:pPr>
              <w:pStyle w:val="Compact"/>
              <w:spacing w:after="20" w:before="20"/>
              <w:jc w:val="left"/>
            </w:pPr>
            <w:r>
              <w:rPr>
                <w:sz w:val="15"/>
              </w:rPr>
              <w:t xml:space="preserve">116–119</w:t>
            </w:r>
          </w:p>
        </w:tc>
        <w:tc>
          <w:tcPr>
            <w:vAlign w:val="center"/>
            <w:tcMar>
              <w:top w:w="65" w:type="dxa"/>
              <w:left w:w="65" w:type="dxa"/>
              <w:bottom w:w="65" w:type="dxa"/>
              <w:right w:w="65" w:type="dxa"/>
            </w:tcMar>
          </w:tcPr>
          <w:p>
            <w:pPr>
              <w:pStyle w:val="Compact"/>
              <w:spacing w:after="20" w:before="20"/>
              <w:jc w:val="left"/>
            </w:pPr>
            <w:r>
              <w:rPr>
                <w:sz w:val="15"/>
              </w:rPr>
              <w:t xml:space="preserve">Returns</w:t>
            </w:r>
            <w:r>
              <w:rPr>
                <w:sz w:val="15"/>
              </w:rPr>
              <w:t xml:space="preserve"> </w:t>
            </w:r>
            <w:r>
              <w:rPr>
                <w:rStyle w:val="VerbatimChar"/>
                <w:sz w:val="15"/>
              </w:rPr>
              <w:t xml:space="preserve">POSDATE</w:t>
            </w:r>
            <w:r>
              <w:rPr>
                <w:sz w:val="15"/>
              </w:rPr>
              <w:t xml:space="preserve"> </w:t>
            </w:r>
            <w:r>
              <w:rPr>
                <w:sz w:val="15"/>
              </w:rPr>
              <w:t xml:space="preserve">for</w:t>
            </w:r>
            <w:r>
              <w:rPr>
                <w:sz w:val="15"/>
              </w:rPr>
              <w:t xml:space="preserve"> </w:t>
            </w:r>
            <w:r>
              <w:rPr>
                <w:rStyle w:val="VerbatimChar"/>
                <w:sz w:val="15"/>
              </w:rPr>
              <w:t xml:space="preserve">NET_LIABILITIES</w:t>
            </w:r>
            <w:r>
              <w:rPr>
                <w:sz w:val="15"/>
              </w:rPr>
              <w:t xml:space="preserve">, otherwise</w:t>
            </w:r>
            <w:r>
              <w:rPr>
                <w:sz w:val="15"/>
              </w:rPr>
              <w:t xml:space="preserve"> </w:t>
            </w:r>
            <w:r>
              <w:rPr>
                <w:rStyle w:val="VerbatimChar"/>
                <w:sz w:val="15"/>
              </w:rPr>
              <w:t xml:space="preserve">AS_OF_DATE</w:t>
            </w:r>
            <w:r>
              <w:rPr>
                <w:sz w:val="15"/>
              </w:rPr>
              <w:t xml:space="preserve">.</w:t>
            </w:r>
          </w:p>
        </w:tc>
      </w:tr>
      <w:tr>
        <w:tc>
          <w:tcPr>
            <w:vAlign w:val="center"/>
            <w:tcMar>
              <w:top w:w="65" w:type="dxa"/>
              <w:left w:w="65" w:type="dxa"/>
              <w:bottom w:w="65" w:type="dxa"/>
              <w:right w:w="65" w:type="dxa"/>
            </w:tcMar>
            <w:shd w:fill="EFF4F8"/>
          </w:tcPr>
          <w:p>
            <w:pPr>
              <w:pStyle w:val="Compact"/>
              <w:spacing w:after="20" w:before="20"/>
              <w:jc w:val="left"/>
            </w:pPr>
            <w:r>
              <w:rPr>
                <w:rStyle w:val="VerbatimChar"/>
                <w:sz w:val="15"/>
              </w:rPr>
              <w:t xml:space="preserve">validate_environment()</w:t>
            </w:r>
          </w:p>
        </w:tc>
        <w:tc>
          <w:tcPr>
            <w:vAlign w:val="center"/>
            <w:tcMar>
              <w:top w:w="65" w:type="dxa"/>
              <w:left w:w="65" w:type="dxa"/>
              <w:bottom w:w="65" w:type="dxa"/>
              <w:right w:w="65" w:type="dxa"/>
            </w:tcMar>
            <w:shd w:fill="EFF4F8"/>
          </w:tcPr>
          <w:p>
            <w:pPr>
              <w:pStyle w:val="Compact"/>
              <w:spacing w:after="20" w:before="20"/>
              <w:jc w:val="left"/>
            </w:pPr>
            <w:r>
              <w:rPr>
                <w:sz w:val="15"/>
              </w:rPr>
              <w:t xml:space="preserve">122–126</w:t>
            </w:r>
          </w:p>
        </w:tc>
        <w:tc>
          <w:tcPr>
            <w:vAlign w:val="center"/>
            <w:tcMar>
              <w:top w:w="65" w:type="dxa"/>
              <w:left w:w="65" w:type="dxa"/>
              <w:bottom w:w="65" w:type="dxa"/>
              <w:right w:w="65" w:type="dxa"/>
            </w:tcMar>
            <w:shd w:fill="EFF4F8"/>
          </w:tcPr>
          <w:p>
            <w:pPr>
              <w:pStyle w:val="Compact"/>
              <w:spacing w:after="20" w:before="20"/>
              <w:jc w:val="left"/>
            </w:pPr>
            <w:r>
              <w:rPr>
                <w:sz w:val="15"/>
              </w:rPr>
              <w:t xml:space="preserve">Uppercases and accepts only</w:t>
            </w:r>
            <w:r>
              <w:rPr>
                <w:sz w:val="15"/>
              </w:rPr>
              <w:t xml:space="preserve"> </w:t>
            </w:r>
            <w:r>
              <w:rPr>
                <w:rStyle w:val="VerbatimChar"/>
                <w:sz w:val="15"/>
              </w:rPr>
              <w:t xml:space="preserve">DEV</w:t>
            </w:r>
            <w:r>
              <w:rPr>
                <w:sz w:val="15"/>
              </w:rPr>
              <w:t xml:space="preserve">,</w:t>
            </w:r>
            <w:r>
              <w:rPr>
                <w:sz w:val="15"/>
              </w:rPr>
              <w:t xml:space="preserve"> </w:t>
            </w:r>
            <w:r>
              <w:rPr>
                <w:rStyle w:val="VerbatimChar"/>
                <w:sz w:val="15"/>
              </w:rPr>
              <w:t xml:space="preserve">UAT</w:t>
            </w:r>
            <w:r>
              <w:rPr>
                <w:sz w:val="15"/>
              </w:rPr>
              <w:t xml:space="preserve">,</w:t>
            </w:r>
            <w:r>
              <w:rPr>
                <w:sz w:val="15"/>
              </w:rPr>
              <w:t xml:space="preserve"> </w:t>
            </w:r>
            <w:r>
              <w:rPr>
                <w:rStyle w:val="VerbatimChar"/>
                <w:sz w:val="15"/>
              </w:rPr>
              <w:t xml:space="preserve">PROD</w:t>
            </w:r>
            <w:r>
              <w:rPr>
                <w:sz w:val="15"/>
              </w:rPr>
              <w:t xml:space="preserve">.</w:t>
            </w:r>
          </w:p>
        </w:tc>
      </w:tr>
      <w:tr>
        <w:tc>
          <w:tcPr>
            <w:vAlign w:val="center"/>
            <w:tcMar>
              <w:top w:w="65" w:type="dxa"/>
              <w:left w:w="65" w:type="dxa"/>
              <w:bottom w:w="65" w:type="dxa"/>
              <w:right w:w="65" w:type="dxa"/>
            </w:tcMar>
          </w:tcPr>
          <w:p>
            <w:pPr>
              <w:pStyle w:val="Compact"/>
              <w:spacing w:after="20" w:before="20"/>
              <w:jc w:val="left"/>
            </w:pPr>
            <w:r>
              <w:rPr>
                <w:rStyle w:val="VerbatimChar"/>
                <w:sz w:val="15"/>
              </w:rPr>
              <w:t xml:space="preserve">check_table_exists()</w:t>
            </w:r>
          </w:p>
        </w:tc>
        <w:tc>
          <w:tcPr>
            <w:vAlign w:val="center"/>
            <w:tcMar>
              <w:top w:w="65" w:type="dxa"/>
              <w:left w:w="65" w:type="dxa"/>
              <w:bottom w:w="65" w:type="dxa"/>
              <w:right w:w="65" w:type="dxa"/>
            </w:tcMar>
          </w:tcPr>
          <w:p>
            <w:pPr>
              <w:pStyle w:val="Compact"/>
              <w:spacing w:after="20" w:before="20"/>
              <w:jc w:val="left"/>
            </w:pPr>
            <w:r>
              <w:rPr>
                <w:sz w:val="15"/>
              </w:rPr>
              <w:t xml:space="preserve">129–142</w:t>
            </w:r>
          </w:p>
        </w:tc>
        <w:tc>
          <w:tcPr>
            <w:vAlign w:val="center"/>
            <w:tcMar>
              <w:top w:w="65" w:type="dxa"/>
              <w:left w:w="65" w:type="dxa"/>
              <w:bottom w:w="65" w:type="dxa"/>
              <w:right w:w="65" w:type="dxa"/>
            </w:tcMar>
          </w:tcPr>
          <w:p>
            <w:pPr>
              <w:pStyle w:val="Compact"/>
              <w:spacing w:after="20" w:before="20"/>
              <w:jc w:val="left"/>
            </w:pPr>
            <w:r>
              <w:rPr>
                <w:sz w:val="15"/>
              </w:rPr>
              <w:t xml:space="preserve">Checks schema and table in</w:t>
            </w:r>
            <w:r>
              <w:rPr>
                <w:sz w:val="15"/>
              </w:rPr>
              <w:t xml:space="preserve"> </w:t>
            </w:r>
            <w:r>
              <w:rPr>
                <w:rStyle w:val="VerbatimChar"/>
                <w:sz w:val="15"/>
              </w:rPr>
              <w:t xml:space="preserve">INFORMATION_SCHEMA.TABLES</w:t>
            </w:r>
            <w:r>
              <w:rPr>
                <w:sz w:val="15"/>
              </w:rPr>
              <w:t xml:space="preserve">.</w:t>
            </w:r>
          </w:p>
        </w:tc>
      </w:tr>
      <w:tr>
        <w:tc>
          <w:tcPr>
            <w:vAlign w:val="center"/>
            <w:tcMar>
              <w:top w:w="65" w:type="dxa"/>
              <w:left w:w="65" w:type="dxa"/>
              <w:bottom w:w="65" w:type="dxa"/>
              <w:right w:w="65" w:type="dxa"/>
            </w:tcMar>
            <w:shd w:fill="EFF4F8"/>
          </w:tcPr>
          <w:p>
            <w:pPr>
              <w:pStyle w:val="Compact"/>
              <w:spacing w:after="20" w:before="20"/>
              <w:jc w:val="left"/>
            </w:pPr>
            <w:r>
              <w:rPr>
                <w:rStyle w:val="VerbatimChar"/>
                <w:sz w:val="15"/>
              </w:rPr>
              <w:t xml:space="preserve">get_column_metadata()</w:t>
            </w:r>
          </w:p>
        </w:tc>
        <w:tc>
          <w:tcPr>
            <w:vAlign w:val="center"/>
            <w:tcMar>
              <w:top w:w="65" w:type="dxa"/>
              <w:left w:w="65" w:type="dxa"/>
              <w:bottom w:w="65" w:type="dxa"/>
              <w:right w:w="65" w:type="dxa"/>
            </w:tcMar>
            <w:shd w:fill="EFF4F8"/>
          </w:tcPr>
          <w:p>
            <w:pPr>
              <w:pStyle w:val="Compact"/>
              <w:spacing w:after="20" w:before="20"/>
              <w:jc w:val="left"/>
            </w:pPr>
            <w:r>
              <w:rPr>
                <w:sz w:val="15"/>
              </w:rPr>
              <w:t xml:space="preserve">145–178</w:t>
            </w:r>
          </w:p>
        </w:tc>
        <w:tc>
          <w:tcPr>
            <w:vAlign w:val="center"/>
            <w:tcMar>
              <w:top w:w="65" w:type="dxa"/>
              <w:left w:w="65" w:type="dxa"/>
              <w:bottom w:w="65" w:type="dxa"/>
              <w:right w:w="65" w:type="dxa"/>
            </w:tcMar>
            <w:shd w:fill="EFF4F8"/>
          </w:tcPr>
          <w:p>
            <w:pPr>
              <w:pStyle w:val="Compact"/>
              <w:spacing w:after="20" w:before="20"/>
              <w:jc w:val="left"/>
            </w:pPr>
            <w:r>
              <w:rPr>
                <w:sz w:val="15"/>
              </w:rPr>
              <w:t xml:space="preserve">Queries SQL Server catalog and returns column attributes.</w:t>
            </w:r>
          </w:p>
        </w:tc>
      </w:tr>
      <w:tr>
        <w:tc>
          <w:tcPr>
            <w:vAlign w:val="center"/>
            <w:tcMar>
              <w:top w:w="65" w:type="dxa"/>
              <w:left w:w="65" w:type="dxa"/>
              <w:bottom w:w="65" w:type="dxa"/>
              <w:right w:w="65" w:type="dxa"/>
            </w:tcMar>
          </w:tcPr>
          <w:p>
            <w:pPr>
              <w:pStyle w:val="Compact"/>
              <w:spacing w:after="20" w:before="20"/>
              <w:jc w:val="left"/>
            </w:pPr>
            <w:r>
              <w:rPr>
                <w:rStyle w:val="VerbatimChar"/>
                <w:sz w:val="15"/>
              </w:rPr>
              <w:t xml:space="preserve">determine_insertable_columns()</w:t>
            </w:r>
          </w:p>
        </w:tc>
        <w:tc>
          <w:tcPr>
            <w:vAlign w:val="center"/>
            <w:tcMar>
              <w:top w:w="65" w:type="dxa"/>
              <w:left w:w="65" w:type="dxa"/>
              <w:bottom w:w="65" w:type="dxa"/>
              <w:right w:w="65" w:type="dxa"/>
            </w:tcMar>
          </w:tcPr>
          <w:p>
            <w:pPr>
              <w:pStyle w:val="Compact"/>
              <w:spacing w:after="20" w:before="20"/>
              <w:jc w:val="left"/>
            </w:pPr>
            <w:r>
              <w:rPr>
                <w:sz w:val="15"/>
              </w:rPr>
              <w:t xml:space="preserve">181–206</w:t>
            </w:r>
          </w:p>
        </w:tc>
        <w:tc>
          <w:tcPr>
            <w:vAlign w:val="center"/>
            <w:tcMar>
              <w:top w:w="65" w:type="dxa"/>
              <w:left w:w="65" w:type="dxa"/>
              <w:bottom w:w="65" w:type="dxa"/>
              <w:right w:w="65" w:type="dxa"/>
            </w:tcMar>
          </w:tcPr>
          <w:p>
            <w:pPr>
              <w:pStyle w:val="Compact"/>
              <w:spacing w:after="20" w:before="20"/>
              <w:jc w:val="left"/>
            </w:pPr>
            <w:r>
              <w:rPr>
                <w:sz w:val="15"/>
              </w:rPr>
              <w:t xml:space="preserve">Removes computed, identity, and rowversion fields; verifies date column.</w:t>
            </w:r>
          </w:p>
        </w:tc>
      </w:tr>
      <w:tr>
        <w:tc>
          <w:tcPr>
            <w:vAlign w:val="center"/>
            <w:tcMar>
              <w:top w:w="65" w:type="dxa"/>
              <w:left w:w="65" w:type="dxa"/>
              <w:bottom w:w="65" w:type="dxa"/>
              <w:right w:w="65" w:type="dxa"/>
            </w:tcMar>
            <w:shd w:fill="EFF4F8"/>
          </w:tcPr>
          <w:p>
            <w:pPr>
              <w:pStyle w:val="Compact"/>
              <w:spacing w:after="20" w:before="20"/>
              <w:jc w:val="left"/>
            </w:pPr>
            <w:r>
              <w:rPr>
                <w:rStyle w:val="VerbatimChar"/>
                <w:sz w:val="15"/>
              </w:rPr>
              <w:t xml:space="preserve">build_insert_sql()</w:t>
            </w:r>
          </w:p>
        </w:tc>
        <w:tc>
          <w:tcPr>
            <w:vAlign w:val="center"/>
            <w:tcMar>
              <w:top w:w="65" w:type="dxa"/>
              <w:left w:w="65" w:type="dxa"/>
              <w:bottom w:w="65" w:type="dxa"/>
              <w:right w:w="65" w:type="dxa"/>
            </w:tcMar>
            <w:shd w:fill="EFF4F8"/>
          </w:tcPr>
          <w:p>
            <w:pPr>
              <w:pStyle w:val="Compact"/>
              <w:spacing w:after="20" w:before="20"/>
              <w:jc w:val="left"/>
            </w:pPr>
            <w:r>
              <w:rPr>
                <w:sz w:val="15"/>
              </w:rPr>
              <w:t xml:space="preserve">209–227</w:t>
            </w:r>
          </w:p>
        </w:tc>
        <w:tc>
          <w:tcPr>
            <w:vAlign w:val="center"/>
            <w:tcMar>
              <w:top w:w="65" w:type="dxa"/>
              <w:left w:w="65" w:type="dxa"/>
              <w:bottom w:w="65" w:type="dxa"/>
              <w:right w:w="65" w:type="dxa"/>
            </w:tcMar>
            <w:shd w:fill="EFF4F8"/>
          </w:tcPr>
          <w:p>
            <w:pPr>
              <w:pStyle w:val="Compact"/>
              <w:spacing w:after="20" w:before="20"/>
              <w:jc w:val="left"/>
            </w:pPr>
            <w:r>
              <w:rPr>
                <w:sz w:val="15"/>
              </w:rPr>
              <w:t xml:space="preserve">Constructs the same-table</w:t>
            </w:r>
            <w:r>
              <w:rPr>
                <w:sz w:val="15"/>
              </w:rPr>
              <w:t xml:space="preserve"> </w:t>
            </w:r>
            <w:r>
              <w:rPr>
                <w:rStyle w:val="VerbatimChar"/>
                <w:sz w:val="15"/>
              </w:rPr>
              <w:t xml:space="preserve">INSERT ... SELECT</w:t>
            </w:r>
            <w:r>
              <w:rPr>
                <w:sz w:val="15"/>
              </w:rPr>
              <w:t xml:space="preserve"> </w:t>
            </w:r>
            <w:r>
              <w:rPr>
                <w:sz w:val="15"/>
              </w:rPr>
              <w:t xml:space="preserve">query with placeholders.</w:t>
            </w:r>
          </w:p>
        </w:tc>
      </w:tr>
      <w:tr>
        <w:tc>
          <w:tcPr>
            <w:vAlign w:val="center"/>
            <w:tcMar>
              <w:top w:w="65" w:type="dxa"/>
              <w:left w:w="65" w:type="dxa"/>
              <w:bottom w:w="65" w:type="dxa"/>
              <w:right w:w="65" w:type="dxa"/>
            </w:tcMar>
          </w:tcPr>
          <w:p>
            <w:pPr>
              <w:pStyle w:val="Compact"/>
              <w:spacing w:after="20" w:before="20"/>
              <w:jc w:val="left"/>
            </w:pPr>
            <w:r>
              <w:rPr>
                <w:rStyle w:val="VerbatimChar"/>
                <w:sz w:val="15"/>
              </w:rPr>
              <w:t xml:space="preserve">get_row_count()</w:t>
            </w:r>
          </w:p>
        </w:tc>
        <w:tc>
          <w:tcPr>
            <w:vAlign w:val="center"/>
            <w:tcMar>
              <w:top w:w="65" w:type="dxa"/>
              <w:left w:w="65" w:type="dxa"/>
              <w:bottom w:w="65" w:type="dxa"/>
              <w:right w:w="65" w:type="dxa"/>
            </w:tcMar>
          </w:tcPr>
          <w:p>
            <w:pPr>
              <w:pStyle w:val="Compact"/>
              <w:spacing w:after="20" w:before="20"/>
              <w:jc w:val="left"/>
            </w:pPr>
            <w:r>
              <w:rPr>
                <w:sz w:val="15"/>
              </w:rPr>
              <w:t xml:space="preserve">230–237</w:t>
            </w:r>
          </w:p>
        </w:tc>
        <w:tc>
          <w:tcPr>
            <w:vAlign w:val="center"/>
            <w:tcMar>
              <w:top w:w="65" w:type="dxa"/>
              <w:left w:w="65" w:type="dxa"/>
              <w:bottom w:w="65" w:type="dxa"/>
              <w:right w:w="65" w:type="dxa"/>
            </w:tcMar>
          </w:tcPr>
          <w:p>
            <w:pPr>
              <w:pStyle w:val="Compact"/>
              <w:spacing w:after="20" w:before="20"/>
              <w:jc w:val="left"/>
            </w:pPr>
            <w:r>
              <w:rPr>
                <w:sz w:val="15"/>
              </w:rPr>
              <w:t xml:space="preserve">Counts table rows for a supplied date.</w:t>
            </w:r>
          </w:p>
        </w:tc>
      </w:tr>
      <w:tr>
        <w:tc>
          <w:tcPr>
            <w:vAlign w:val="center"/>
            <w:tcMar>
              <w:top w:w="65" w:type="dxa"/>
              <w:left w:w="65" w:type="dxa"/>
              <w:bottom w:w="65" w:type="dxa"/>
              <w:right w:w="65" w:type="dxa"/>
            </w:tcMar>
            <w:shd w:fill="EFF4F8"/>
          </w:tcPr>
          <w:p>
            <w:pPr>
              <w:pStyle w:val="Compact"/>
              <w:spacing w:after="20" w:before="20"/>
              <w:jc w:val="left"/>
            </w:pPr>
            <w:r>
              <w:rPr>
                <w:rStyle w:val="VerbatimChar"/>
                <w:sz w:val="15"/>
              </w:rPr>
              <w:t xml:space="preserve">ensure_environment_config()</w:t>
            </w:r>
          </w:p>
        </w:tc>
        <w:tc>
          <w:tcPr>
            <w:vAlign w:val="center"/>
            <w:tcMar>
              <w:top w:w="65" w:type="dxa"/>
              <w:left w:w="65" w:type="dxa"/>
              <w:bottom w:w="65" w:type="dxa"/>
              <w:right w:w="65" w:type="dxa"/>
            </w:tcMar>
            <w:shd w:fill="EFF4F8"/>
          </w:tcPr>
          <w:p>
            <w:pPr>
              <w:pStyle w:val="Compact"/>
              <w:spacing w:after="20" w:before="20"/>
              <w:jc w:val="left"/>
            </w:pPr>
            <w:r>
              <w:rPr>
                <w:sz w:val="15"/>
              </w:rPr>
              <w:t xml:space="preserve">240–243</w:t>
            </w:r>
          </w:p>
        </w:tc>
        <w:tc>
          <w:tcPr>
            <w:vAlign w:val="center"/>
            <w:tcMar>
              <w:top w:w="65" w:type="dxa"/>
              <w:left w:w="65" w:type="dxa"/>
              <w:bottom w:w="65" w:type="dxa"/>
              <w:right w:w="65" w:type="dxa"/>
            </w:tcMar>
            <w:shd w:fill="EFF4F8"/>
          </w:tcPr>
          <w:p>
            <w:pPr>
              <w:pStyle w:val="Compact"/>
              <w:spacing w:after="20" w:before="20"/>
              <w:jc w:val="left"/>
            </w:pPr>
            <w:r>
              <w:rPr>
                <w:sz w:val="15"/>
              </w:rPr>
              <w:t xml:space="preserve">Checks INI path and invokes configuration/driver validation.</w:t>
            </w:r>
          </w:p>
        </w:tc>
      </w:tr>
      <w:tr>
        <w:tc>
          <w:tcPr>
            <w:vAlign w:val="center"/>
            <w:tcMar>
              <w:top w:w="65" w:type="dxa"/>
              <w:left w:w="65" w:type="dxa"/>
              <w:bottom w:w="65" w:type="dxa"/>
              <w:right w:w="65" w:type="dxa"/>
            </w:tcMar>
          </w:tcPr>
          <w:p>
            <w:pPr>
              <w:pStyle w:val="Compact"/>
              <w:spacing w:after="20" w:before="20"/>
              <w:jc w:val="left"/>
            </w:pPr>
            <w:r>
              <w:rPr>
                <w:rStyle w:val="VerbatimChar"/>
                <w:sz w:val="15"/>
              </w:rPr>
              <w:t xml:space="preserve">print_preview()</w:t>
            </w:r>
          </w:p>
        </w:tc>
        <w:tc>
          <w:tcPr>
            <w:vAlign w:val="center"/>
            <w:tcMar>
              <w:top w:w="65" w:type="dxa"/>
              <w:left w:w="65" w:type="dxa"/>
              <w:bottom w:w="65" w:type="dxa"/>
              <w:right w:w="65" w:type="dxa"/>
            </w:tcMar>
          </w:tcPr>
          <w:p>
            <w:pPr>
              <w:pStyle w:val="Compact"/>
              <w:spacing w:after="20" w:before="20"/>
              <w:jc w:val="left"/>
            </w:pPr>
            <w:r>
              <w:rPr>
                <w:sz w:val="15"/>
              </w:rPr>
              <w:t xml:space="preserve">246–274</w:t>
            </w:r>
          </w:p>
        </w:tc>
        <w:tc>
          <w:tcPr>
            <w:vAlign w:val="center"/>
            <w:tcMar>
              <w:top w:w="65" w:type="dxa"/>
              <w:left w:w="65" w:type="dxa"/>
              <w:bottom w:w="65" w:type="dxa"/>
              <w:right w:w="65" w:type="dxa"/>
            </w:tcMar>
          </w:tcPr>
          <w:p>
            <w:pPr>
              <w:pStyle w:val="Compact"/>
              <w:spacing w:after="20" w:before="20"/>
              <w:jc w:val="left"/>
            </w:pPr>
            <w:r>
              <w:rPr>
                <w:sz w:val="15"/>
              </w:rPr>
              <w:t xml:space="preserve">Prints proposed operation, row counts, generated SQL and parameters.</w:t>
            </w:r>
          </w:p>
        </w:tc>
      </w:tr>
      <w:tr>
        <w:tc>
          <w:tcPr>
            <w:vAlign w:val="center"/>
            <w:tcMar>
              <w:top w:w="65" w:type="dxa"/>
              <w:left w:w="65" w:type="dxa"/>
              <w:bottom w:w="65" w:type="dxa"/>
              <w:right w:w="65" w:type="dxa"/>
            </w:tcMar>
            <w:shd w:fill="EFF4F8"/>
          </w:tcPr>
          <w:p>
            <w:pPr>
              <w:pStyle w:val="Compact"/>
              <w:spacing w:after="20" w:before="20"/>
              <w:jc w:val="left"/>
            </w:pPr>
            <w:r>
              <w:rPr>
                <w:rStyle w:val="VerbatimChar"/>
                <w:sz w:val="15"/>
              </w:rPr>
              <w:t xml:space="preserve">run_backfill()</w:t>
            </w:r>
          </w:p>
        </w:tc>
        <w:tc>
          <w:tcPr>
            <w:vAlign w:val="center"/>
            <w:tcMar>
              <w:top w:w="65" w:type="dxa"/>
              <w:left w:w="65" w:type="dxa"/>
              <w:bottom w:w="65" w:type="dxa"/>
              <w:right w:w="65" w:type="dxa"/>
            </w:tcMar>
            <w:shd w:fill="EFF4F8"/>
          </w:tcPr>
          <w:p>
            <w:pPr>
              <w:pStyle w:val="Compact"/>
              <w:spacing w:after="20" w:before="20"/>
              <w:jc w:val="left"/>
            </w:pPr>
            <w:r>
              <w:rPr>
                <w:sz w:val="15"/>
              </w:rPr>
              <w:t xml:space="preserve">277–391</w:t>
            </w:r>
          </w:p>
        </w:tc>
        <w:tc>
          <w:tcPr>
            <w:vAlign w:val="center"/>
            <w:tcMar>
              <w:top w:w="65" w:type="dxa"/>
              <w:left w:w="65" w:type="dxa"/>
              <w:bottom w:w="65" w:type="dxa"/>
              <w:right w:w="65" w:type="dxa"/>
            </w:tcMar>
            <w:shd w:fill="EFF4F8"/>
          </w:tcPr>
          <w:p>
            <w:pPr>
              <w:pStyle w:val="Compact"/>
              <w:spacing w:after="20" w:before="20"/>
              <w:jc w:val="left"/>
            </w:pPr>
            <w:r>
              <w:rPr>
                <w:sz w:val="15"/>
              </w:rPr>
              <w:t xml:space="preserve">Runs preflight, optional insert, validation, commit/rollback, and cleanup.</w:t>
            </w:r>
          </w:p>
        </w:tc>
      </w:tr>
      <w:tr>
        <w:tc>
          <w:tcPr>
            <w:vAlign w:val="center"/>
            <w:tcMar>
              <w:top w:w="65" w:type="dxa"/>
              <w:left w:w="65" w:type="dxa"/>
              <w:bottom w:w="65" w:type="dxa"/>
              <w:right w:w="65" w:type="dxa"/>
            </w:tcMar>
          </w:tcPr>
          <w:p>
            <w:pPr>
              <w:pStyle w:val="Compact"/>
              <w:spacing w:after="20" w:before="20"/>
              <w:jc w:val="left"/>
            </w:pPr>
            <w:r>
              <w:rPr>
                <w:rStyle w:val="VerbatimChar"/>
                <w:sz w:val="15"/>
              </w:rPr>
              <w:t xml:space="preserve">build_parser()</w:t>
            </w:r>
          </w:p>
        </w:tc>
        <w:tc>
          <w:tcPr>
            <w:vAlign w:val="center"/>
            <w:tcMar>
              <w:top w:w="65" w:type="dxa"/>
              <w:left w:w="65" w:type="dxa"/>
              <w:bottom w:w="65" w:type="dxa"/>
              <w:right w:w="65" w:type="dxa"/>
            </w:tcMar>
          </w:tcPr>
          <w:p>
            <w:pPr>
              <w:pStyle w:val="Compact"/>
              <w:spacing w:after="20" w:before="20"/>
              <w:jc w:val="left"/>
            </w:pPr>
            <w:r>
              <w:rPr>
                <w:sz w:val="15"/>
              </w:rPr>
              <w:t xml:space="preserve">394–402</w:t>
            </w:r>
          </w:p>
        </w:tc>
        <w:tc>
          <w:tcPr>
            <w:vAlign w:val="center"/>
            <w:tcMar>
              <w:top w:w="65" w:type="dxa"/>
              <w:left w:w="65" w:type="dxa"/>
              <w:bottom w:w="65" w:type="dxa"/>
              <w:right w:w="65" w:type="dxa"/>
            </w:tcMar>
          </w:tcPr>
          <w:p>
            <w:pPr>
              <w:pStyle w:val="Compact"/>
              <w:spacing w:after="20" w:before="20"/>
              <w:jc w:val="left"/>
            </w:pPr>
            <w:r>
              <w:rPr>
                <w:sz w:val="15"/>
              </w:rPr>
              <w:t xml:space="preserve">Defines the six command-line options and required argument choices.</w:t>
            </w:r>
          </w:p>
        </w:tc>
      </w:tr>
      <w:tr>
        <w:tc>
          <w:tcPr>
            <w:vAlign w:val="center"/>
            <w:tcMar>
              <w:top w:w="65" w:type="dxa"/>
              <w:left w:w="65" w:type="dxa"/>
              <w:bottom w:w="65" w:type="dxa"/>
              <w:right w:w="65" w:type="dxa"/>
            </w:tcMar>
            <w:shd w:fill="EFF4F8"/>
          </w:tcPr>
          <w:p>
            <w:pPr>
              <w:pStyle w:val="Compact"/>
              <w:spacing w:after="20" w:before="20"/>
              <w:jc w:val="left"/>
            </w:pPr>
            <w:r>
              <w:rPr>
                <w:rStyle w:val="VerbatimChar"/>
                <w:sz w:val="15"/>
              </w:rPr>
              <w:t xml:space="preserve">main()</w:t>
            </w:r>
          </w:p>
        </w:tc>
        <w:tc>
          <w:tcPr>
            <w:vAlign w:val="center"/>
            <w:tcMar>
              <w:top w:w="65" w:type="dxa"/>
              <w:left w:w="65" w:type="dxa"/>
              <w:bottom w:w="65" w:type="dxa"/>
              <w:right w:w="65" w:type="dxa"/>
            </w:tcMar>
            <w:shd w:fill="EFF4F8"/>
          </w:tcPr>
          <w:p>
            <w:pPr>
              <w:pStyle w:val="Compact"/>
              <w:spacing w:after="20" w:before="20"/>
              <w:jc w:val="left"/>
            </w:pPr>
            <w:r>
              <w:rPr>
                <w:sz w:val="15"/>
              </w:rPr>
              <w:t xml:space="preserve">405–415</w:t>
            </w:r>
          </w:p>
        </w:tc>
        <w:tc>
          <w:tcPr>
            <w:vAlign w:val="center"/>
            <w:tcMar>
              <w:top w:w="65" w:type="dxa"/>
              <w:left w:w="65" w:type="dxa"/>
              <w:bottom w:w="65" w:type="dxa"/>
              <w:right w:w="65" w:type="dxa"/>
            </w:tcMar>
            <w:shd w:fill="EFF4F8"/>
          </w:tcPr>
          <w:p>
            <w:pPr>
              <w:pStyle w:val="Compact"/>
              <w:spacing w:after="20" w:before="20"/>
              <w:jc w:val="left"/>
            </w:pPr>
            <w:r>
              <w:rPr>
                <w:sz w:val="15"/>
              </w:rPr>
              <w:t xml:space="preserve">Parses options, delegates to run, handles outer exceptions.</w:t>
            </w:r>
          </w:p>
        </w:tc>
      </w:tr>
      <w:tr>
        <w:tc>
          <w:tcPr>
            <w:vAlign w:val="center"/>
            <w:tcMar>
              <w:top w:w="65" w:type="dxa"/>
              <w:left w:w="65" w:type="dxa"/>
              <w:bottom w:w="65" w:type="dxa"/>
              <w:right w:w="65" w:type="dxa"/>
            </w:tcMar>
          </w:tcPr>
          <w:p>
            <w:pPr>
              <w:pStyle w:val="Compact"/>
              <w:spacing w:after="20" w:before="20"/>
              <w:jc w:val="left"/>
            </w:pPr>
            <w:r>
              <w:rPr>
                <w:rStyle w:val="VerbatimChar"/>
                <w:sz w:val="15"/>
              </w:rPr>
              <w:t xml:space="preserve">if __name__ == "__main__":</w:t>
            </w:r>
          </w:p>
        </w:tc>
        <w:tc>
          <w:tcPr>
            <w:vAlign w:val="center"/>
            <w:tcMar>
              <w:top w:w="65" w:type="dxa"/>
              <w:left w:w="65" w:type="dxa"/>
              <w:bottom w:w="65" w:type="dxa"/>
              <w:right w:w="65" w:type="dxa"/>
            </w:tcMar>
          </w:tcPr>
          <w:p>
            <w:pPr>
              <w:pStyle w:val="Compact"/>
              <w:spacing w:after="20" w:before="20"/>
              <w:jc w:val="left"/>
            </w:pPr>
            <w:r>
              <w:rPr>
                <w:sz w:val="15"/>
              </w:rPr>
              <w:t xml:space="preserve">418–420</w:t>
            </w:r>
          </w:p>
        </w:tc>
        <w:tc>
          <w:tcPr>
            <w:vAlign w:val="center"/>
            <w:tcMar>
              <w:top w:w="65" w:type="dxa"/>
              <w:left w:w="65" w:type="dxa"/>
              <w:bottom w:w="65" w:type="dxa"/>
              <w:right w:w="65" w:type="dxa"/>
            </w:tcMar>
          </w:tcPr>
          <w:p>
            <w:pPr>
              <w:pStyle w:val="Compact"/>
              <w:spacing w:after="20" w:before="20"/>
              <w:jc w:val="left"/>
            </w:pPr>
            <w:r>
              <w:rPr>
                <w:sz w:val="15"/>
              </w:rPr>
              <w:t xml:space="preserve">Changes working directory and exits with main's status.</w:t>
            </w:r>
          </w:p>
        </w:tc>
      </w:tr>
    </w:tbl>
    <w:bookmarkEnd w:id="41"/>
    <w:bookmarkStart w:id="42" w:name="X040b17953cf144a6f16a037027ab79d1d28503b"/>
    <w:p>
      <w:pPr>
        <w:pStyle w:val="Heading2"/>
      </w:pPr>
      <w:r>
        <w:t xml:space="preserve">13. Boundaries, omissions, and points not proven</w:t>
      </w:r>
    </w:p>
    <w:p>
      <w:pPr>
        <w:pStyle w:val="FirstParagraph"/>
      </w:pPr>
      <w:r>
        <w:t xml:space="preserve">These are</w:t>
      </w:r>
      <w:r>
        <w:t xml:space="preserve"> </w:t>
      </w:r>
      <w:r>
        <w:rPr>
          <w:b/>
          <w:bCs/>
        </w:rPr>
        <w:t xml:space="preserve">limitations of what the uploaded code can establish</w:t>
      </w:r>
      <w:r>
        <w:t xml:space="preserve">, not claims that a particular installation is broken.</w:t>
      </w:r>
    </w:p>
    <w:p>
      <w:pPr>
        <w:pStyle w:val="Compact"/>
        <w:numPr>
          <w:ilvl w:val="0"/>
          <w:numId w:val="1003"/>
        </w:numPr>
      </w:pPr>
      <w:r>
        <w:rPr>
          <w:b/>
          <w:bCs/>
        </w:rPr>
        <w:t xml:space="preserve">No live source evidence:</w:t>
      </w:r>
      <w:r>
        <w:t xml:space="preserve"> </w:t>
      </w:r>
      <w:r>
        <w:t xml:space="preserve">The actual config file, installed drivers, servers, permissions, table definitions, row values and run outputs were not supplied.</w:t>
      </w:r>
    </w:p>
    <w:p>
      <w:pPr>
        <w:pStyle w:val="Compact"/>
        <w:numPr>
          <w:ilvl w:val="0"/>
          <w:numId w:val="1003"/>
        </w:numPr>
      </w:pPr>
      <w:r>
        <w:rPr>
          <w:b/>
          <w:bCs/>
        </w:rPr>
        <w:t xml:space="preserve">Not an external ETL job:</w:t>
      </w:r>
      <w:r>
        <w:t xml:space="preserve"> </w:t>
      </w:r>
      <w:r>
        <w:t xml:space="preserve">The shown code does not import source rows from a file, API or different table. It cannot establish where the table's pre-existing rows originally came from.</w:t>
      </w:r>
    </w:p>
    <w:p>
      <w:pPr>
        <w:pStyle w:val="Compact"/>
        <w:numPr>
          <w:ilvl w:val="0"/>
          <w:numId w:val="1003"/>
        </w:numPr>
      </w:pPr>
      <w:r>
        <w:rPr>
          <w:b/>
          <w:bCs/>
        </w:rPr>
        <w:t xml:space="preserve">Metadata context may matter:</w:t>
      </w:r>
      <w:r>
        <w:t xml:space="preserve"> </w:t>
      </w:r>
      <w:r>
        <w:t xml:space="preserve">SQL Server catalog checks use the configured connection database; the insert uses the constant</w:t>
      </w:r>
      <w:r>
        <w:t xml:space="preserve"> </w:t>
      </w:r>
      <w:r>
        <w:rPr>
          <w:rStyle w:val="VerbatimChar"/>
        </w:rPr>
        <w:t xml:space="preserve">LIQUIDITY</w:t>
      </w:r>
      <w:r>
        <w:t xml:space="preserve">. The config value is not visible here.</w:t>
      </w:r>
    </w:p>
    <w:p>
      <w:pPr>
        <w:pStyle w:val="Compact"/>
        <w:numPr>
          <w:ilvl w:val="0"/>
          <w:numId w:val="1003"/>
        </w:numPr>
      </w:pPr>
      <w:r>
        <w:rPr>
          <w:b/>
          <w:bCs/>
        </w:rPr>
        <w:t xml:space="preserve">Date constraints are limited:</w:t>
      </w:r>
      <w:r>
        <w:t xml:space="preserve"> </w:t>
      </w:r>
      <w:r>
        <w:t xml:space="preserve">A valid date and different source/target dates are required; chronology and business-day rules are not checked.</w:t>
      </w:r>
    </w:p>
    <w:p>
      <w:pPr>
        <w:pStyle w:val="Compact"/>
        <w:numPr>
          <w:ilvl w:val="0"/>
          <w:numId w:val="1003"/>
        </w:numPr>
      </w:pPr>
      <w:r>
        <w:rPr>
          <w:b/>
          <w:bCs/>
        </w:rPr>
        <w:t xml:space="preserve">Schema constraints remain external:</w:t>
      </w:r>
      <w:r>
        <w:t xml:space="preserve"> </w:t>
      </w:r>
      <w:r>
        <w:t xml:space="preserve">The code excludes certain column categories, but it does not guarantee that all inserts will succeed against every actual SQL Server schema/constraint.</w:t>
      </w:r>
    </w:p>
    <w:p>
      <w:pPr>
        <w:pStyle w:val="Compact"/>
        <w:numPr>
          <w:ilvl w:val="0"/>
          <w:numId w:val="1003"/>
        </w:numPr>
      </w:pPr>
      <w:r>
        <w:rPr>
          <w:b/>
          <w:bCs/>
        </w:rPr>
        <w:t xml:space="preserve">No strict post-insert equality:</w:t>
      </w:r>
      <w:r>
        <w:t xml:space="preserve"> </w:t>
      </w:r>
      <w:r>
        <w:t xml:space="preserve">The minimum-count rule accepts values</w:t>
      </w:r>
      <w:r>
        <w:t xml:space="preserve"> </w:t>
      </w:r>
      <w:r>
        <w:rPr>
          <w:b/>
          <w:bCs/>
        </w:rPr>
        <w:t xml:space="preserve">greater than</w:t>
      </w:r>
      <w:r>
        <w:t xml:space="preserve"> </w:t>
      </w:r>
      <w:r>
        <w:t xml:space="preserve">the source count.</w:t>
      </w:r>
    </w:p>
    <w:p>
      <w:pPr>
        <w:pStyle w:val="Compact"/>
        <w:numPr>
          <w:ilvl w:val="0"/>
          <w:numId w:val="1003"/>
        </w:numPr>
      </w:pPr>
      <w:r>
        <w:rPr>
          <w:b/>
          <w:bCs/>
        </w:rPr>
        <w:t xml:space="preserve">No content-level reconciliation:</w:t>
      </w:r>
      <w:r>
        <w:t xml:space="preserve"> </w:t>
      </w:r>
      <w:r>
        <w:t xml:space="preserve">The code contains no row-wise comparison of source and destination, no business-key comparison and no checksum.</w:t>
      </w:r>
    </w:p>
    <w:p>
      <w:pPr>
        <w:pStyle w:val="Compact"/>
        <w:numPr>
          <w:ilvl w:val="0"/>
          <w:numId w:val="1003"/>
        </w:numPr>
      </w:pPr>
      <w:r>
        <w:rPr>
          <w:b/>
          <w:bCs/>
        </w:rPr>
        <w:t xml:space="preserve">No explicit concurrency locking:</w:t>
      </w:r>
      <w:r>
        <w:t xml:space="preserve"> </w:t>
      </w:r>
      <w:r>
        <w:t xml:space="preserve">The Python logic checks that the target is empty, but does not explicitly acquire a target-date lock to exclude other writers. This absence is not evidence of an actual race.</w:t>
      </w:r>
    </w:p>
    <w:p>
      <w:pPr>
        <w:pStyle w:val="Compact"/>
        <w:numPr>
          <w:ilvl w:val="0"/>
          <w:numId w:val="1003"/>
        </w:numPr>
      </w:pPr>
      <w:r>
        <w:rPr>
          <w:b/>
          <w:bCs/>
        </w:rPr>
        <w:t xml:space="preserve">Logging is console-based:</w:t>
      </w:r>
      <w:r>
        <w:t xml:space="preserve"> </w:t>
      </w:r>
      <w:r>
        <w:t xml:space="preserve">The script creates a stream handler and prints to stdout; no log file, scheduler, notification integration or monitoring backend is defined.</w:t>
      </w:r>
    </w:p>
    <w:p>
      <w:pPr>
        <w:pStyle w:val="Compact"/>
        <w:numPr>
          <w:ilvl w:val="0"/>
          <w:numId w:val="1003"/>
        </w:numPr>
      </w:pPr>
      <w:r>
        <w:rPr>
          <w:b/>
          <w:bCs/>
        </w:rPr>
        <w:t xml:space="preserve">One run = one approved table/date pair:</w:t>
      </w:r>
      <w:r>
        <w:t xml:space="preserve"> </w:t>
      </w:r>
      <w:r>
        <w:t xml:space="preserve">There is no built-in iteration over all 12 tables or a date range.</w:t>
      </w:r>
    </w:p>
    <w:p>
      <w:pPr>
        <w:pStyle w:val="Compact"/>
        <w:numPr>
          <w:ilvl w:val="0"/>
          <w:numId w:val="1003"/>
        </w:numPr>
      </w:pPr>
      <w:r>
        <w:rPr>
          <w:b/>
          <w:bCs/>
        </w:rPr>
        <w:t xml:space="preserve">Execution enabled still shows the preview first:</w:t>
      </w:r>
      <w:r>
        <w:t xml:space="preserve"> </w:t>
      </w:r>
      <w:r>
        <w:t xml:space="preserve">The</w:t>
      </w:r>
      <w:r>
        <w:t xml:space="preserve"> </w:t>
      </w:r>
      <w:r>
        <w:rPr>
          <w:rStyle w:val="VerbatimChar"/>
        </w:rPr>
        <w:t xml:space="preserve">MODE: PREVIEW</w:t>
      </w:r>
      <w:r>
        <w:t xml:space="preserve"> </w:t>
      </w:r>
      <w:r>
        <w:t xml:space="preserve">message is printed in both execution modes, before the optional insert starts.</w:t>
      </w:r>
    </w:p>
    <w:p>
      <w:pPr>
        <w:pStyle w:val="FirstParagraph"/>
      </w:pPr>
      <w:r>
        <w:rPr>
          <w:b/>
          <w:bCs/>
        </w:rPr>
        <w:t xml:space="preserve">Evidence:</w:t>
      </w:r>
      <w:r>
        <w:t xml:space="preserve"> </w:t>
      </w:r>
      <w:r>
        <w:t xml:space="preserve">code sections listed above, primarily lines 12–29, 47–100, 129–235, 246–274, 277–420.</w:t>
      </w:r>
    </w:p>
    <w:bookmarkEnd w:id="42"/>
    <w:bookmarkStart w:id="43" w:name="X516e1d3af560101b0a3a47664122f2c30eb8fda"/>
    <w:p>
      <w:pPr>
        <w:pStyle w:val="Heading2"/>
      </w:pPr>
      <w:r>
        <w:t xml:space="preserve">14. Plain-English glossary</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Term</w:t>
            </w:r>
          </w:p>
        </w:tc>
        <w:tc>
          <w:tcPr>
            <w:vAlign w:val="center"/>
            <w:tcMar>
              <w:top w:w="65" w:type="dxa"/>
              <w:left w:w="65" w:type="dxa"/>
              <w:bottom w:w="65" w:type="dxa"/>
              <w:right w:w="65" w:type="dxa"/>
            </w:tcMar>
            <w:shd w:fill="174C6C"/>
          </w:tcPr>
          <w:p>
            <w:pPr>
              <w:pStyle w:val="Compact"/>
              <w:spacing w:after="20" w:before="20"/>
              <w:jc w:val="left"/>
            </w:pPr>
            <w:r>
              <w:rPr>
                <w:b/>
                <w:color w:val="FFFFFF"/>
                <w:sz w:val="15"/>
              </w:rPr>
              <w:t xml:space="preserve">Meaning here</w:t>
            </w:r>
          </w:p>
        </w:tc>
      </w:tr>
      <w:tr>
        <w:tc>
          <w:tcPr>
            <w:vAlign w:val="center"/>
            <w:tcMar>
              <w:top w:w="65" w:type="dxa"/>
              <w:left w:w="65" w:type="dxa"/>
              <w:bottom w:w="65" w:type="dxa"/>
              <w:right w:w="65" w:type="dxa"/>
            </w:tcMar>
          </w:tcPr>
          <w:p>
            <w:pPr>
              <w:pStyle w:val="Compact"/>
              <w:spacing w:after="20" w:before="20"/>
              <w:jc w:val="left"/>
            </w:pPr>
            <w:r>
              <w:rPr>
                <w:b/>
                <w:bCs/>
                <w:sz w:val="15"/>
              </w:rPr>
              <w:t xml:space="preserve">Backfill</w:t>
            </w:r>
          </w:p>
        </w:tc>
        <w:tc>
          <w:tcPr>
            <w:vAlign w:val="center"/>
            <w:tcMar>
              <w:top w:w="65" w:type="dxa"/>
              <w:left w:w="65" w:type="dxa"/>
              <w:bottom w:w="65" w:type="dxa"/>
              <w:right w:w="65" w:type="dxa"/>
            </w:tcMar>
          </w:tcPr>
          <w:p>
            <w:pPr>
              <w:pStyle w:val="Compact"/>
              <w:spacing w:after="20" w:before="20"/>
              <w:jc w:val="left"/>
            </w:pPr>
            <w:r>
              <w:rPr>
                <w:sz w:val="15"/>
              </w:rPr>
              <w:t xml:space="preserve">Creating records for a requested date by copying existing records for another date.</w:t>
            </w:r>
          </w:p>
        </w:tc>
      </w:tr>
      <w:tr>
        <w:tc>
          <w:tcPr>
            <w:vAlign w:val="center"/>
            <w:tcMar>
              <w:top w:w="65" w:type="dxa"/>
              <w:left w:w="65" w:type="dxa"/>
              <w:bottom w:w="65" w:type="dxa"/>
              <w:right w:w="65" w:type="dxa"/>
            </w:tcMar>
            <w:shd w:fill="EFF4F8"/>
          </w:tcPr>
          <w:p>
            <w:pPr>
              <w:pStyle w:val="Compact"/>
              <w:spacing w:after="20" w:before="20"/>
              <w:jc w:val="left"/>
            </w:pPr>
            <w:r>
              <w:rPr>
                <w:b/>
                <w:bCs/>
                <w:sz w:val="15"/>
              </w:rPr>
              <w:t xml:space="preserve">Source date</w:t>
            </w:r>
          </w:p>
        </w:tc>
        <w:tc>
          <w:tcPr>
            <w:vAlign w:val="center"/>
            <w:tcMar>
              <w:top w:w="65" w:type="dxa"/>
              <w:left w:w="65" w:type="dxa"/>
              <w:bottom w:w="65" w:type="dxa"/>
              <w:right w:w="65" w:type="dxa"/>
            </w:tcMar>
            <w:shd w:fill="EFF4F8"/>
          </w:tcPr>
          <w:p>
            <w:pPr>
              <w:pStyle w:val="Compact"/>
              <w:spacing w:after="20" w:before="20"/>
              <w:jc w:val="left"/>
            </w:pPr>
            <w:r>
              <w:rPr>
                <w:sz w:val="15"/>
              </w:rPr>
              <w:t xml:space="preserve">Date used to select which existing records to copy.</w:t>
            </w:r>
          </w:p>
        </w:tc>
      </w:tr>
      <w:tr>
        <w:tc>
          <w:tcPr>
            <w:vAlign w:val="center"/>
            <w:tcMar>
              <w:top w:w="65" w:type="dxa"/>
              <w:left w:w="65" w:type="dxa"/>
              <w:bottom w:w="65" w:type="dxa"/>
              <w:right w:w="65" w:type="dxa"/>
            </w:tcMar>
          </w:tcPr>
          <w:p>
            <w:pPr>
              <w:pStyle w:val="Compact"/>
              <w:spacing w:after="20" w:before="20"/>
              <w:jc w:val="left"/>
            </w:pPr>
            <w:r>
              <w:rPr>
                <w:b/>
                <w:bCs/>
                <w:sz w:val="15"/>
              </w:rPr>
              <w:t xml:space="preserve">Target date</w:t>
            </w:r>
          </w:p>
        </w:tc>
        <w:tc>
          <w:tcPr>
            <w:vAlign w:val="center"/>
            <w:tcMar>
              <w:top w:w="65" w:type="dxa"/>
              <w:left w:w="65" w:type="dxa"/>
              <w:bottom w:w="65" w:type="dxa"/>
              <w:right w:w="65" w:type="dxa"/>
            </w:tcMar>
          </w:tcPr>
          <w:p>
            <w:pPr>
              <w:pStyle w:val="Compact"/>
              <w:spacing w:after="20" w:before="20"/>
              <w:jc w:val="left"/>
            </w:pPr>
            <w:r>
              <w:rPr>
                <w:sz w:val="15"/>
              </w:rPr>
              <w:t xml:space="preserve">Date placed into new records.</w:t>
            </w:r>
          </w:p>
        </w:tc>
      </w:tr>
      <w:tr>
        <w:tc>
          <w:tcPr>
            <w:vAlign w:val="center"/>
            <w:tcMar>
              <w:top w:w="65" w:type="dxa"/>
              <w:left w:w="65" w:type="dxa"/>
              <w:bottom w:w="65" w:type="dxa"/>
              <w:right w:w="65" w:type="dxa"/>
            </w:tcMar>
            <w:shd w:fill="EFF4F8"/>
          </w:tcPr>
          <w:p>
            <w:pPr>
              <w:pStyle w:val="Compact"/>
              <w:spacing w:after="20" w:before="20"/>
              <w:jc w:val="left"/>
            </w:pPr>
            <w:r>
              <w:rPr>
                <w:b/>
                <w:bCs/>
                <w:sz w:val="15"/>
              </w:rPr>
              <w:t xml:space="preserve">Metadata</w:t>
            </w:r>
          </w:p>
        </w:tc>
        <w:tc>
          <w:tcPr>
            <w:vAlign w:val="center"/>
            <w:tcMar>
              <w:top w:w="65" w:type="dxa"/>
              <w:left w:w="65" w:type="dxa"/>
              <w:bottom w:w="65" w:type="dxa"/>
              <w:right w:w="65" w:type="dxa"/>
            </w:tcMar>
            <w:shd w:fill="EFF4F8"/>
          </w:tcPr>
          <w:p>
            <w:pPr>
              <w:pStyle w:val="Compact"/>
              <w:spacing w:after="20" w:before="20"/>
              <w:jc w:val="left"/>
            </w:pPr>
            <w:r>
              <w:rPr>
                <w:sz w:val="15"/>
              </w:rPr>
              <w:t xml:space="preserve">Information SQL Server reports about the columns in a table.</w:t>
            </w:r>
          </w:p>
        </w:tc>
      </w:tr>
      <w:tr>
        <w:tc>
          <w:tcPr>
            <w:vAlign w:val="center"/>
            <w:tcMar>
              <w:top w:w="65" w:type="dxa"/>
              <w:left w:w="65" w:type="dxa"/>
              <w:bottom w:w="65" w:type="dxa"/>
              <w:right w:w="65" w:type="dxa"/>
            </w:tcMar>
          </w:tcPr>
          <w:p>
            <w:pPr>
              <w:pStyle w:val="Compact"/>
              <w:spacing w:after="20" w:before="20"/>
              <w:jc w:val="left"/>
            </w:pPr>
            <w:r>
              <w:rPr>
                <w:b/>
                <w:bCs/>
                <w:sz w:val="15"/>
              </w:rPr>
              <w:t xml:space="preserve">ODBC /</w:t>
            </w:r>
            <w:r>
              <w:rPr>
                <w:b/>
                <w:bCs/>
                <w:sz w:val="15"/>
              </w:rPr>
              <w:t xml:space="preserve"> </w:t>
            </w:r>
            <w:r>
              <w:rPr>
                <w:rStyle w:val="VerbatimChar"/>
                <w:b/>
                <w:bCs/>
                <w:sz w:val="15"/>
              </w:rPr>
              <w:t xml:space="preserve">pyodbc</w:t>
            </w:r>
          </w:p>
        </w:tc>
        <w:tc>
          <w:tcPr>
            <w:vAlign w:val="center"/>
            <w:tcMar>
              <w:top w:w="65" w:type="dxa"/>
              <w:left w:w="65" w:type="dxa"/>
              <w:bottom w:w="65" w:type="dxa"/>
              <w:right w:w="65" w:type="dxa"/>
            </w:tcMar>
          </w:tcPr>
          <w:p>
            <w:pPr>
              <w:pStyle w:val="Compact"/>
              <w:spacing w:after="20" w:before="20"/>
              <w:jc w:val="left"/>
            </w:pPr>
            <w:r>
              <w:rPr>
                <w:sz w:val="15"/>
              </w:rPr>
              <w:t xml:space="preserve">Driver mechanism and Python package used to connect to SQL Server.</w:t>
            </w:r>
          </w:p>
        </w:tc>
      </w:tr>
      <w:tr>
        <w:tc>
          <w:tcPr>
            <w:vAlign w:val="center"/>
            <w:tcMar>
              <w:top w:w="65" w:type="dxa"/>
              <w:left w:w="65" w:type="dxa"/>
              <w:bottom w:w="65" w:type="dxa"/>
              <w:right w:w="65" w:type="dxa"/>
            </w:tcMar>
            <w:shd w:fill="EFF4F8"/>
          </w:tcPr>
          <w:p>
            <w:pPr>
              <w:pStyle w:val="Compact"/>
              <w:spacing w:after="20" w:before="20"/>
              <w:jc w:val="left"/>
            </w:pPr>
            <w:r>
              <w:rPr>
                <w:b/>
                <w:bCs/>
                <w:sz w:val="15"/>
              </w:rPr>
              <w:t xml:space="preserve">Preview</w:t>
            </w:r>
          </w:p>
        </w:tc>
        <w:tc>
          <w:tcPr>
            <w:vAlign w:val="center"/>
            <w:tcMar>
              <w:top w:w="65" w:type="dxa"/>
              <w:left w:w="65" w:type="dxa"/>
              <w:bottom w:w="65" w:type="dxa"/>
              <w:right w:w="65" w:type="dxa"/>
            </w:tcMar>
            <w:shd w:fill="EFF4F8"/>
          </w:tcPr>
          <w:p>
            <w:pPr>
              <w:pStyle w:val="Compact"/>
              <w:spacing w:after="20" w:before="20"/>
              <w:jc w:val="left"/>
            </w:pPr>
            <w:r>
              <w:rPr>
                <w:sz w:val="15"/>
              </w:rPr>
              <w:t xml:space="preserve">Reads and checks information, prints proposed SQL; omitting</w:t>
            </w:r>
            <w:r>
              <w:rPr>
                <w:sz w:val="15"/>
              </w:rPr>
              <w:t xml:space="preserve"> </w:t>
            </w:r>
            <w:r>
              <w:rPr>
                <w:rStyle w:val="VerbatimChar"/>
                <w:sz w:val="15"/>
              </w:rPr>
              <w:t xml:space="preserve">--EXECUTE</w:t>
            </w:r>
            <w:r>
              <w:rPr>
                <w:sz w:val="15"/>
              </w:rPr>
              <w:t xml:space="preserve"> </w:t>
            </w:r>
            <w:r>
              <w:rPr>
                <w:sz w:val="15"/>
              </w:rPr>
              <w:t xml:space="preserve">prevents the insert branch.</w:t>
            </w:r>
          </w:p>
        </w:tc>
      </w:tr>
      <w:tr>
        <w:tc>
          <w:tcPr>
            <w:vAlign w:val="center"/>
            <w:tcMar>
              <w:top w:w="65" w:type="dxa"/>
              <w:left w:w="65" w:type="dxa"/>
              <w:bottom w:w="65" w:type="dxa"/>
              <w:right w:w="65" w:type="dxa"/>
            </w:tcMar>
          </w:tcPr>
          <w:p>
            <w:pPr>
              <w:pStyle w:val="Compact"/>
              <w:spacing w:after="20" w:before="20"/>
              <w:jc w:val="left"/>
            </w:pPr>
            <w:r>
              <w:rPr>
                <w:b/>
                <w:bCs/>
                <w:sz w:val="15"/>
              </w:rPr>
              <w:t xml:space="preserve">Transaction</w:t>
            </w:r>
          </w:p>
        </w:tc>
        <w:tc>
          <w:tcPr>
            <w:vAlign w:val="center"/>
            <w:tcMar>
              <w:top w:w="65" w:type="dxa"/>
              <w:left w:w="65" w:type="dxa"/>
              <w:bottom w:w="65" w:type="dxa"/>
              <w:right w:w="65" w:type="dxa"/>
            </w:tcMar>
          </w:tcPr>
          <w:p>
            <w:pPr>
              <w:pStyle w:val="Compact"/>
              <w:spacing w:after="20" w:before="20"/>
              <w:jc w:val="left"/>
            </w:pPr>
            <w:r>
              <w:rPr>
                <w:sz w:val="15"/>
              </w:rPr>
              <w:t xml:space="preserve">Database work that can be committed when checks pass or rolled back on caught errors.</w:t>
            </w:r>
          </w:p>
        </w:tc>
      </w:tr>
      <w:tr>
        <w:tc>
          <w:tcPr>
            <w:vAlign w:val="center"/>
            <w:tcMar>
              <w:top w:w="65" w:type="dxa"/>
              <w:left w:w="65" w:type="dxa"/>
              <w:bottom w:w="65" w:type="dxa"/>
              <w:right w:w="65" w:type="dxa"/>
            </w:tcMar>
            <w:shd w:fill="EFF4F8"/>
          </w:tcPr>
          <w:p>
            <w:pPr>
              <w:pStyle w:val="Compact"/>
              <w:spacing w:after="20" w:before="20"/>
              <w:jc w:val="left"/>
            </w:pPr>
            <w:r>
              <w:rPr>
                <w:b/>
                <w:bCs/>
                <w:sz w:val="15"/>
              </w:rPr>
              <w:t xml:space="preserve">Identity column</w:t>
            </w:r>
          </w:p>
        </w:tc>
        <w:tc>
          <w:tcPr>
            <w:vAlign w:val="center"/>
            <w:tcMar>
              <w:top w:w="65" w:type="dxa"/>
              <w:left w:w="65" w:type="dxa"/>
              <w:bottom w:w="65" w:type="dxa"/>
              <w:right w:w="65" w:type="dxa"/>
            </w:tcMar>
            <w:shd w:fill="EFF4F8"/>
          </w:tcPr>
          <w:p>
            <w:pPr>
              <w:pStyle w:val="Compact"/>
              <w:spacing w:after="20" w:before="20"/>
              <w:jc w:val="left"/>
            </w:pPr>
            <w:r>
              <w:rPr>
                <w:sz w:val="15"/>
              </w:rPr>
              <w:t xml:space="preserve">SQL Server-generated identity field the script excludes from the copied insert-column list.</w:t>
            </w:r>
          </w:p>
        </w:tc>
      </w:tr>
      <w:tr>
        <w:tc>
          <w:tcPr>
            <w:vAlign w:val="center"/>
            <w:tcMar>
              <w:top w:w="65" w:type="dxa"/>
              <w:left w:w="65" w:type="dxa"/>
              <w:bottom w:w="65" w:type="dxa"/>
              <w:right w:w="65" w:type="dxa"/>
            </w:tcMar>
          </w:tcPr>
          <w:p>
            <w:pPr>
              <w:pStyle w:val="Compact"/>
              <w:spacing w:after="20" w:before="20"/>
              <w:jc w:val="left"/>
            </w:pPr>
            <w:r>
              <w:rPr>
                <w:b/>
                <w:bCs/>
                <w:sz w:val="15"/>
              </w:rPr>
              <w:t xml:space="preserve">Rowversion</w:t>
            </w:r>
          </w:p>
        </w:tc>
        <w:tc>
          <w:tcPr>
            <w:vAlign w:val="center"/>
            <w:tcMar>
              <w:top w:w="65" w:type="dxa"/>
              <w:left w:w="65" w:type="dxa"/>
              <w:bottom w:w="65" w:type="dxa"/>
              <w:right w:w="65" w:type="dxa"/>
            </w:tcMar>
          </w:tcPr>
          <w:p>
            <w:pPr>
              <w:pStyle w:val="Compact"/>
              <w:spacing w:after="20" w:before="20"/>
              <w:jc w:val="left"/>
            </w:pPr>
            <w:r>
              <w:rPr>
                <w:sz w:val="15"/>
              </w:rPr>
              <w:t xml:space="preserve">SQL Server</w:t>
            </w:r>
            <w:r>
              <w:rPr>
                <w:sz w:val="15"/>
              </w:rPr>
              <w:t xml:space="preserve"> </w:t>
            </w:r>
            <w:r>
              <w:rPr>
                <w:rStyle w:val="VerbatimChar"/>
                <w:sz w:val="15"/>
              </w:rPr>
              <w:t xml:space="preserve">timestamp</w:t>
            </w:r>
            <w:r>
              <w:rPr>
                <w:sz w:val="15"/>
              </w:rPr>
              <w:t xml:space="preserve">-type category excluded from the explicit insert-column list.</w:t>
            </w:r>
          </w:p>
        </w:tc>
      </w:tr>
    </w:tbl>
    <w:bookmarkEnd w:id="43"/>
    <w:bookmarkStart w:id="44" w:name="X05d68974ac742f2b516188adda28a6054cb0296"/>
    <w:p>
      <w:pPr>
        <w:pStyle w:val="Heading2"/>
      </w:pPr>
      <w:r>
        <w:t xml:space="preserve">15. Evidence register and final conclusion</w:t>
      </w:r>
    </w:p>
    <w:p>
      <w:pPr>
        <w:pStyle w:val="FirstParagraph"/>
      </w:pPr>
      <w:r>
        <w:rPr>
          <w:b/>
          <w:bCs/>
        </w:rPr>
        <w:t xml:space="preserve">Directly examined:</w:t>
      </w:r>
      <w:r>
        <w:t xml:space="preserve"> </w:t>
      </w:r>
      <w:r>
        <w:rPr>
          <w:rStyle w:val="VerbatimChar"/>
        </w:rPr>
        <w:t xml:space="preserve">Pasted text(7).txt</w:t>
      </w:r>
      <w:r>
        <w:t xml:space="preserve">, the entire supplied 420-line Python script. All source-line locations above refer to that file. No external documentation or inaccessible system has been represented as verified evidence.</w:t>
      </w:r>
    </w:p>
    <w:p>
      <w:pPr>
        <w:pStyle w:val="BodyText"/>
      </w:pPr>
      <w:r>
        <w:rPr>
          <w:b/>
          <w:bCs/>
        </w:rPr>
        <w:t xml:space="preserve">Not examined:</w:t>
      </w:r>
      <w:r>
        <w:t xml:space="preserve"> </w:t>
      </w:r>
      <w:r>
        <w:t xml:space="preserve">INI contents, live database system catalog results, real record counts, stored procedures, deployment configuration, runtime logs, or a witnessed execution.</w:t>
      </w:r>
    </w:p>
    <w:p>
      <w:pPr>
        <w:pStyle w:val="BodyText"/>
      </w:pPr>
      <w:r>
        <w:rPr>
          <w:b/>
          <w:bCs/>
        </w:rPr>
        <w:t xml:space="preserve">Conclusion:</w:t>
      </w:r>
      <w:r>
        <w:t xml:space="preserve"> </w:t>
      </w:r>
      <w:r>
        <w:t xml:space="preserve">The code implements a one-table, one-date-pair, metadata-driven SQL Server backfill with pre-insert checks, a non-writing default preview, explicit opt-in execution, and a target-row-count threshold before commit. Its exact live effects cannot be certified without runtime and database evidence.</w:t>
      </w:r>
    </w:p>
    <w:bookmarkEnd w:id="44"/>
    <w:bookmarkEnd w:id="45"/>
    <w:sectPr>
      <w:headerReference w:type="default" r:id="rId10"/>
      <w:footerReference w:type="default" r:id="rId11"/>
      <w:pgMar w:top="1066" w:bottom="965" w:left="1037" w:right="1037" w:header="490" w:footer="4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Source: supplied Python script  ·  19 Oct 2026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3C5C77"/>
        <w:sz w:val="16"/>
      </w:rPr>
      <w:t>PYTHON DATA BACKFILL  /  CODE-VERIFIED GUIDE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4" w:lineRule="auto"/>
    </w:pPr>
    <w:rPr>
      <w:rFonts w:ascii="Aptos" w:hAnsi="Aptos"/>
      <w:color w:val="273643"/>
      <w:sz w:val="18"/>
    </w:rPr>
  </w:style>
  <w:style w:styleId="BodyText" w:type="paragraph">
    <w:name w:val="Body Text"/>
    <w:basedOn w:val="Normal"/>
    <w:link w:val="BodyTextChar"/>
    <w:qFormat/>
    <w:pPr>
      <w:spacing w:after="100" w:before="180" w:line="264" w:lineRule="auto"/>
    </w:pPr>
    <w:rPr>
      <w:rFonts w:ascii="Aptos" w:hAnsi="Aptos"/>
      <w:color w:val="273643"/>
      <w:sz w:val="18"/>
    </w:rPr>
  </w:style>
  <w:style w:customStyle="1" w:styleId="FirstParagraph" w:type="paragraph">
    <w:name w:val="First Paragraph"/>
    <w:basedOn w:val="BodyText"/>
    <w:next w:val="BodyText"/>
    <w:qFormat/>
    <w:pPr>
      <w:spacing w:after="100" w:line="264" w:lineRule="auto"/>
    </w:pPr>
    <w:rPr>
      <w:rFonts w:ascii="Aptos" w:hAnsi="Aptos"/>
      <w:color w:val="273643"/>
      <w:sz w:val="18"/>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00" w:before="60"/>
      <w:jc w:val="center"/>
    </w:pPr>
    <w:rPr>
      <w:rFonts w:asciiTheme="majorHAnsi" w:cstheme="majorBidi" w:eastAsiaTheme="majorEastAsia" w:hAnsiTheme="majorHAnsi" w:ascii="Aptos Display" w:hAnsi="Aptos Display"/>
      <w:b/>
      <w:bCs/>
      <w:color w:val="12314C"/>
      <w:sz w:val="4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320"/>
      <w:outlineLvl w:val="0"/>
    </w:pPr>
    <w:rPr>
      <w:rFonts w:asciiTheme="majorHAnsi" w:cstheme="majorBidi" w:eastAsiaTheme="majorEastAsia" w:hAnsiTheme="majorHAnsi" w:ascii="Aptos Display" w:hAnsi="Aptos Display"/>
      <w:b/>
      <w:bCs/>
      <w:color w:val="173F5F"/>
      <w:sz w:val="30"/>
      <w:szCs w:val="32"/>
    </w:rPr>
  </w:style>
  <w:style w:styleId="Heading2" w:type="paragraph">
    <w:name w:val="Heading 2"/>
    <w:basedOn w:val="Normal"/>
    <w:next w:val="BodyText"/>
    <w:uiPriority w:val="9"/>
    <w:unhideWhenUsed/>
    <w:qFormat/>
    <w:pPr>
      <w:keepNext/>
      <w:keepLines/>
      <w:spacing w:after="120" w:before="280"/>
      <w:outlineLvl w:val="1"/>
    </w:pPr>
    <w:rPr>
      <w:rFonts w:asciiTheme="majorHAnsi" w:cstheme="majorBidi" w:eastAsiaTheme="majorEastAsia" w:hAnsiTheme="majorHAnsi" w:ascii="Aptos Display" w:hAnsi="Aptos Display"/>
      <w:b/>
      <w:bCs/>
      <w:color w:val="1E4B6B"/>
      <w:sz w:val="25"/>
      <w:szCs w:val="28"/>
    </w:rPr>
  </w:style>
  <w:style w:styleId="Heading3" w:type="paragraph">
    <w:name w:val="Heading 3"/>
    <w:basedOn w:val="Normal"/>
    <w:next w:val="BodyText"/>
    <w:uiPriority w:val="9"/>
    <w:unhideWhenUsed/>
    <w:qFormat/>
    <w:pPr>
      <w:keepNext/>
      <w:keepLines/>
      <w:spacing w:after="80" w:before="200"/>
      <w:outlineLvl w:val="2"/>
    </w:pPr>
    <w:rPr>
      <w:rFonts w:asciiTheme="majorHAnsi" w:cstheme="majorBidi" w:eastAsiaTheme="majorEastAsia" w:hAnsiTheme="majorHAnsi" w:ascii="Aptos Display" w:hAnsi="Aptos Display"/>
      <w:b/>
      <w:bCs/>
      <w:color w:val="1E4B6B"/>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254150"/>
      <w:sz w:val="1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olor w:val="254150"/>
      <w:sz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Data Backfill Automation — Code-Verified Guide</dc:title>
  <dc:creator/>
  <cp:keywords>Python, pyodbc, SQL Server, backfill, code walkthrough</cp:keywords>
  <dcterms:created xsi:type="dcterms:W3CDTF">2026-10-19T12:41:26Z</dcterms:created>
  <dcterms:modified xsi:type="dcterms:W3CDTF">2026-10-19T12:41:26Z</dcterms:modified>
  <dc:subject>Source-grounded Python and SQL Server backfill documentation</dc:subject>
</cp:coreProperties>
</file>

<file path=docProps/custom.xml><?xml version="1.0" encoding="utf-8"?>
<Properties xmlns="http://schemas.openxmlformats.org/officeDocument/2006/custom-properties" xmlns:vt="http://schemas.openxmlformats.org/officeDocument/2006/docPropsVTypes"/>
</file>