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pPr>
      <w:r>
        <w:rPr>
          <w:rFonts w:hint="eastAsia"/>
          <w:b/>
          <w:bCs/>
        </w:rPr>
        <w:t>灵活就业人员专利</w:t>
      </w:r>
    </w:p>
    <w:p>
      <w:pPr>
        <w:ind w:firstLine="0" w:firstLineChars="0"/>
      </w:pPr>
    </w:p>
    <w:p>
      <w:pPr>
        <w:ind w:firstLine="0" w:firstLineChars="0"/>
      </w:pPr>
      <w:r>
        <w:drawing>
          <wp:inline distT="0" distB="0" distL="0" distR="0">
            <wp:extent cx="4678680" cy="76962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679085" cy="769687"/>
                    </a:xfrm>
                    <a:prstGeom prst="rect">
                      <a:avLst/>
                    </a:prstGeom>
                  </pic:spPr>
                </pic:pic>
              </a:graphicData>
            </a:graphic>
          </wp:inline>
        </w:drawing>
      </w:r>
    </w:p>
    <w:p>
      <w:pPr>
        <w:ind w:firstLine="0" w:firstLineChars="0"/>
      </w:pPr>
      <w:r>
        <w:rPr>
          <w:rFonts w:hint="eastAsia"/>
          <w:b/>
          <w:bCs/>
        </w:rPr>
        <w:t>策略</w:t>
      </w:r>
      <w:r>
        <w:rPr>
          <w:rFonts w:hint="eastAsia"/>
        </w:rPr>
        <w:t>：两步法+</w:t>
      </w:r>
      <w:r>
        <w:t>PU B</w:t>
      </w:r>
      <w:r>
        <w:rPr>
          <w:rFonts w:hint="eastAsia"/>
        </w:rPr>
        <w:t>agging</w:t>
      </w:r>
    </w:p>
    <w:p>
      <w:pPr>
        <w:ind w:firstLine="0" w:firstLineChars="0"/>
      </w:pPr>
      <w:r>
        <w:rPr>
          <w:rFonts w:hint="eastAsia"/>
          <w:b/>
          <w:bCs/>
        </w:rPr>
        <w:t>学习模型</w:t>
      </w:r>
      <w:r>
        <w:rPr>
          <w:rFonts w:hint="eastAsia"/>
        </w:rPr>
        <w:t>：逻辑回归，决策树</w:t>
      </w:r>
    </w:p>
    <w:p>
      <w:pPr>
        <w:ind w:firstLine="0" w:firstLineChars="0"/>
      </w:pPr>
      <w:r>
        <w:rPr>
          <w:rFonts w:hint="eastAsia"/>
          <w:b/>
          <w:bCs/>
        </w:rPr>
        <w:t>结合多方的角度</w:t>
      </w:r>
      <w:r>
        <w:rPr>
          <w:rFonts w:hint="eastAsia"/>
        </w:rPr>
        <w:t xml:space="preserve">：公积金方 </w:t>
      </w:r>
      <w:r>
        <w:t>A</w:t>
      </w:r>
      <w:r>
        <w:rPr>
          <w:rFonts w:hint="eastAsia"/>
        </w:rPr>
        <w:t xml:space="preserve">方（+，？），人力资源局 </w:t>
      </w:r>
      <w:r>
        <w:t>B</w:t>
      </w:r>
      <w:r>
        <w:rPr>
          <w:rFonts w:hint="eastAsia"/>
        </w:rPr>
        <w:t>方（？）</w:t>
      </w:r>
    </w:p>
    <w:p>
      <w:pPr>
        <w:ind w:firstLine="0" w:firstLineChars="0"/>
      </w:pPr>
      <w:r>
        <w:tab/>
      </w:r>
      <w:r>
        <w:tab/>
      </w:r>
      <w:r>
        <w:tab/>
      </w:r>
      <w:r>
        <w:tab/>
      </w:r>
      <w:r>
        <w:tab/>
      </w:r>
      <w:r>
        <w:t>+</w:t>
      </w:r>
      <w:r>
        <w:rPr>
          <w:rFonts w:hint="eastAsia"/>
        </w:rPr>
        <w:t>：正例(</w:t>
      </w:r>
      <w:r>
        <w:t xml:space="preserve">positive) </w:t>
      </w:r>
      <w:r>
        <w:rPr>
          <w:rFonts w:hint="eastAsia"/>
        </w:rPr>
        <w:t>？：未标记样本(</w:t>
      </w:r>
      <w:r>
        <w:t>unlabeled)</w:t>
      </w:r>
    </w:p>
    <w:p>
      <w:pPr>
        <w:ind w:firstLine="0" w:firstLineChars="0"/>
      </w:pPr>
    </w:p>
    <w:p>
      <w:pPr>
        <w:ind w:firstLine="480"/>
        <w:textAlignment w:val="center"/>
        <w:rPr>
          <w:rFonts w:hAnsi="宋体"/>
          <w:kern w:val="0"/>
        </w:rPr>
      </w:pPr>
      <w:r>
        <w:rPr>
          <w:rFonts w:hint="eastAsia" w:hAnsi="宋体"/>
          <w:kern w:val="0"/>
        </w:rPr>
        <w:t>S</w:t>
      </w:r>
      <w:r>
        <w:rPr>
          <w:rFonts w:hAnsi="宋体"/>
          <w:kern w:val="0"/>
        </w:rPr>
        <w:t>1</w:t>
      </w:r>
      <w:r>
        <w:rPr>
          <w:rFonts w:hint="eastAsia" w:hAnsi="宋体"/>
          <w:kern w:val="0"/>
        </w:rPr>
        <w:t>：对灵活就业人员多方数据源进行预处理，建立基于多方的灵活就业人员特征数据集；使用公积金中心数据集，包括是否缴纳公积金数据，作为联邦学习参与方A方；使用房管数据源，获取房管数据，包括，作为联邦学习参与方</w:t>
      </w:r>
      <w:r>
        <w:rPr>
          <w:rFonts w:hAnsi="宋体"/>
          <w:kern w:val="0"/>
        </w:rPr>
        <w:t>B</w:t>
      </w:r>
      <w:r>
        <w:rPr>
          <w:rFonts w:hint="eastAsia" w:hAnsi="宋体"/>
          <w:kern w:val="0"/>
        </w:rPr>
        <w:t>方。使用社保数据源，获取社保数据，包括，作为联邦学习参与方</w:t>
      </w:r>
      <w:r>
        <w:rPr>
          <w:rFonts w:hAnsi="宋体"/>
          <w:kern w:val="0"/>
        </w:rPr>
        <w:t>C</w:t>
      </w:r>
      <w:r>
        <w:rPr>
          <w:rFonts w:hint="eastAsia" w:hAnsi="宋体"/>
          <w:kern w:val="0"/>
        </w:rPr>
        <w:t>方。</w:t>
      </w:r>
    </w:p>
    <w:p>
      <w:pPr>
        <w:pStyle w:val="4"/>
        <w:snapToGrid/>
        <w:spacing w:line="360" w:lineRule="auto"/>
        <w:ind w:firstLine="480" w:firstLineChars="200"/>
        <w:textAlignment w:val="center"/>
        <w:rPr>
          <w:rFonts w:hint="eastAsia" w:hAnsi="宋体"/>
          <w:kern w:val="0"/>
          <w:sz w:val="24"/>
          <w:szCs w:val="24"/>
        </w:rPr>
      </w:pPr>
      <w:r>
        <w:rPr>
          <w:rFonts w:hint="eastAsia" w:hAnsi="宋体"/>
          <w:kern w:val="0"/>
          <w:sz w:val="24"/>
          <w:szCs w:val="24"/>
        </w:rPr>
        <w:t>S</w:t>
      </w:r>
      <w:r>
        <w:rPr>
          <w:rFonts w:hAnsi="宋体"/>
          <w:kern w:val="0"/>
          <w:sz w:val="24"/>
          <w:szCs w:val="24"/>
        </w:rPr>
        <w:t>2</w:t>
      </w:r>
      <w:r>
        <w:rPr>
          <w:rFonts w:hint="eastAsia" w:hAnsi="宋体"/>
          <w:kern w:val="0"/>
          <w:sz w:val="24"/>
          <w:szCs w:val="24"/>
        </w:rPr>
        <w:t>：对A、B、C方数据源进行样本对齐，将对齐的样本作为正例，将B、C方未对齐的样本作为未标记样本。在B、C方处训练纵向多方二分类分类器。</w:t>
      </w:r>
    </w:p>
    <w:p>
      <w:pPr>
        <w:pStyle w:val="4"/>
        <w:snapToGrid/>
        <w:spacing w:line="360" w:lineRule="auto"/>
        <w:ind w:firstLine="480" w:firstLineChars="200"/>
        <w:textAlignment w:val="center"/>
        <w:rPr>
          <w:rFonts w:hAnsi="宋体"/>
          <w:kern w:val="0"/>
          <w:sz w:val="24"/>
          <w:szCs w:val="24"/>
        </w:rPr>
      </w:pPr>
      <w:r>
        <w:rPr>
          <w:rFonts w:hAnsi="宋体"/>
          <w:kern w:val="0"/>
          <w:sz w:val="24"/>
          <w:szCs w:val="24"/>
        </w:rPr>
        <w:t>S3：</w:t>
      </w:r>
      <w:r>
        <w:rPr>
          <w:rFonts w:hint="eastAsia" w:hAnsi="宋体"/>
          <w:kern w:val="0"/>
          <w:sz w:val="24"/>
          <w:szCs w:val="24"/>
        </w:rPr>
        <w:t>使用训练好的分类器，得到每个样本所对应的分数（概率），得到分数最低的部分样本作为相对负例样本</w:t>
      </w:r>
      <w:bookmarkStart w:id="0" w:name="_GoBack"/>
      <w:bookmarkEnd w:id="0"/>
      <w:r>
        <w:rPr>
          <w:rFonts w:hint="eastAsia" w:hAnsi="宋体"/>
          <w:kern w:val="0"/>
          <w:sz w:val="24"/>
          <w:szCs w:val="24"/>
        </w:rPr>
        <w:t>。</w:t>
      </w:r>
    </w:p>
    <w:p>
      <w:pPr>
        <w:pStyle w:val="4"/>
        <w:snapToGrid/>
        <w:spacing w:line="360" w:lineRule="auto"/>
        <w:ind w:firstLine="480" w:firstLineChars="200"/>
        <w:textAlignment w:val="center"/>
        <w:rPr>
          <w:rFonts w:hAnsi="宋体"/>
          <w:kern w:val="0"/>
          <w:sz w:val="24"/>
          <w:szCs w:val="24"/>
        </w:rPr>
      </w:pPr>
      <w:r>
        <w:rPr>
          <w:rFonts w:hint="eastAsia" w:hAnsi="宋体"/>
          <w:kern w:val="0"/>
          <w:sz w:val="24"/>
          <w:szCs w:val="24"/>
        </w:rPr>
        <w:t>S</w:t>
      </w:r>
      <w:r>
        <w:rPr>
          <w:rFonts w:hAnsi="宋体"/>
          <w:kern w:val="0"/>
          <w:sz w:val="24"/>
          <w:szCs w:val="24"/>
        </w:rPr>
        <w:t>4</w:t>
      </w:r>
      <w:r>
        <w:rPr>
          <w:rFonts w:hint="eastAsia" w:hAnsi="宋体"/>
          <w:kern w:val="0"/>
          <w:sz w:val="24"/>
          <w:szCs w:val="24"/>
        </w:rPr>
        <w:t>：在B、C两方训练不同的二分类提升学习器，随机抽选已对齐的样本，训练多个联邦基础分类器，根据随机抽选到的绝对负例样本占未标记样本中的比例，调整设置联邦基础分类器相应的权重。</w:t>
      </w:r>
    </w:p>
    <w:p>
      <w:pPr>
        <w:pStyle w:val="4"/>
        <w:snapToGrid/>
        <w:spacing w:line="360" w:lineRule="auto"/>
        <w:ind w:firstLine="480" w:firstLineChars="200"/>
        <w:textAlignment w:val="center"/>
        <w:rPr>
          <w:rFonts w:hint="eastAsia" w:hAnsi="宋体"/>
          <w:kern w:val="0"/>
          <w:sz w:val="24"/>
          <w:szCs w:val="24"/>
        </w:rPr>
      </w:pPr>
      <w:r>
        <w:rPr>
          <w:rFonts w:hint="eastAsia" w:hAnsi="宋体"/>
          <w:kern w:val="0"/>
          <w:sz w:val="24"/>
          <w:szCs w:val="24"/>
        </w:rPr>
        <w:t>S</w:t>
      </w:r>
      <w:r>
        <w:rPr>
          <w:rFonts w:hAnsi="宋体"/>
          <w:kern w:val="0"/>
          <w:sz w:val="24"/>
          <w:szCs w:val="24"/>
        </w:rPr>
        <w:t>5</w:t>
      </w:r>
      <w:r>
        <w:rPr>
          <w:rFonts w:hint="eastAsia" w:hAnsi="宋体"/>
          <w:kern w:val="0"/>
          <w:sz w:val="24"/>
          <w:szCs w:val="24"/>
        </w:rPr>
        <w:t>：将分类器应用于B、C两方中不在当前随机选择的训练集中的未标记样本，并记录其分数。最后每个样本的得分为加权平均后的分数。得到相应的推荐人员，可将其推荐到公积金中心进行相应公积金缴存。</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rPr>
          <w:rFonts w:hint="eastAsia"/>
          <w:b/>
          <w:bCs/>
        </w:rPr>
      </w:pPr>
    </w:p>
    <w:p>
      <w:pPr>
        <w:pStyle w:val="4"/>
        <w:snapToGrid/>
        <w:spacing w:line="360" w:lineRule="auto"/>
        <w:ind w:firstLine="482" w:firstLineChars="200"/>
        <w:textAlignment w:val="center"/>
        <w:rPr>
          <w:b/>
          <w:bCs/>
          <w:color w:val="FF0000"/>
          <w:sz w:val="24"/>
        </w:rPr>
      </w:pPr>
      <w:r>
        <w:rPr>
          <w:rFonts w:hint="eastAsia"/>
          <w:b/>
          <w:bCs/>
          <w:color w:val="FF0000"/>
          <w:sz w:val="24"/>
        </w:rPr>
        <w:t>S</w:t>
      </w:r>
      <w:r>
        <w:rPr>
          <w:b/>
          <w:bCs/>
          <w:color w:val="FF0000"/>
          <w:sz w:val="24"/>
        </w:rPr>
        <w:t>1</w:t>
      </w:r>
    </w:p>
    <w:p>
      <w:pPr>
        <w:pStyle w:val="4"/>
        <w:snapToGrid/>
        <w:spacing w:line="360" w:lineRule="auto"/>
        <w:ind w:firstLine="480" w:firstLineChars="200"/>
        <w:textAlignment w:val="center"/>
        <w:rPr>
          <w:color w:val="000000" w:themeColor="text1"/>
          <w:sz w:val="24"/>
          <w14:textFill>
            <w14:solidFill>
              <w14:schemeClr w14:val="tx1"/>
            </w14:solidFill>
          </w14:textFill>
        </w:rPr>
      </w:pPr>
      <w:r>
        <w:rPr>
          <w:rFonts w:hint="eastAsia"/>
          <w:color w:val="000000"/>
          <w:sz w:val="24"/>
        </w:rPr>
        <w:t>进一步，所述步骤S</w:t>
      </w:r>
      <w:r>
        <w:rPr>
          <w:color w:val="000000"/>
          <w:sz w:val="24"/>
        </w:rPr>
        <w:t>1</w:t>
      </w:r>
      <w:r>
        <w:rPr>
          <w:rFonts w:hint="eastAsia"/>
          <w:color w:val="000000"/>
          <w:sz w:val="24"/>
        </w:rPr>
        <w:t>中多方数据源指关于灵活就业人员的税务数据、房管</w:t>
      </w:r>
      <w:r>
        <w:rPr>
          <w:rFonts w:hint="eastAsia"/>
          <w:color w:val="000000" w:themeColor="text1"/>
          <w:sz w:val="24"/>
          <w14:textFill>
            <w14:solidFill>
              <w14:schemeClr w14:val="tx1"/>
            </w14:solidFill>
          </w14:textFill>
        </w:rPr>
        <w:t>数据、社保数据和个人基本信息数据。</w:t>
      </w:r>
    </w:p>
    <w:p>
      <w:pPr>
        <w:pStyle w:val="4"/>
        <w:snapToGrid/>
        <w:spacing w:line="360" w:lineRule="auto"/>
        <w:ind w:firstLine="480" w:firstLineChars="200"/>
        <w:textAlignment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使用灵活就业人员的税务数据源，获取税务数据，包括个人所得税。</w:t>
      </w:r>
    </w:p>
    <w:p>
      <w:pPr>
        <w:pStyle w:val="4"/>
        <w:snapToGrid/>
        <w:spacing w:line="360" w:lineRule="auto"/>
        <w:ind w:firstLine="480" w:firstLineChars="200"/>
        <w:textAlignment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使用个人基本信息数据源，获取个人基本信息数据，包括。（实例中说明，这里只需要说明使用哪些变量）</w:t>
      </w:r>
    </w:p>
    <w:p>
      <w:pPr>
        <w:pStyle w:val="4"/>
        <w:snapToGrid/>
        <w:spacing w:line="360" w:lineRule="auto"/>
        <w:ind w:firstLine="480" w:firstLineChars="200"/>
        <w:textAlignment w:val="center"/>
        <w:rPr>
          <w:color w:val="000000"/>
          <w:sz w:val="24"/>
        </w:rPr>
      </w:pPr>
      <w:r>
        <w:rPr>
          <w:rFonts w:hint="eastAsia"/>
          <w:color w:val="000000"/>
          <w:sz w:val="24"/>
        </w:rPr>
        <w:t>进一步地，所述S</w:t>
      </w:r>
      <w:r>
        <w:rPr>
          <w:color w:val="000000"/>
          <w:sz w:val="24"/>
        </w:rPr>
        <w:t>1</w:t>
      </w:r>
      <w:r>
        <w:rPr>
          <w:rFonts w:hint="eastAsia"/>
          <w:color w:val="000000"/>
          <w:sz w:val="24"/>
        </w:rPr>
        <w:t>中预处理操作包括离群值处理、缺失值处理和数据标准化。</w:t>
      </w:r>
    </w:p>
    <w:p>
      <w:pPr>
        <w:pStyle w:val="4"/>
        <w:snapToGrid/>
        <w:spacing w:line="360" w:lineRule="auto"/>
        <w:ind w:firstLine="480" w:firstLineChars="200"/>
        <w:jc w:val="both"/>
        <w:textAlignment w:val="center"/>
        <w:rPr>
          <w:color w:val="000000"/>
          <w:sz w:val="24"/>
        </w:rPr>
      </w:pPr>
      <w:r>
        <w:rPr>
          <w:rFonts w:hint="eastAsia"/>
          <w:color w:val="000000"/>
          <w:sz w:val="24"/>
        </w:rPr>
        <w:t>所述离群值处理具体包括：采用箱型图的方式对数据进行可视化统计，剔除其中明显偏离大部分数据的异常值。</w:t>
      </w:r>
    </w:p>
    <w:p>
      <w:pPr>
        <w:pStyle w:val="4"/>
        <w:snapToGrid/>
        <w:spacing w:line="360" w:lineRule="auto"/>
        <w:ind w:firstLine="480" w:firstLineChars="200"/>
        <w:jc w:val="both"/>
        <w:textAlignment w:val="center"/>
        <w:rPr>
          <w:color w:val="000000"/>
          <w:sz w:val="24"/>
        </w:rPr>
      </w:pPr>
      <w:r>
        <w:rPr>
          <w:rFonts w:hint="eastAsia"/>
          <w:color w:val="000000"/>
          <w:sz w:val="24"/>
        </w:rPr>
        <w:t>所述缺失值处理具体包括：对数据中的每个特征进行缺失率统计，对于缺失数据数目大于总体样本数据规模一半的数据视为无效数据进行剔除，其余数据根据数据分布采用特定方法进行填充，包括众数填充、近邻填充、均值填充和中位数填充。</w:t>
      </w:r>
    </w:p>
    <w:p>
      <w:pPr>
        <w:pStyle w:val="4"/>
        <w:snapToGrid/>
        <w:spacing w:line="360" w:lineRule="auto"/>
        <w:ind w:firstLine="480" w:firstLineChars="200"/>
        <w:jc w:val="both"/>
        <w:textAlignment w:val="center"/>
        <w:rPr>
          <w:color w:val="000000"/>
          <w:sz w:val="24"/>
        </w:rPr>
      </w:pPr>
      <w:r>
        <w:rPr>
          <w:rFonts w:hint="eastAsia"/>
          <w:color w:val="000000"/>
          <w:sz w:val="24"/>
        </w:rPr>
        <w:t>所述数据标准化具体包括：将已有特征按照数据类型分为连续型特征和离散型特征，对连续型特征采用数据最大</w:t>
      </w:r>
      <w:r>
        <w:rPr>
          <w:color w:val="000000"/>
          <w:sz w:val="24"/>
        </w:rPr>
        <w:t>-</w:t>
      </w:r>
      <w:r>
        <w:rPr>
          <w:rFonts w:hint="eastAsia"/>
          <w:color w:val="000000"/>
          <w:sz w:val="24"/>
        </w:rPr>
        <w:t>最小归一化处理，对离散型特征采用独热编码处理。</w:t>
      </w:r>
    </w:p>
    <w:p>
      <w:pPr>
        <w:ind w:firstLine="480"/>
        <w:textAlignment w:val="center"/>
        <w:rPr>
          <w:rFonts w:hAnsi="宋体"/>
          <w:kern w:val="0"/>
        </w:rPr>
      </w:pPr>
      <w:r>
        <w:rPr>
          <w:rFonts w:hint="eastAsia"/>
        </w:rPr>
        <w:t>再根据灵活就业人员的公积金缴存情况，将多方源数据分为</w:t>
      </w:r>
      <w:r>
        <w:rPr>
          <w:rFonts w:hint="eastAsia" w:hAnsi="宋体"/>
          <w:kern w:val="0"/>
        </w:rPr>
        <w:t>已缴存灵活就业人员多方源特征数据集和未缴存灵活就业人员多方源特征数据集。其中未缴存灵活就业人员可能包含潜推荐缴存用户。</w:t>
      </w:r>
    </w:p>
    <w:p>
      <w:pPr>
        <w:pStyle w:val="4"/>
        <w:spacing w:line="360" w:lineRule="auto"/>
        <w:ind w:firstLine="480"/>
        <w:textAlignment w:val="center"/>
        <w:rPr>
          <w:color w:val="000000"/>
          <w:sz w:val="24"/>
        </w:rPr>
      </w:pPr>
    </w:p>
    <w:p>
      <w:pPr>
        <w:ind w:firstLine="0" w:firstLineChars="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A4MzYyYWI3N2Y2YTlmZTM2M2U0MDM2ZDczNWM3MDYifQ=="/>
  </w:docVars>
  <w:rsids>
    <w:rsidRoot w:val="00FD421F"/>
    <w:rsid w:val="000D3F6C"/>
    <w:rsid w:val="00116E98"/>
    <w:rsid w:val="001528AA"/>
    <w:rsid w:val="001B0129"/>
    <w:rsid w:val="00224DB2"/>
    <w:rsid w:val="002E0EE2"/>
    <w:rsid w:val="00353732"/>
    <w:rsid w:val="00381589"/>
    <w:rsid w:val="003D40D0"/>
    <w:rsid w:val="004413F4"/>
    <w:rsid w:val="0044671C"/>
    <w:rsid w:val="00460580"/>
    <w:rsid w:val="00463004"/>
    <w:rsid w:val="00470539"/>
    <w:rsid w:val="004E6985"/>
    <w:rsid w:val="00551B9B"/>
    <w:rsid w:val="005A68C1"/>
    <w:rsid w:val="005D609A"/>
    <w:rsid w:val="00644B30"/>
    <w:rsid w:val="00654ECC"/>
    <w:rsid w:val="00674837"/>
    <w:rsid w:val="00685A59"/>
    <w:rsid w:val="00697AF9"/>
    <w:rsid w:val="006F0555"/>
    <w:rsid w:val="00751E24"/>
    <w:rsid w:val="00770D62"/>
    <w:rsid w:val="007A2352"/>
    <w:rsid w:val="008268C0"/>
    <w:rsid w:val="008659BD"/>
    <w:rsid w:val="008E1581"/>
    <w:rsid w:val="009331FD"/>
    <w:rsid w:val="009B2E4E"/>
    <w:rsid w:val="009C73A3"/>
    <w:rsid w:val="009D6D4A"/>
    <w:rsid w:val="009E0287"/>
    <w:rsid w:val="00A33D88"/>
    <w:rsid w:val="00A5342C"/>
    <w:rsid w:val="00A86E2A"/>
    <w:rsid w:val="00A95E33"/>
    <w:rsid w:val="00AD7F3F"/>
    <w:rsid w:val="00AF0D29"/>
    <w:rsid w:val="00B429A2"/>
    <w:rsid w:val="00BA7AA4"/>
    <w:rsid w:val="00C05A15"/>
    <w:rsid w:val="00C37DAC"/>
    <w:rsid w:val="00E211F0"/>
    <w:rsid w:val="00E605A5"/>
    <w:rsid w:val="00EE424F"/>
    <w:rsid w:val="00F025D2"/>
    <w:rsid w:val="00F21552"/>
    <w:rsid w:val="00F96C7B"/>
    <w:rsid w:val="00FB4838"/>
    <w:rsid w:val="00FD134D"/>
    <w:rsid w:val="00FD421F"/>
    <w:rsid w:val="089C3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宋体"/>
      <w:kern w:val="2"/>
      <w:sz w:val="24"/>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pacing w:line="240" w:lineRule="auto"/>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4">
    <w:name w:val="footnote text"/>
    <w:basedOn w:val="1"/>
    <w:link w:val="9"/>
    <w:semiHidden/>
    <w:qFormat/>
    <w:uiPriority w:val="0"/>
    <w:pPr>
      <w:spacing w:line="240" w:lineRule="auto"/>
      <w:ind w:firstLine="0" w:firstLineChars="0"/>
      <w:jc w:val="left"/>
    </w:pPr>
    <w:rPr>
      <w:rFonts w:cs="Times New Roman"/>
      <w:sz w:val="18"/>
      <w:szCs w:val="18"/>
    </w:rPr>
  </w:style>
  <w:style w:type="character" w:customStyle="1" w:styleId="7">
    <w:name w:val="页眉 字符"/>
    <w:basedOn w:val="6"/>
    <w:link w:val="3"/>
    <w:qFormat/>
    <w:uiPriority w:val="99"/>
    <w:rPr>
      <w:rFonts w:ascii="Times New Roman" w:hAnsi="Times New Roman" w:eastAsia="宋体" w:cs="宋体"/>
      <w:sz w:val="18"/>
      <w:szCs w:val="18"/>
    </w:rPr>
  </w:style>
  <w:style w:type="character" w:customStyle="1" w:styleId="8">
    <w:name w:val="页脚 字符"/>
    <w:basedOn w:val="6"/>
    <w:link w:val="2"/>
    <w:uiPriority w:val="99"/>
    <w:rPr>
      <w:rFonts w:ascii="Times New Roman" w:hAnsi="Times New Roman" w:eastAsia="宋体" w:cs="宋体"/>
      <w:sz w:val="18"/>
      <w:szCs w:val="18"/>
    </w:rPr>
  </w:style>
  <w:style w:type="character" w:customStyle="1" w:styleId="9">
    <w:name w:val="脚注文本 字符"/>
    <w:basedOn w:val="6"/>
    <w:link w:val="4"/>
    <w:semiHidden/>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1395</Words>
  <Characters>1441</Characters>
  <Lines>10</Lines>
  <Paragraphs>3</Paragraphs>
  <TotalTime>364</TotalTime>
  <ScaleCrop>false</ScaleCrop>
  <LinksUpToDate>false</LinksUpToDate>
  <CharactersWithSpaces>1450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2022-09-19T02:11:00Z</dcterms:created>
  <dc:creator>atz atz</dc:creator>
  <cp:lastModifiedBy>Do</cp:lastModifiedBy>
  <dcterms:modified xsi:type="dcterms:W3CDTF">2022-09-28T06:31:13Z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8FC0D56207654A379D83D8651886C7EF</vt:lpwstr>
  </property>
</Properties>
</file>