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E410" w14:textId="110D8512" w:rsidR="008A5479" w:rsidRDefault="00B8140D" w:rsidP="00B8140D">
      <w:pPr>
        <w:pStyle w:val="a3"/>
      </w:pPr>
      <w:r w:rsidRPr="00B8140D">
        <w:rPr>
          <w:rFonts w:hint="eastAsia"/>
        </w:rPr>
        <w:t>吕九峦</w:t>
      </w:r>
      <w:r w:rsidRPr="00B8140D">
        <w:t>-答辩记录</w:t>
      </w:r>
    </w:p>
    <w:p w14:paraId="7B624FBA" w14:textId="3474FAA2" w:rsidR="00B8140D" w:rsidRPr="00510804" w:rsidRDefault="00B8140D" w:rsidP="00510804">
      <w:pPr>
        <w:pStyle w:val="2"/>
        <w:rPr>
          <w:rFonts w:hint="eastAsia"/>
        </w:rPr>
      </w:pPr>
      <w:r w:rsidRPr="008D5287">
        <w:rPr>
          <w:rFonts w:hint="eastAsia"/>
        </w:rPr>
        <w:t>答辩中提出的主要问题及回答的简要情况记录</w:t>
      </w:r>
    </w:p>
    <w:p w14:paraId="7194B12C" w14:textId="1E3AC7ED" w:rsidR="00B8140D" w:rsidRPr="008D5287" w:rsidRDefault="007F779C" w:rsidP="008D5287">
      <w:pPr>
        <w:spacing w:line="440" w:lineRule="exact"/>
        <w:rPr>
          <w:rFonts w:ascii="宋体" w:eastAsia="宋体" w:hAnsi="宋体"/>
          <w:sz w:val="24"/>
          <w:szCs w:val="24"/>
        </w:rPr>
      </w:pPr>
      <w:r w:rsidRPr="008D5287">
        <w:rPr>
          <w:rFonts w:ascii="宋体" w:eastAsia="宋体" w:hAnsi="宋体" w:hint="eastAsia"/>
          <w:sz w:val="24"/>
          <w:szCs w:val="24"/>
        </w:rPr>
        <w:t>问：</w:t>
      </w:r>
      <w:r w:rsidR="00B8140D" w:rsidRPr="008D5287">
        <w:rPr>
          <w:rFonts w:ascii="宋体" w:eastAsia="宋体" w:hAnsi="宋体" w:hint="eastAsia"/>
          <w:sz w:val="24"/>
          <w:szCs w:val="24"/>
        </w:rPr>
        <w:t>研究现状存在的挑战要分析</w:t>
      </w:r>
      <w:r w:rsidRPr="008D5287">
        <w:rPr>
          <w:rFonts w:ascii="宋体" w:eastAsia="宋体" w:hAnsi="宋体" w:hint="eastAsia"/>
          <w:sz w:val="24"/>
          <w:szCs w:val="24"/>
        </w:rPr>
        <w:t>是什么？</w:t>
      </w:r>
    </w:p>
    <w:p w14:paraId="2C00D8A4" w14:textId="77777777" w:rsidR="008D5287" w:rsidRPr="008D5287" w:rsidRDefault="007F779C" w:rsidP="008D5287">
      <w:pPr>
        <w:spacing w:line="440" w:lineRule="exact"/>
        <w:rPr>
          <w:rFonts w:ascii="宋体" w:eastAsia="宋体" w:hAnsi="宋体"/>
          <w:sz w:val="24"/>
          <w:szCs w:val="24"/>
        </w:rPr>
      </w:pPr>
      <w:r w:rsidRPr="008D5287">
        <w:rPr>
          <w:rFonts w:ascii="宋体" w:eastAsia="宋体" w:hAnsi="宋体" w:hint="eastAsia"/>
          <w:sz w:val="24"/>
          <w:szCs w:val="24"/>
        </w:rPr>
        <w:t>答：</w:t>
      </w:r>
      <w:r w:rsidR="008D5287" w:rsidRPr="008D5287">
        <w:rPr>
          <w:rFonts w:ascii="宋体" w:eastAsia="宋体" w:hAnsi="宋体" w:hint="eastAsia"/>
          <w:sz w:val="24"/>
          <w:szCs w:val="24"/>
        </w:rPr>
        <w:t>现有纵向联邦学习方法过度依赖大量标记和对齐数据，而实际应用中往往面临高昂的标注成本和领域专家稀缺的情况。尤其当只有一方拥有标签信息时，联合模型训练的复杂度显著提高。同时，不同参与方的数据分布存在显著差异，导致模型难以有效学习。尽管</w:t>
      </w:r>
      <w:r w:rsidR="008D5287" w:rsidRPr="008D5287">
        <w:rPr>
          <w:rFonts w:ascii="宋体" w:eastAsia="宋体" w:hAnsi="宋体"/>
          <w:sz w:val="24"/>
          <w:szCs w:val="24"/>
        </w:rPr>
        <w:t>RSCFed采用加权距离聚合、FedMatch通过客户端间一致性来应对异质性，但在复杂应用场景中的效果仍有待提升。</w:t>
      </w:r>
    </w:p>
    <w:p w14:paraId="5F51429C" w14:textId="383A635D" w:rsidR="00366A83" w:rsidRDefault="00366A83" w:rsidP="008D528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D152D59" w14:textId="6B116035" w:rsidR="009C4C42" w:rsidRPr="009C4C42" w:rsidRDefault="009C4C42" w:rsidP="009C4C42">
      <w:pPr>
        <w:spacing w:line="440" w:lineRule="exact"/>
        <w:rPr>
          <w:rFonts w:ascii="宋体" w:eastAsia="宋体" w:hAnsi="宋体"/>
          <w:sz w:val="24"/>
          <w:szCs w:val="24"/>
        </w:rPr>
      </w:pPr>
      <w:r w:rsidRPr="009C4C42">
        <w:rPr>
          <w:rFonts w:ascii="宋体" w:eastAsia="宋体" w:hAnsi="宋体" w:hint="eastAsia"/>
          <w:sz w:val="24"/>
          <w:szCs w:val="24"/>
        </w:rPr>
        <w:t>问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C4C42">
        <w:rPr>
          <w:rFonts w:ascii="宋体" w:eastAsia="宋体" w:hAnsi="宋体"/>
          <w:sz w:val="24"/>
          <w:szCs w:val="24"/>
        </w:rPr>
        <w:t>在VFPU框架中，如何保证数据隐私不被泄露？</w:t>
      </w:r>
    </w:p>
    <w:p w14:paraId="3302C0C6" w14:textId="23B2A588" w:rsidR="009C4C42" w:rsidRDefault="009C4C42" w:rsidP="009C4C42">
      <w:pPr>
        <w:spacing w:line="440" w:lineRule="exact"/>
        <w:rPr>
          <w:rFonts w:ascii="宋体" w:eastAsia="宋体" w:hAnsi="宋体"/>
          <w:sz w:val="24"/>
          <w:szCs w:val="24"/>
        </w:rPr>
      </w:pPr>
      <w:r w:rsidRPr="009C4C42">
        <w:rPr>
          <w:rFonts w:ascii="宋体" w:eastAsia="宋体" w:hAnsi="宋体" w:hint="eastAsia"/>
          <w:sz w:val="24"/>
          <w:szCs w:val="24"/>
        </w:rPr>
        <w:t>答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C4C42">
        <w:rPr>
          <w:rFonts w:ascii="宋体" w:eastAsia="宋体" w:hAnsi="宋体"/>
          <w:sz w:val="24"/>
          <w:szCs w:val="24"/>
        </w:rPr>
        <w:t>在VFPU框架中，采取了多层次的隐私保护机制：首先，参与方仅共享中间计算结果（如梯度、预测值）而非原始特征数据；其次，对于共享的中间结果，我们采用了安全聚合协议，确保任何参与方都无法从接收到的信息中推断出其他方的私有信息；此外，对于特别敏感的场景，还设计了差分隐私机制，通过向共享值添加校准噪声来进一步增强隐私保护。实验表明，这些机制能在保障模型性能的同时，有效防止隐私泄露风险。</w:t>
      </w:r>
    </w:p>
    <w:p w14:paraId="1F20BE48" w14:textId="77777777" w:rsidR="009C4C42" w:rsidRPr="008D5287" w:rsidRDefault="009C4C42" w:rsidP="008D5287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26259EC6" w14:textId="7822E1B0" w:rsidR="00CF7965" w:rsidRDefault="007F779C" w:rsidP="008D5287">
      <w:pPr>
        <w:spacing w:line="440" w:lineRule="exact"/>
        <w:rPr>
          <w:rFonts w:ascii="宋体" w:eastAsia="宋体" w:hAnsi="宋体"/>
          <w:sz w:val="24"/>
          <w:szCs w:val="24"/>
        </w:rPr>
      </w:pPr>
      <w:r w:rsidRPr="008D5287">
        <w:rPr>
          <w:rFonts w:ascii="宋体" w:eastAsia="宋体" w:hAnsi="宋体" w:hint="eastAsia"/>
          <w:sz w:val="24"/>
          <w:szCs w:val="24"/>
        </w:rPr>
        <w:t>问:</w:t>
      </w:r>
      <w:r w:rsidR="00CF7965" w:rsidRPr="00CF7965">
        <w:rPr>
          <w:rFonts w:ascii="宋体" w:eastAsia="宋体" w:hAnsi="宋体"/>
          <w:sz w:val="24"/>
          <w:szCs w:val="24"/>
        </w:rPr>
        <w:t>FedPSG-PUM的核心创新点是什么？与现有方法相比有何优势？</w:t>
      </w:r>
    </w:p>
    <w:p w14:paraId="6395613B" w14:textId="22285049" w:rsidR="00CF7965" w:rsidRDefault="00CF7965" w:rsidP="00CF7965">
      <w:pPr>
        <w:spacing w:line="440" w:lineRule="exact"/>
        <w:rPr>
          <w:rFonts w:ascii="宋体" w:eastAsia="宋体" w:hAnsi="宋体"/>
          <w:sz w:val="24"/>
          <w:szCs w:val="24"/>
        </w:rPr>
      </w:pPr>
      <w:r w:rsidRPr="00CF7965">
        <w:rPr>
          <w:rFonts w:ascii="宋体" w:eastAsia="宋体" w:hAnsi="宋体" w:hint="eastAsia"/>
          <w:sz w:val="24"/>
          <w:szCs w:val="24"/>
        </w:rPr>
        <w:t>答：</w:t>
      </w:r>
      <w:r w:rsidRPr="00CF7965">
        <w:rPr>
          <w:rFonts w:ascii="宋体" w:eastAsia="宋体" w:hAnsi="宋体"/>
          <w:sz w:val="24"/>
          <w:szCs w:val="24"/>
        </w:rPr>
        <w:t>FedPSG-PUM的核心创新在于将联邦半监督学习与生成模型技术结合，提出分阶段处理策略：</w:t>
      </w:r>
      <w:r w:rsidRPr="00CF7965">
        <w:rPr>
          <w:rFonts w:ascii="宋体" w:eastAsia="宋体" w:hAnsi="宋体" w:hint="eastAsia"/>
          <w:sz w:val="24"/>
          <w:szCs w:val="24"/>
        </w:rPr>
        <w:t>跨方特征相关性分析：通过隐私保护的</w:t>
      </w:r>
      <w:r w:rsidRPr="00CF7965">
        <w:rPr>
          <w:rFonts w:ascii="宋体" w:eastAsia="宋体" w:hAnsi="宋体"/>
          <w:sz w:val="24"/>
          <w:szCs w:val="24"/>
        </w:rPr>
        <w:t>Spearman秩相关计算，筛选高相关性特征，指导后续生成策略。</w:t>
      </w:r>
      <w:r w:rsidRPr="00CF7965">
        <w:rPr>
          <w:rFonts w:ascii="宋体" w:eastAsia="宋体" w:hAnsi="宋体" w:hint="eastAsia"/>
          <w:sz w:val="24"/>
          <w:szCs w:val="24"/>
        </w:rPr>
        <w:t>联邦生成模型填补：对低相关性特征，采用</w:t>
      </w:r>
      <w:r w:rsidRPr="00CF7965">
        <w:rPr>
          <w:rFonts w:ascii="宋体" w:eastAsia="宋体" w:hAnsi="宋体"/>
          <w:sz w:val="24"/>
          <w:szCs w:val="24"/>
        </w:rPr>
        <w:t>VF-GAIN等联邦生成模型，学习多方数据分布以填补缺失值。</w:t>
      </w:r>
    </w:p>
    <w:p w14:paraId="02D41D37" w14:textId="77777777" w:rsidR="00CF7965" w:rsidRPr="001D2859" w:rsidRDefault="00CF7965" w:rsidP="008D528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4F78F37" w14:textId="4168D626" w:rsidR="00CF7965" w:rsidRDefault="001D2859" w:rsidP="008D5287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问：</w:t>
      </w:r>
      <w:r w:rsidRPr="001D2859">
        <w:rPr>
          <w:rFonts w:ascii="宋体" w:eastAsia="宋体" w:hAnsi="宋体"/>
          <w:sz w:val="24"/>
          <w:szCs w:val="24"/>
        </w:rPr>
        <w:t>FedPSG-PUM的局限性及未来方向？</w:t>
      </w:r>
    </w:p>
    <w:p w14:paraId="53F389D5" w14:textId="7D67929C" w:rsidR="001D2859" w:rsidRDefault="001D2859" w:rsidP="001D2859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Pr="001D2859">
        <w:rPr>
          <w:rFonts w:ascii="宋体" w:eastAsia="宋体" w:hAnsi="宋体" w:hint="eastAsia"/>
          <w:sz w:val="24"/>
          <w:szCs w:val="24"/>
        </w:rPr>
        <w:t>联邦半监督学习需多轮迭代，</w:t>
      </w:r>
      <w:r w:rsidRPr="001D2859">
        <w:rPr>
          <w:rFonts w:ascii="宋体" w:eastAsia="宋体" w:hAnsi="宋体"/>
          <w:sz w:val="24"/>
          <w:szCs w:val="24"/>
        </w:rPr>
        <w:t>VF-GAIN的对抗训练增加通信成本</w:t>
      </w:r>
      <w:r>
        <w:rPr>
          <w:rFonts w:ascii="宋体" w:eastAsia="宋体" w:hAnsi="宋体" w:hint="eastAsia"/>
          <w:sz w:val="24"/>
          <w:szCs w:val="24"/>
        </w:rPr>
        <w:t>；</w:t>
      </w:r>
      <w:r w:rsidRPr="001D2859">
        <w:rPr>
          <w:rFonts w:ascii="宋体" w:eastAsia="宋体" w:hAnsi="宋体" w:hint="eastAsia"/>
          <w:sz w:val="24"/>
          <w:szCs w:val="24"/>
        </w:rPr>
        <w:t>τ和α需通过验证集调优，可能影响泛化性</w:t>
      </w:r>
      <w:r>
        <w:rPr>
          <w:rFonts w:ascii="宋体" w:eastAsia="宋体" w:hAnsi="宋体" w:hint="eastAsia"/>
          <w:sz w:val="24"/>
          <w:szCs w:val="24"/>
        </w:rPr>
        <w:t>；</w:t>
      </w:r>
      <w:r w:rsidRPr="001D2859">
        <w:rPr>
          <w:rFonts w:ascii="宋体" w:eastAsia="宋体" w:hAnsi="宋体" w:hint="eastAsia"/>
          <w:sz w:val="24"/>
          <w:szCs w:val="24"/>
        </w:rPr>
        <w:t>引入元学习或贝叶斯优化自动选择τ和α。</w:t>
      </w:r>
      <w:r w:rsidRPr="001D2859">
        <w:rPr>
          <w:rFonts w:ascii="宋体" w:eastAsia="宋体" w:hAnsi="宋体"/>
          <w:sz w:val="24"/>
          <w:szCs w:val="24"/>
        </w:rPr>
        <w:t xml:space="preserve"> </w:t>
      </w:r>
      <w:r w:rsidRPr="001D2859">
        <w:rPr>
          <w:rFonts w:ascii="宋体" w:eastAsia="宋体" w:hAnsi="宋体" w:hint="eastAsia"/>
          <w:sz w:val="24"/>
          <w:szCs w:val="24"/>
        </w:rPr>
        <w:t>适配图像、文本等多模态数据，提升方法普适性。</w:t>
      </w:r>
      <w:r w:rsidRPr="001D2859">
        <w:rPr>
          <w:rFonts w:ascii="宋体" w:eastAsia="宋体" w:hAnsi="宋体"/>
          <w:sz w:val="24"/>
          <w:szCs w:val="24"/>
        </w:rPr>
        <w:t xml:space="preserve">  </w:t>
      </w:r>
    </w:p>
    <w:p w14:paraId="05BCCA90" w14:textId="4828CA7A" w:rsidR="001D2859" w:rsidRDefault="001D2859" w:rsidP="001D2859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263D692F" w14:textId="1FEBC4A9" w:rsidR="00AA0E76" w:rsidRPr="00AA0E76" w:rsidRDefault="00AA0E76" w:rsidP="00AA0E76">
      <w:pPr>
        <w:spacing w:line="440" w:lineRule="exact"/>
        <w:rPr>
          <w:rFonts w:ascii="宋体" w:eastAsia="宋体" w:hAnsi="宋体"/>
          <w:sz w:val="24"/>
          <w:szCs w:val="24"/>
        </w:rPr>
      </w:pPr>
      <w:r w:rsidRPr="00AA0E76">
        <w:rPr>
          <w:rFonts w:ascii="宋体" w:eastAsia="宋体" w:hAnsi="宋体" w:hint="eastAsia"/>
          <w:sz w:val="24"/>
          <w:szCs w:val="24"/>
        </w:rPr>
        <w:t>问</w:t>
      </w:r>
      <w:r w:rsidRPr="00AA0E76">
        <w:rPr>
          <w:rFonts w:ascii="宋体" w:eastAsia="宋体" w:hAnsi="宋体"/>
          <w:sz w:val="24"/>
          <w:szCs w:val="24"/>
        </w:rPr>
        <w:t>：算法中正例比例估计环节对最终性能有多大影响？</w:t>
      </w:r>
    </w:p>
    <w:p w14:paraId="5574566F" w14:textId="17B69CDE" w:rsidR="00AA0E76" w:rsidRDefault="00AA0E76" w:rsidP="001D2859">
      <w:pPr>
        <w:spacing w:line="440" w:lineRule="exact"/>
        <w:rPr>
          <w:rFonts w:ascii="宋体" w:eastAsia="宋体" w:hAnsi="宋体"/>
          <w:sz w:val="24"/>
          <w:szCs w:val="24"/>
        </w:rPr>
      </w:pPr>
      <w:r w:rsidRPr="00AA0E76">
        <w:rPr>
          <w:rFonts w:ascii="宋体" w:eastAsia="宋体" w:hAnsi="宋体" w:hint="eastAsia"/>
          <w:sz w:val="24"/>
          <w:szCs w:val="24"/>
        </w:rPr>
        <w:lastRenderedPageBreak/>
        <w:t>答</w:t>
      </w:r>
      <w:r w:rsidRPr="00AA0E76">
        <w:rPr>
          <w:rFonts w:ascii="宋体" w:eastAsia="宋体" w:hAnsi="宋体"/>
          <w:sz w:val="24"/>
          <w:szCs w:val="24"/>
        </w:rPr>
        <w:t>：正例比例估计是VFPU算法的关键环节，对最终性能有显著影响。我们的实验表明，当估计误差在±10%范围内时，模型性能下降相对可控；但若误差超过15%，模型性能将明显下降。</w:t>
      </w:r>
    </w:p>
    <w:p w14:paraId="53ACB37C" w14:textId="236E76C9" w:rsidR="00DC430C" w:rsidRDefault="00DC430C" w:rsidP="001D2859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89CFCE4" w14:textId="1ED0CE8E" w:rsidR="00DC430C" w:rsidRPr="00DC430C" w:rsidRDefault="00DC430C" w:rsidP="00DC430C">
      <w:pPr>
        <w:spacing w:line="440" w:lineRule="exact"/>
        <w:rPr>
          <w:rFonts w:ascii="宋体" w:eastAsia="宋体" w:hAnsi="宋体"/>
          <w:sz w:val="24"/>
          <w:szCs w:val="24"/>
        </w:rPr>
      </w:pPr>
      <w:r w:rsidRPr="00DC430C">
        <w:rPr>
          <w:rFonts w:ascii="宋体" w:eastAsia="宋体" w:hAnsi="宋体" w:hint="eastAsia"/>
          <w:sz w:val="24"/>
          <w:szCs w:val="24"/>
        </w:rPr>
        <w:t>问</w:t>
      </w:r>
      <w:r w:rsidRPr="00DC430C">
        <w:rPr>
          <w:rFonts w:ascii="宋体" w:eastAsia="宋体" w:hAnsi="宋体"/>
          <w:sz w:val="24"/>
          <w:szCs w:val="24"/>
        </w:rPr>
        <w:t>：如何评估模型在联邦环境下的通信效率？</w:t>
      </w:r>
    </w:p>
    <w:p w14:paraId="5FCFD595" w14:textId="0AC121CF" w:rsidR="00DC430C" w:rsidRDefault="00DC430C" w:rsidP="00DC430C">
      <w:pPr>
        <w:spacing w:line="440" w:lineRule="exact"/>
        <w:rPr>
          <w:rFonts w:ascii="宋体" w:eastAsia="宋体" w:hAnsi="宋体"/>
          <w:sz w:val="24"/>
          <w:szCs w:val="24"/>
        </w:rPr>
      </w:pPr>
      <w:r w:rsidRPr="00DC430C">
        <w:rPr>
          <w:rFonts w:ascii="宋体" w:eastAsia="宋体" w:hAnsi="宋体" w:hint="eastAsia"/>
          <w:sz w:val="24"/>
          <w:szCs w:val="24"/>
        </w:rPr>
        <w:t>答</w:t>
      </w:r>
      <w:r w:rsidRPr="00DC430C">
        <w:rPr>
          <w:rFonts w:ascii="宋体" w:eastAsia="宋体" w:hAnsi="宋体"/>
          <w:sz w:val="24"/>
          <w:szCs w:val="24"/>
        </w:rPr>
        <w:t>：从三个维度评估联邦环境下的通信效率：首先，通信轮次数量，即达到模型收敛需要的总通信次数；其次，单轮通信量大小，即每次交互传输的数据量；第三，整体时间消耗，包括通信延迟和计算时间。实验结果表明，与基准方法相比，VFPU在保持相似精度的情况下，通信轮次减少了约20%，整体训练时间缩短了25-30%。</w:t>
      </w:r>
    </w:p>
    <w:p w14:paraId="491BA377" w14:textId="77777777" w:rsidR="00DC430C" w:rsidRDefault="00DC430C" w:rsidP="001D2859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2DE73FE1" w14:textId="4EACB8A5" w:rsidR="00366A83" w:rsidRDefault="00DC430C" w:rsidP="00DC430C">
      <w:pPr>
        <w:pStyle w:val="2"/>
      </w:pPr>
      <w:r w:rsidRPr="00DC430C">
        <w:rPr>
          <w:rFonts w:hint="eastAsia"/>
        </w:rPr>
        <w:t>答辩委员所提出的论文修改意见</w:t>
      </w:r>
    </w:p>
    <w:p w14:paraId="74A9F5B1" w14:textId="6D1FE84A" w:rsidR="00A15FC3" w:rsidRDefault="00D10B73" w:rsidP="00D10B73">
      <w:pPr>
        <w:pStyle w:val="a5"/>
        <w:numPr>
          <w:ilvl w:val="0"/>
          <w:numId w:val="2"/>
        </w:numPr>
        <w:spacing w:line="44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 w:rsidRPr="00D10B73">
        <w:rPr>
          <w:rFonts w:ascii="宋体" w:eastAsia="宋体" w:hAnsi="宋体"/>
          <w:sz w:val="24"/>
          <w:szCs w:val="24"/>
        </w:rPr>
        <w:t>研究背景及意义这部分介绍了联邦学习的背景，特别是纵向联邦学习（VFL）及其面临的挑战，如标注成本高、对齐样本不足等。然后引出了提出的方法VFPU和FedPSG-PUM。整体逻辑连贯，但可能存在文献引用不足的问题。例如，在提到联邦学习和纵向联邦学习时，引用了部分文献，但对于PU学习的引用可能不够全面，特别是PU学习在联邦场景中的应用是否有更多相关研究需要确认。此外，问题提出的部分可能需要更具体地指出当前研究的空白，例如现有方法在处理未标记数据缺失时的局限性。</w:t>
      </w:r>
    </w:p>
    <w:p w14:paraId="7C1F618E" w14:textId="3A336A29" w:rsidR="00D10B73" w:rsidRDefault="00D10B73" w:rsidP="00D10B73">
      <w:pPr>
        <w:pStyle w:val="a5"/>
        <w:numPr>
          <w:ilvl w:val="0"/>
          <w:numId w:val="2"/>
        </w:numPr>
        <w:spacing w:line="44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 w:rsidRPr="00D10B73">
        <w:rPr>
          <w:rFonts w:ascii="宋体" w:eastAsia="宋体" w:hAnsi="宋体" w:hint="eastAsia"/>
          <w:sz w:val="24"/>
          <w:szCs w:val="24"/>
        </w:rPr>
        <w:t>文献引用更新：建议检查是否有更新的相关研究文献（</w:t>
      </w:r>
      <w:r w:rsidRPr="00D10B73">
        <w:rPr>
          <w:rFonts w:ascii="宋体" w:eastAsia="宋体" w:hAnsi="宋体"/>
          <w:sz w:val="24"/>
          <w:szCs w:val="24"/>
        </w:rPr>
        <w:t>2022-2023年）可以补充，以体现研究的前沿性。</w:t>
      </w:r>
      <w:r w:rsidRPr="00D10B73">
        <w:rPr>
          <w:rFonts w:ascii="宋体" w:eastAsia="宋体" w:hAnsi="宋体" w:hint="eastAsia"/>
          <w:sz w:val="24"/>
          <w:szCs w:val="24"/>
        </w:rPr>
        <w:t>表格优化：表</w:t>
      </w:r>
      <w:r w:rsidRPr="00D10B73">
        <w:rPr>
          <w:rFonts w:ascii="宋体" w:eastAsia="宋体" w:hAnsi="宋体"/>
          <w:sz w:val="24"/>
          <w:szCs w:val="24"/>
        </w:rPr>
        <w:t>1中的"性能"一列内容不够清晰，建议重新组织或者增加解释。</w:t>
      </w:r>
    </w:p>
    <w:p w14:paraId="617C8C7F" w14:textId="7AFD9D45" w:rsidR="00D10B73" w:rsidRDefault="00DC0BB5" w:rsidP="00D10B73">
      <w:pPr>
        <w:pStyle w:val="a5"/>
        <w:numPr>
          <w:ilvl w:val="0"/>
          <w:numId w:val="2"/>
        </w:numPr>
        <w:spacing w:line="44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第三章</w:t>
      </w:r>
      <w:r w:rsidRPr="00DC0BB5">
        <w:rPr>
          <w:rFonts w:ascii="宋体" w:eastAsia="宋体" w:hAnsi="宋体" w:hint="eastAsia"/>
          <w:sz w:val="24"/>
          <w:szCs w:val="24"/>
        </w:rPr>
        <w:t>问题分析与定义部分详细描述了数据分布和问题设定，但可能存在术语使用不一致的情况，比如“样本</w:t>
      </w:r>
      <w:r w:rsidRPr="00DC0BB5">
        <w:rPr>
          <w:rFonts w:ascii="宋体" w:eastAsia="宋体" w:hAnsi="宋体"/>
          <w:sz w:val="24"/>
          <w:szCs w:val="24"/>
        </w:rPr>
        <w:t>ID空间”是否前后一致，是否需要进一步解释。此外，例子中的A、B、C三方描述是否清晰，是否有重复或冗余的信息。</w:t>
      </w:r>
    </w:p>
    <w:p w14:paraId="6E876B6E" w14:textId="764F7A53" w:rsidR="00DC0BB5" w:rsidRDefault="00DC0BB5" w:rsidP="00DC0BB5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DC0BB5">
        <w:rPr>
          <w:rFonts w:ascii="宋体" w:eastAsia="宋体" w:hAnsi="宋体" w:hint="eastAsia"/>
          <w:sz w:val="24"/>
          <w:szCs w:val="24"/>
        </w:rPr>
        <w:t>术语一致性“自助法”建议统一为“</w:t>
      </w:r>
      <w:r w:rsidRPr="00DC0BB5">
        <w:rPr>
          <w:rFonts w:ascii="宋体" w:eastAsia="宋体" w:hAnsi="宋体"/>
          <w:sz w:val="24"/>
          <w:szCs w:val="24"/>
        </w:rPr>
        <w:t>Bootstrap方法”或“自助采样法”，并在首次出现时附加英文（如“自助法（Bootstrap）”）。</w:t>
      </w:r>
      <w:r w:rsidRPr="00DC0BB5">
        <w:rPr>
          <w:rFonts w:ascii="宋体" w:eastAsia="宋体" w:hAnsi="宋体" w:hint="eastAsia"/>
          <w:sz w:val="24"/>
          <w:szCs w:val="24"/>
        </w:rPr>
        <w:t>“未标记数据缺失的</w:t>
      </w:r>
      <w:r w:rsidRPr="00DC0BB5">
        <w:rPr>
          <w:rFonts w:ascii="宋体" w:eastAsia="宋体" w:hAnsi="宋体"/>
          <w:sz w:val="24"/>
          <w:szCs w:val="24"/>
        </w:rPr>
        <w:t>PU学习问题”缩写“UDD-PU”需在首次出现时全称标注。</w:t>
      </w:r>
    </w:p>
    <w:p w14:paraId="6214CB6B" w14:textId="6E2B73CC" w:rsidR="00BB5C8E" w:rsidRPr="00BB5C8E" w:rsidRDefault="00BB5C8E" w:rsidP="00BB5C8E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BB5C8E">
        <w:rPr>
          <w:rFonts w:ascii="宋体" w:eastAsia="宋体" w:hAnsi="宋体" w:hint="eastAsia"/>
          <w:sz w:val="24"/>
          <w:szCs w:val="24"/>
        </w:rPr>
        <w:t>图表呈现图</w:t>
      </w:r>
      <w:r w:rsidR="008947E6">
        <w:rPr>
          <w:rFonts w:ascii="宋体" w:eastAsia="宋体" w:hAnsi="宋体" w:hint="eastAsia"/>
          <w:sz w:val="24"/>
          <w:szCs w:val="24"/>
        </w:rPr>
        <w:t>4-</w:t>
      </w:r>
      <w:r w:rsidRPr="00BB5C8E">
        <w:rPr>
          <w:rFonts w:ascii="宋体" w:eastAsia="宋体" w:hAnsi="宋体"/>
          <w:sz w:val="24"/>
          <w:szCs w:val="24"/>
        </w:rPr>
        <w:t>1(FedPSG-PUM算法总体流程)中的文字较小，建议调整字体大</w:t>
      </w:r>
      <w:r w:rsidRPr="00BB5C8E">
        <w:rPr>
          <w:rFonts w:ascii="宋体" w:eastAsia="宋体" w:hAnsi="宋体"/>
          <w:sz w:val="24"/>
          <w:szCs w:val="24"/>
        </w:rPr>
        <w:lastRenderedPageBreak/>
        <w:t>小或重新设计图表布局，确保可读性</w:t>
      </w:r>
      <w:r>
        <w:rPr>
          <w:rFonts w:ascii="宋体" w:eastAsia="宋体" w:hAnsi="宋体" w:hint="eastAsia"/>
          <w:sz w:val="24"/>
          <w:szCs w:val="24"/>
        </w:rPr>
        <w:t>。</w:t>
      </w:r>
      <w:r w:rsidRPr="00BB5C8E">
        <w:rPr>
          <w:rFonts w:ascii="宋体" w:eastAsia="宋体" w:hAnsi="宋体" w:hint="eastAsia"/>
          <w:sz w:val="24"/>
          <w:szCs w:val="24"/>
        </w:rPr>
        <w:t>实验结果图表中</w:t>
      </w:r>
      <w:r w:rsidRPr="00BB5C8E">
        <w:rPr>
          <w:rFonts w:ascii="宋体" w:eastAsia="宋体" w:hAnsi="宋体"/>
          <w:sz w:val="24"/>
          <w:szCs w:val="24"/>
        </w:rPr>
        <w:t>(如图4</w:t>
      </w:r>
      <w:r w:rsidR="008947E6">
        <w:rPr>
          <w:rFonts w:ascii="宋体" w:eastAsia="宋体" w:hAnsi="宋体" w:hint="eastAsia"/>
          <w:sz w:val="24"/>
          <w:szCs w:val="24"/>
        </w:rPr>
        <w:t>-2</w:t>
      </w:r>
      <w:r w:rsidRPr="00BB5C8E">
        <w:rPr>
          <w:rFonts w:ascii="宋体" w:eastAsia="宋体" w:hAnsi="宋体"/>
          <w:sz w:val="24"/>
          <w:szCs w:val="24"/>
        </w:rPr>
        <w:t>和图</w:t>
      </w:r>
      <w:r w:rsidR="008947E6">
        <w:rPr>
          <w:rFonts w:ascii="宋体" w:eastAsia="宋体" w:hAnsi="宋体" w:hint="eastAsia"/>
          <w:sz w:val="24"/>
          <w:szCs w:val="24"/>
        </w:rPr>
        <w:t>4-3</w:t>
      </w:r>
      <w:r w:rsidRPr="00BB5C8E">
        <w:rPr>
          <w:rFonts w:ascii="宋体" w:eastAsia="宋体" w:hAnsi="宋体"/>
          <w:sz w:val="24"/>
          <w:szCs w:val="24"/>
        </w:rPr>
        <w:t>)建议添加误差线或置信区间，以展示结果的统计稳定性</w:t>
      </w:r>
      <w:r w:rsidR="004F18CA">
        <w:rPr>
          <w:rFonts w:ascii="宋体" w:eastAsia="宋体" w:hAnsi="宋体" w:hint="eastAsia"/>
          <w:sz w:val="24"/>
          <w:szCs w:val="24"/>
        </w:rPr>
        <w:t>。</w:t>
      </w:r>
    </w:p>
    <w:sectPr w:rsidR="00BB5C8E" w:rsidRPr="00BB5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A47"/>
    <w:multiLevelType w:val="hybridMultilevel"/>
    <w:tmpl w:val="DC345702"/>
    <w:lvl w:ilvl="0" w:tplc="2EAE4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F1862"/>
    <w:multiLevelType w:val="hybridMultilevel"/>
    <w:tmpl w:val="65363A58"/>
    <w:lvl w:ilvl="0" w:tplc="8EE8D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2C"/>
    <w:rsid w:val="00066D69"/>
    <w:rsid w:val="001675AF"/>
    <w:rsid w:val="001D2859"/>
    <w:rsid w:val="002C012C"/>
    <w:rsid w:val="00342427"/>
    <w:rsid w:val="00366A83"/>
    <w:rsid w:val="004F18CA"/>
    <w:rsid w:val="00510804"/>
    <w:rsid w:val="007A6000"/>
    <w:rsid w:val="007F779C"/>
    <w:rsid w:val="008947E6"/>
    <w:rsid w:val="008A5479"/>
    <w:rsid w:val="008C3B46"/>
    <w:rsid w:val="008D0FD2"/>
    <w:rsid w:val="008D5287"/>
    <w:rsid w:val="00996E52"/>
    <w:rsid w:val="009C4C42"/>
    <w:rsid w:val="00A15FC3"/>
    <w:rsid w:val="00AA0E76"/>
    <w:rsid w:val="00B52A7E"/>
    <w:rsid w:val="00B8140D"/>
    <w:rsid w:val="00BB5C8E"/>
    <w:rsid w:val="00C62A98"/>
    <w:rsid w:val="00CF7965"/>
    <w:rsid w:val="00D10B73"/>
    <w:rsid w:val="00DC0BB5"/>
    <w:rsid w:val="00DC430C"/>
    <w:rsid w:val="00DF34EA"/>
    <w:rsid w:val="00E6048B"/>
    <w:rsid w:val="00F06314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56FB"/>
  <w15:chartTrackingRefBased/>
  <w15:docId w15:val="{0F130E5C-8B2B-42E8-8F8A-954B6B6B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4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14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14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43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42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2025-05-18T04:07:00Z</dcterms:created>
  <dcterms:modified xsi:type="dcterms:W3CDTF">2025-05-18T04:38:00Z</dcterms:modified>
</cp:coreProperties>
</file>