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重型商用车变速器技术协议</w:t>
      </w:r>
    </w:p>
    <w:p>
      <w:r>
        <w:rPr>
          <w:sz w:val="20"/>
        </w:rPr>
        <w:t>合成演示样例  仅用于系统演示</w:t>
      </w:r>
    </w:p>
    <w:p>
      <w:r>
        <w:t>文档编号 DOC-P01-001    版本 V1</w:t>
      </w:r>
    </w:p>
    <w:p>
      <w:pPr>
        <w:keepLines/>
      </w:pPr>
      <w:r>
        <w:t>3.1 整车配置：6×4 牵引车，整车总质量 49 t；发动机最大扭矩 2600 N·m，最大功率 397 kW / 1900 r/min。</w:t>
      </w:r>
    </w:p>
    <w:p>
      <w:pPr>
        <w:keepLines/>
      </w:pPr>
      <w:r>
        <w:t>4.2 变速器要求：12 档 AMT，一档速比不低于 14.5，最高档为直接档或超速档；额定输入扭矩不低于发动机最大扭矩；需配置取力器接口。</w:t>
      </w:r>
    </w:p>
    <w:p>
      <w:pPr>
        <w:keepLines/>
      </w:pPr>
      <w:r>
        <w:t>4.5 安装：总成重量不超过 300 kg，离合器壳接口按主机厂图纸 SX-DRW-0215 执行。</w:t>
      </w:r>
    </w:p>
    <w:p>
      <w:pPr>
        <w:keepLines/>
      </w:pPr>
      <w:r>
        <w:t>7.1 耐久：台架耐久按双方商定标准执行。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80"/>
    </w:pPr>
    <w:rPr>
      <w:rFonts w:ascii="Microsoft YaHei" w:hAnsi="Microsoft YaHei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重型商用车变速器技术协议</dc:title>
  <dc:subject>合成技术协议导入演示样例</dc:subject>
  <dc:creator>智研引擎项目组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