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15" w:rsidRDefault="00C04F92" w:rsidP="00C04F9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Інформація про загальну кількість акцій та голосуючих акцій </w:t>
      </w:r>
    </w:p>
    <w:p w:rsidR="00C04F92" w:rsidRDefault="00C04F92" w:rsidP="00C04F9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Станом на 01.05.2023р. – дату складання переліку осіб, яким надсилається повідомлення про проведення позачергових загальних зборів акціонерів АТ «Оснастка» призначених на 30 червня 2023року</w:t>
      </w:r>
    </w:p>
    <w:p w:rsidR="00C04F92" w:rsidRDefault="00C04F92" w:rsidP="00C04F92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04F92" w:rsidRDefault="00C04F92" w:rsidP="00C04F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Загальна кількість акцій складає </w:t>
      </w:r>
      <w:r w:rsidR="00AA564D">
        <w:rPr>
          <w:rFonts w:ascii="Times New Roman" w:hAnsi="Times New Roman" w:cs="Times New Roman"/>
          <w:b/>
          <w:sz w:val="24"/>
          <w:szCs w:val="24"/>
          <w:lang w:val="uk-UA"/>
        </w:rPr>
        <w:t>294 821 080шт.</w:t>
      </w:r>
    </w:p>
    <w:p w:rsidR="00C04F92" w:rsidRPr="00C04F92" w:rsidRDefault="00C04F92" w:rsidP="00C04F92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</w:p>
    <w:p w:rsidR="00C04F92" w:rsidRDefault="00C04F92" w:rsidP="00C04F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Кількість голосуючих акцій складає</w:t>
      </w:r>
      <w:r w:rsidR="00AA564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170 761 465шт.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C04F92" w:rsidRDefault="00C04F92" w:rsidP="00C04F92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04F92" w:rsidRPr="00C04F92" w:rsidRDefault="00C04F92" w:rsidP="00C04F92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C04F92" w:rsidRPr="00C0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8745D"/>
    <w:multiLevelType w:val="hybridMultilevel"/>
    <w:tmpl w:val="5F2C9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FC"/>
    <w:rsid w:val="006139FC"/>
    <w:rsid w:val="00AA564D"/>
    <w:rsid w:val="00C04F92"/>
    <w:rsid w:val="00DE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EDC2"/>
  <w15:chartTrackingRefBased/>
  <w15:docId w15:val="{97517F34-4256-4FAE-AC45-C90A6E4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2023-06-05T06:20:00Z</dcterms:created>
  <dcterms:modified xsi:type="dcterms:W3CDTF">2023-06-06T05:14:00Z</dcterms:modified>
</cp:coreProperties>
</file>