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0B6DA">
      <w:pPr>
        <w:pStyle w:val="2"/>
        <w:rPr>
          <w:rFonts w:eastAsia="宋体"/>
          <w:i/>
          <w:lang w:eastAsia="zh-CN"/>
        </w:rPr>
        <w:sectPr>
          <w:headerReference r:id="rId5" w:type="first"/>
          <w:headerReference r:id="rId4" w:type="default"/>
          <w:footerReference r:id="rId6" w:type="default"/>
          <w:pgSz w:w="11906" w:h="16838"/>
          <w:pgMar w:top="1701" w:right="1134" w:bottom="1134" w:left="2268" w:header="709" w:footer="709" w:gutter="0"/>
          <w:pgNumType w:fmt="decimal" w:start="1"/>
          <w:cols w:space="720" w:num="1"/>
          <w:formProt w:val="0"/>
          <w:titlePg/>
          <w:docGrid w:linePitch="360" w:charSpace="0"/>
        </w:sectPr>
      </w:pPr>
      <w:r>
        <w:rPr>
          <w:rFonts w:eastAsia="宋体"/>
          <w:i/>
          <w:lang w:eastAsia="zh-CN"/>
        </w:rPr>
        <w:drawing>
          <wp:inline distT="0" distB="0" distL="0" distR="0">
            <wp:extent cx="5650230" cy="799401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16"/>
                    <a:srcRect l="-3" t="-2" r="-3" b="-2"/>
                    <a:stretch>
                      <a:fillRect/>
                    </a:stretch>
                  </pic:blipFill>
                  <pic:spPr>
                    <a:xfrm>
                      <a:off x="0" y="0"/>
                      <a:ext cx="5650230" cy="7994015"/>
                    </a:xfrm>
                    <a:prstGeom prst="rect">
                      <a:avLst/>
                    </a:prstGeom>
                    <a:noFill/>
                  </pic:spPr>
                </pic:pic>
              </a:graphicData>
            </a:graphic>
          </wp:inline>
        </w:drawing>
      </w:r>
    </w:p>
    <w:p w14:paraId="659C2536">
      <w:pPr>
        <w:rPr>
          <w:b/>
          <w:sz w:val="28"/>
        </w:rPr>
      </w:pPr>
      <w:r>
        <w:rPr>
          <w:b/>
          <w:sz w:val="28"/>
        </w:rPr>
        <w:t>Inhaltsverzeichnis</w:t>
      </w:r>
    </w:p>
    <w:sdt>
      <w:sdtPr>
        <w:id w:val="147476441"/>
        <w:docPartObj>
          <w:docPartGallery w:val="Table of Contents"/>
          <w:docPartUnique/>
        </w:docPartObj>
      </w:sdtPr>
      <w:sdtContent>
        <w:p w14:paraId="4DF94A62">
          <w:pPr>
            <w:pStyle w:val="22"/>
            <w:tabs>
              <w:tab w:val="right" w:leader="dot" w:pos="8504"/>
            </w:tabs>
            <w:rPr>
              <w:rFonts w:ascii="Times New Roman" w:hAnsi="Times New Roman" w:eastAsia="宋体" w:cs="Times New Roman"/>
              <w:b/>
              <w:color w:val="auto"/>
              <w:sz w:val="24"/>
              <w:szCs w:val="24"/>
              <w:lang w:val="en-US" w:eastAsia="en-US" w:bidi="ar-SA"/>
            </w:rPr>
          </w:pPr>
          <w:r>
            <w:fldChar w:fldCharType="begin"/>
          </w:r>
          <w:r>
            <w:rPr>
              <w:rStyle w:val="69"/>
              <w:b w:val="0"/>
            </w:rPr>
            <w:instrText xml:space="preserve"> TOC \o "1-4" \h \z \u </w:instrText>
          </w:r>
          <w:r>
            <w:rPr>
              <w:rStyle w:val="69"/>
              <w:b w:val="0"/>
            </w:rPr>
            <w:fldChar w:fldCharType="separate"/>
          </w:r>
        </w:p>
        <w:p w14:paraId="2FF7E152">
          <w:pPr>
            <w:pStyle w:val="22"/>
            <w:tabs>
              <w:tab w:val="right" w:leader="dot" w:pos="8504"/>
              <w:tab w:val="clear" w:pos="440"/>
              <w:tab w:val="clear" w:pos="8494"/>
            </w:tabs>
          </w:pPr>
          <w:r>
            <w:fldChar w:fldCharType="begin"/>
          </w:r>
          <w:r>
            <w:instrText xml:space="preserve"> HYPERLINK \l _Toc24040 </w:instrText>
          </w:r>
          <w:r>
            <w:fldChar w:fldCharType="separate"/>
          </w:r>
          <w:r>
            <w:t>Abbildungsverzeichnis</w:t>
          </w:r>
          <w:r>
            <w:tab/>
          </w:r>
          <w:r>
            <w:fldChar w:fldCharType="begin"/>
          </w:r>
          <w:r>
            <w:instrText xml:space="preserve"> PAGEREF _Toc24040 \h </w:instrText>
          </w:r>
          <w:r>
            <w:fldChar w:fldCharType="separate"/>
          </w:r>
          <w:r>
            <w:t>II</w:t>
          </w:r>
          <w:r>
            <w:fldChar w:fldCharType="end"/>
          </w:r>
          <w:r>
            <w:fldChar w:fldCharType="end"/>
          </w:r>
        </w:p>
        <w:p w14:paraId="0E523D32">
          <w:pPr>
            <w:pStyle w:val="22"/>
            <w:tabs>
              <w:tab w:val="right" w:leader="dot" w:pos="8504"/>
              <w:tab w:val="clear" w:pos="440"/>
              <w:tab w:val="clear" w:pos="8494"/>
            </w:tabs>
            <w:outlineLvl w:val="0"/>
          </w:pPr>
          <w:r>
            <w:fldChar w:fldCharType="begin"/>
          </w:r>
          <w:r>
            <w:instrText xml:space="preserve"> HYPERLINK \l _Toc14645 </w:instrText>
          </w:r>
          <w:r>
            <w:fldChar w:fldCharType="separate"/>
          </w:r>
          <w:r>
            <w:t>Tabellenverzeichnis</w:t>
          </w:r>
          <w:r>
            <w:tab/>
          </w:r>
          <w:r>
            <w:fldChar w:fldCharType="begin"/>
          </w:r>
          <w:r>
            <w:instrText xml:space="preserve"> PAGEREF _Toc14645 \h </w:instrText>
          </w:r>
          <w:r>
            <w:fldChar w:fldCharType="separate"/>
          </w:r>
          <w:r>
            <w:t>II</w:t>
          </w:r>
          <w:r>
            <w:fldChar w:fldCharType="end"/>
          </w:r>
          <w:r>
            <w:fldChar w:fldCharType="end"/>
          </w:r>
        </w:p>
        <w:p w14:paraId="20F68289">
          <w:pPr>
            <w:pStyle w:val="22"/>
            <w:tabs>
              <w:tab w:val="right" w:leader="dot" w:pos="8504"/>
              <w:tab w:val="clear" w:pos="440"/>
              <w:tab w:val="clear" w:pos="8494"/>
            </w:tabs>
          </w:pPr>
          <w:r>
            <w:fldChar w:fldCharType="begin"/>
          </w:r>
          <w:r>
            <w:instrText xml:space="preserve"> HYPERLINK \l _Toc23552 </w:instrText>
          </w:r>
          <w:r>
            <w:fldChar w:fldCharType="separate"/>
          </w:r>
          <w:r>
            <w:t>Abkürzungsverzeichnis</w:t>
          </w:r>
          <w:r>
            <w:tab/>
          </w:r>
          <w:r>
            <w:fldChar w:fldCharType="begin"/>
          </w:r>
          <w:r>
            <w:instrText xml:space="preserve"> PAGEREF _Toc23552 \h </w:instrText>
          </w:r>
          <w:r>
            <w:fldChar w:fldCharType="separate"/>
          </w:r>
          <w:r>
            <w:t>III</w:t>
          </w:r>
          <w:r>
            <w:fldChar w:fldCharType="end"/>
          </w:r>
          <w:r>
            <w:fldChar w:fldCharType="end"/>
          </w:r>
        </w:p>
        <w:p w14:paraId="082EF4C5">
          <w:pPr>
            <w:pStyle w:val="22"/>
            <w:tabs>
              <w:tab w:val="right" w:leader="dot" w:pos="8504"/>
              <w:tab w:val="clear" w:pos="440"/>
              <w:tab w:val="clear" w:pos="8494"/>
            </w:tabs>
          </w:pPr>
          <w:r>
            <w:fldChar w:fldCharType="begin"/>
          </w:r>
          <w:r>
            <w:instrText xml:space="preserve"> HYPERLINK \l _Toc14906 </w:instrText>
          </w:r>
          <w:r>
            <w:fldChar w:fldCharType="separate"/>
          </w:r>
          <w:r>
            <w:t>1 Einleitung</w:t>
          </w:r>
          <w:r>
            <w:tab/>
          </w:r>
          <w:r>
            <w:fldChar w:fldCharType="begin"/>
          </w:r>
          <w:r>
            <w:instrText xml:space="preserve"> PAGEREF _Toc14906 \h </w:instrText>
          </w:r>
          <w:r>
            <w:fldChar w:fldCharType="separate"/>
          </w:r>
          <w:r>
            <w:t>1</w:t>
          </w:r>
          <w:r>
            <w:fldChar w:fldCharType="end"/>
          </w:r>
          <w:r>
            <w:fldChar w:fldCharType="end"/>
          </w:r>
        </w:p>
        <w:p w14:paraId="740A7844">
          <w:pPr>
            <w:pStyle w:val="30"/>
            <w:tabs>
              <w:tab w:val="right" w:leader="dot" w:pos="8504"/>
              <w:tab w:val="clear" w:pos="880"/>
              <w:tab w:val="clear" w:pos="1200"/>
              <w:tab w:val="clear" w:pos="8494"/>
            </w:tabs>
          </w:pPr>
          <w:r>
            <w:fldChar w:fldCharType="begin"/>
          </w:r>
          <w:r>
            <w:instrText xml:space="preserve"> HYPERLINK \l _Toc23976 </w:instrText>
          </w:r>
          <w:r>
            <w:fldChar w:fldCharType="separate"/>
          </w:r>
          <w:r>
            <w:t>1.1 Ausgangslage und Problemstellung</w:t>
          </w:r>
          <w:r>
            <w:tab/>
          </w:r>
          <w:r>
            <w:fldChar w:fldCharType="begin"/>
          </w:r>
          <w:r>
            <w:instrText xml:space="preserve"> PAGEREF _Toc23976 \h </w:instrText>
          </w:r>
          <w:r>
            <w:fldChar w:fldCharType="separate"/>
          </w:r>
          <w:r>
            <w:t>1</w:t>
          </w:r>
          <w:r>
            <w:fldChar w:fldCharType="end"/>
          </w:r>
          <w:r>
            <w:fldChar w:fldCharType="end"/>
          </w:r>
        </w:p>
        <w:p w14:paraId="5590A788">
          <w:pPr>
            <w:pStyle w:val="30"/>
            <w:tabs>
              <w:tab w:val="right" w:leader="dot" w:pos="8504"/>
              <w:tab w:val="clear" w:pos="880"/>
              <w:tab w:val="clear" w:pos="1200"/>
              <w:tab w:val="clear" w:pos="8494"/>
            </w:tabs>
          </w:pPr>
          <w:r>
            <w:fldChar w:fldCharType="begin"/>
          </w:r>
          <w:r>
            <w:instrText xml:space="preserve"> HYPERLINK \l _Toc17209 </w:instrText>
          </w:r>
          <w:r>
            <w:fldChar w:fldCharType="separate"/>
          </w:r>
          <w:r>
            <w:t>1.2 Zielsetzung</w:t>
          </w:r>
          <w:r>
            <w:tab/>
          </w:r>
          <w:r>
            <w:fldChar w:fldCharType="begin"/>
          </w:r>
          <w:r>
            <w:instrText xml:space="preserve"> PAGEREF _Toc17209 \h </w:instrText>
          </w:r>
          <w:r>
            <w:fldChar w:fldCharType="separate"/>
          </w:r>
          <w:r>
            <w:t>3</w:t>
          </w:r>
          <w:r>
            <w:fldChar w:fldCharType="end"/>
          </w:r>
          <w:r>
            <w:fldChar w:fldCharType="end"/>
          </w:r>
        </w:p>
        <w:p w14:paraId="239BE4A6">
          <w:pPr>
            <w:pStyle w:val="30"/>
            <w:tabs>
              <w:tab w:val="right" w:leader="dot" w:pos="8504"/>
              <w:tab w:val="clear" w:pos="880"/>
              <w:tab w:val="clear" w:pos="1200"/>
              <w:tab w:val="clear" w:pos="8494"/>
            </w:tabs>
          </w:pPr>
          <w:r>
            <w:fldChar w:fldCharType="begin"/>
          </w:r>
          <w:r>
            <w:instrText xml:space="preserve"> HYPERLINK \l _Toc17513 </w:instrText>
          </w:r>
          <w:r>
            <w:fldChar w:fldCharType="separate"/>
          </w:r>
          <w:r>
            <w:t>1.3 Aufbau der Arbeit</w:t>
          </w:r>
          <w:r>
            <w:tab/>
          </w:r>
          <w:r>
            <w:fldChar w:fldCharType="begin"/>
          </w:r>
          <w:r>
            <w:instrText xml:space="preserve"> PAGEREF _Toc17513 \h </w:instrText>
          </w:r>
          <w:r>
            <w:fldChar w:fldCharType="separate"/>
          </w:r>
          <w:r>
            <w:t>5</w:t>
          </w:r>
          <w:r>
            <w:fldChar w:fldCharType="end"/>
          </w:r>
          <w:r>
            <w:fldChar w:fldCharType="end"/>
          </w:r>
        </w:p>
        <w:p w14:paraId="13375DD6">
          <w:pPr>
            <w:pStyle w:val="22"/>
            <w:tabs>
              <w:tab w:val="right" w:leader="dot" w:pos="8504"/>
              <w:tab w:val="clear" w:pos="440"/>
              <w:tab w:val="clear" w:pos="8494"/>
            </w:tabs>
          </w:pPr>
          <w:r>
            <w:fldChar w:fldCharType="begin"/>
          </w:r>
          <w:r>
            <w:instrText xml:space="preserve"> HYPERLINK \l _Toc1758 </w:instrText>
          </w:r>
          <w:r>
            <w:fldChar w:fldCharType="separate"/>
          </w:r>
          <w:r>
            <w:t xml:space="preserve">2 </w:t>
          </w:r>
          <w:r>
            <w:rPr>
              <w:lang w:val="en-US" w:eastAsia="zh-CN"/>
            </w:rPr>
            <w:t>Begriffliche</w:t>
          </w:r>
          <w:r>
            <w:rPr>
              <w:lang w:val="de-DE" w:eastAsia="zh-CN"/>
            </w:rPr>
            <w:t xml:space="preserve"> </w:t>
          </w:r>
          <w:r>
            <w:t>Grundlage</w:t>
          </w:r>
          <w:r>
            <w:rPr>
              <w:lang w:val="en-US" w:eastAsia="zh-CN"/>
            </w:rPr>
            <w:t>n</w:t>
          </w:r>
          <w:r>
            <w:tab/>
          </w:r>
          <w:r>
            <w:fldChar w:fldCharType="begin"/>
          </w:r>
          <w:r>
            <w:instrText xml:space="preserve"> PAGEREF _Toc1758 \h </w:instrText>
          </w:r>
          <w:r>
            <w:fldChar w:fldCharType="separate"/>
          </w:r>
          <w:r>
            <w:t>6</w:t>
          </w:r>
          <w:r>
            <w:fldChar w:fldCharType="end"/>
          </w:r>
          <w:r>
            <w:fldChar w:fldCharType="end"/>
          </w:r>
        </w:p>
        <w:p w14:paraId="308DC566">
          <w:pPr>
            <w:pStyle w:val="30"/>
            <w:tabs>
              <w:tab w:val="right" w:leader="dot" w:pos="8504"/>
              <w:tab w:val="clear" w:pos="880"/>
              <w:tab w:val="clear" w:pos="1200"/>
              <w:tab w:val="clear" w:pos="8494"/>
            </w:tabs>
          </w:pPr>
          <w:r>
            <w:fldChar w:fldCharType="begin"/>
          </w:r>
          <w:r>
            <w:instrText xml:space="preserve"> HYPERLINK \l _Toc6748 </w:instrText>
          </w:r>
          <w:r>
            <w:fldChar w:fldCharType="separate"/>
          </w:r>
          <w:r>
            <w:rPr>
              <w:lang w:val="de-DE" w:eastAsia="zh-CN"/>
            </w:rPr>
            <w:t xml:space="preserve">2.1 </w:t>
          </w:r>
          <w:r>
            <w:t>Begriff und Ursprung des betrieblichen Konfliktmanagements</w:t>
          </w:r>
          <w:r>
            <w:tab/>
          </w:r>
          <w:r>
            <w:fldChar w:fldCharType="begin"/>
          </w:r>
          <w:r>
            <w:instrText xml:space="preserve"> PAGEREF _Toc6748 \h </w:instrText>
          </w:r>
          <w:r>
            <w:fldChar w:fldCharType="separate"/>
          </w:r>
          <w:r>
            <w:t>6</w:t>
          </w:r>
          <w:r>
            <w:fldChar w:fldCharType="end"/>
          </w:r>
          <w:r>
            <w:fldChar w:fldCharType="end"/>
          </w:r>
        </w:p>
        <w:p w14:paraId="0A1AE179">
          <w:pPr>
            <w:pStyle w:val="30"/>
            <w:tabs>
              <w:tab w:val="right" w:leader="dot" w:pos="8504"/>
              <w:tab w:val="clear" w:pos="880"/>
              <w:tab w:val="clear" w:pos="1200"/>
              <w:tab w:val="clear" w:pos="8494"/>
            </w:tabs>
          </w:pPr>
          <w:r>
            <w:fldChar w:fldCharType="begin"/>
          </w:r>
          <w:r>
            <w:instrText xml:space="preserve"> HYPERLINK \l _Toc2174 </w:instrText>
          </w:r>
          <w:r>
            <w:fldChar w:fldCharType="separate"/>
          </w:r>
          <w:r>
            <w:t xml:space="preserve">2.2 </w:t>
          </w:r>
          <w:r>
            <w:rPr>
              <w:lang w:val="de-DE"/>
            </w:rPr>
            <w:t>Abgrenzung zu verwandten Konzepten</w:t>
          </w:r>
          <w:r>
            <w:tab/>
          </w:r>
          <w:r>
            <w:fldChar w:fldCharType="begin"/>
          </w:r>
          <w:r>
            <w:instrText xml:space="preserve"> PAGEREF _Toc2174 \h </w:instrText>
          </w:r>
          <w:r>
            <w:fldChar w:fldCharType="separate"/>
          </w:r>
          <w:r>
            <w:t>8</w:t>
          </w:r>
          <w:r>
            <w:fldChar w:fldCharType="end"/>
          </w:r>
          <w:r>
            <w:fldChar w:fldCharType="end"/>
          </w:r>
        </w:p>
        <w:p w14:paraId="4822C0FB">
          <w:pPr>
            <w:pStyle w:val="17"/>
            <w:tabs>
              <w:tab w:val="right" w:leader="dot" w:pos="8504"/>
              <w:tab w:val="clear" w:pos="1320"/>
              <w:tab w:val="clear" w:pos="1701"/>
              <w:tab w:val="clear" w:pos="8494"/>
            </w:tabs>
          </w:pPr>
          <w:r>
            <w:fldChar w:fldCharType="begin"/>
          </w:r>
          <w:r>
            <w:instrText xml:space="preserve"> HYPERLINK \l _Toc22712 </w:instrText>
          </w:r>
          <w:r>
            <w:fldChar w:fldCharType="separate"/>
          </w:r>
          <w:r>
            <w:t>2.2.1 Konfliktl6sung vs. Konfliktpravention</w:t>
          </w:r>
          <w:r>
            <w:tab/>
          </w:r>
          <w:r>
            <w:fldChar w:fldCharType="begin"/>
          </w:r>
          <w:r>
            <w:instrText xml:space="preserve"> PAGEREF _Toc22712 \h </w:instrText>
          </w:r>
          <w:r>
            <w:fldChar w:fldCharType="separate"/>
          </w:r>
          <w:r>
            <w:t>9</w:t>
          </w:r>
          <w:r>
            <w:fldChar w:fldCharType="end"/>
          </w:r>
          <w:r>
            <w:fldChar w:fldCharType="end"/>
          </w:r>
        </w:p>
        <w:p w14:paraId="5FA86CBA">
          <w:pPr>
            <w:pStyle w:val="17"/>
            <w:tabs>
              <w:tab w:val="right" w:leader="dot" w:pos="8504"/>
              <w:tab w:val="clear" w:pos="1320"/>
              <w:tab w:val="clear" w:pos="1701"/>
              <w:tab w:val="clear" w:pos="8494"/>
            </w:tabs>
          </w:pPr>
          <w:r>
            <w:fldChar w:fldCharType="begin"/>
          </w:r>
          <w:r>
            <w:instrText xml:space="preserve"> HYPERLINK \l _Toc6873 </w:instrText>
          </w:r>
          <w:r>
            <w:fldChar w:fldCharType="separate"/>
          </w:r>
          <w:r>
            <w:t>2.2.2 Konfliktmanagement vs.Beschwerde-und Compliance-Systeme</w:t>
          </w:r>
          <w:r>
            <w:tab/>
          </w:r>
          <w:r>
            <w:fldChar w:fldCharType="begin"/>
          </w:r>
          <w:r>
            <w:instrText xml:space="preserve"> PAGEREF _Toc6873 \h </w:instrText>
          </w:r>
          <w:r>
            <w:fldChar w:fldCharType="separate"/>
          </w:r>
          <w:r>
            <w:t>10</w:t>
          </w:r>
          <w:r>
            <w:fldChar w:fldCharType="end"/>
          </w:r>
          <w:r>
            <w:fldChar w:fldCharType="end"/>
          </w:r>
        </w:p>
        <w:p w14:paraId="75E94479">
          <w:pPr>
            <w:pStyle w:val="30"/>
            <w:tabs>
              <w:tab w:val="right" w:leader="dot" w:pos="8504"/>
              <w:tab w:val="clear" w:pos="880"/>
              <w:tab w:val="clear" w:pos="1200"/>
              <w:tab w:val="clear" w:pos="8494"/>
            </w:tabs>
          </w:pPr>
          <w:r>
            <w:fldChar w:fldCharType="begin"/>
          </w:r>
          <w:r>
            <w:instrText xml:space="preserve"> HYPERLINK \l _Toc29694 </w:instrText>
          </w:r>
          <w:r>
            <w:fldChar w:fldCharType="separate"/>
          </w:r>
          <w:r>
            <w:rPr>
              <w:lang w:val="de-DE"/>
            </w:rPr>
            <w:t>2.3 Ziele und Prinzipien eines kultursensitiven Konfliktmanagements</w:t>
          </w:r>
          <w:r>
            <w:tab/>
          </w:r>
          <w:r>
            <w:fldChar w:fldCharType="begin"/>
          </w:r>
          <w:r>
            <w:instrText xml:space="preserve"> PAGEREF _Toc29694 \h </w:instrText>
          </w:r>
          <w:r>
            <w:fldChar w:fldCharType="separate"/>
          </w:r>
          <w:r>
            <w:t>12</w:t>
          </w:r>
          <w:r>
            <w:fldChar w:fldCharType="end"/>
          </w:r>
          <w:r>
            <w:fldChar w:fldCharType="end"/>
          </w:r>
        </w:p>
        <w:p w14:paraId="632FCDB2">
          <w:pPr>
            <w:pStyle w:val="22"/>
            <w:tabs>
              <w:tab w:val="right" w:leader="dot" w:pos="8504"/>
              <w:tab w:val="clear" w:pos="440"/>
              <w:tab w:val="clear" w:pos="8494"/>
            </w:tabs>
          </w:pPr>
          <w:r>
            <w:fldChar w:fldCharType="begin"/>
          </w:r>
          <w:r>
            <w:instrText xml:space="preserve"> HYPERLINK \l _Toc8740 </w:instrText>
          </w:r>
          <w:r>
            <w:fldChar w:fldCharType="separate"/>
          </w:r>
          <w:r>
            <w:rPr>
              <w:lang w:val="en-US" w:eastAsia="zh-CN"/>
            </w:rPr>
            <w:t xml:space="preserve">3 </w:t>
          </w:r>
          <w:r>
            <w:t>Konfliktmanagement - Analyse der Instrumente für große Organisationen im chinesischen Kontext</w:t>
          </w:r>
          <w:r>
            <w:tab/>
          </w:r>
          <w:r>
            <w:fldChar w:fldCharType="begin"/>
          </w:r>
          <w:r>
            <w:instrText xml:space="preserve"> PAGEREF _Toc8740 \h </w:instrText>
          </w:r>
          <w:r>
            <w:fldChar w:fldCharType="separate"/>
          </w:r>
          <w:r>
            <w:t>20</w:t>
          </w:r>
          <w:r>
            <w:fldChar w:fldCharType="end"/>
          </w:r>
          <w:r>
            <w:fldChar w:fldCharType="end"/>
          </w:r>
        </w:p>
        <w:p w14:paraId="5BA8433E">
          <w:pPr>
            <w:pStyle w:val="30"/>
            <w:tabs>
              <w:tab w:val="right" w:leader="dot" w:pos="8504"/>
              <w:tab w:val="clear" w:pos="880"/>
              <w:tab w:val="clear" w:pos="1200"/>
              <w:tab w:val="clear" w:pos="8494"/>
            </w:tabs>
          </w:pPr>
          <w:r>
            <w:fldChar w:fldCharType="begin"/>
          </w:r>
          <w:r>
            <w:instrText xml:space="preserve"> HYPERLINK \l _Toc25182 </w:instrText>
          </w:r>
          <w:r>
            <w:fldChar w:fldCharType="separate"/>
          </w:r>
          <w:r>
            <w:t xml:space="preserve">3.1 </w:t>
          </w:r>
          <w:r>
            <w:rPr>
              <w:lang w:val="en-US" w:eastAsia="zh-CN"/>
            </w:rPr>
            <w:t>Instrumente des Konfliktmanagements</w:t>
          </w:r>
          <w:r>
            <w:tab/>
          </w:r>
          <w:r>
            <w:fldChar w:fldCharType="begin"/>
          </w:r>
          <w:r>
            <w:instrText xml:space="preserve"> PAGEREF _Toc25182 \h </w:instrText>
          </w:r>
          <w:r>
            <w:fldChar w:fldCharType="separate"/>
          </w:r>
          <w:r>
            <w:t>20</w:t>
          </w:r>
          <w:r>
            <w:fldChar w:fldCharType="end"/>
          </w:r>
          <w:r>
            <w:fldChar w:fldCharType="end"/>
          </w:r>
        </w:p>
        <w:p w14:paraId="55C6BECF">
          <w:pPr>
            <w:pStyle w:val="17"/>
            <w:tabs>
              <w:tab w:val="right" w:leader="dot" w:pos="8504"/>
              <w:tab w:val="clear" w:pos="1320"/>
              <w:tab w:val="clear" w:pos="1701"/>
              <w:tab w:val="clear" w:pos="8494"/>
            </w:tabs>
          </w:pPr>
          <w:r>
            <w:fldChar w:fldCharType="begin"/>
          </w:r>
          <w:r>
            <w:instrText xml:space="preserve"> HYPERLINK \l _Toc7007 </w:instrText>
          </w:r>
          <w:r>
            <w:fldChar w:fldCharType="separate"/>
          </w:r>
          <w:r>
            <w:t>3.1.1 Mediation und Ombudsstellen</w:t>
          </w:r>
          <w:r>
            <w:tab/>
          </w:r>
          <w:r>
            <w:fldChar w:fldCharType="begin"/>
          </w:r>
          <w:r>
            <w:instrText xml:space="preserve"> PAGEREF _Toc7007 \h </w:instrText>
          </w:r>
          <w:r>
            <w:fldChar w:fldCharType="separate"/>
          </w:r>
          <w:r>
            <w:t>20</w:t>
          </w:r>
          <w:r>
            <w:fldChar w:fldCharType="end"/>
          </w:r>
          <w:r>
            <w:fldChar w:fldCharType="end"/>
          </w:r>
        </w:p>
        <w:p w14:paraId="6D94DA12">
          <w:pPr>
            <w:pStyle w:val="17"/>
            <w:tabs>
              <w:tab w:val="right" w:leader="dot" w:pos="8504"/>
              <w:tab w:val="clear" w:pos="1320"/>
              <w:tab w:val="clear" w:pos="1701"/>
              <w:tab w:val="clear" w:pos="8494"/>
            </w:tabs>
          </w:pPr>
          <w:r>
            <w:fldChar w:fldCharType="begin"/>
          </w:r>
          <w:r>
            <w:instrText xml:space="preserve"> HYPERLINK \l _Toc13884 </w:instrText>
          </w:r>
          <w:r>
            <w:fldChar w:fldCharType="separate"/>
          </w:r>
          <w:r>
            <w:t>3.1.2 Formelle Feedback-Kanäle und digitale Meldesysteme</w:t>
          </w:r>
          <w:r>
            <w:tab/>
          </w:r>
          <w:r>
            <w:fldChar w:fldCharType="begin"/>
          </w:r>
          <w:r>
            <w:instrText xml:space="preserve"> PAGEREF _Toc13884 \h </w:instrText>
          </w:r>
          <w:r>
            <w:fldChar w:fldCharType="separate"/>
          </w:r>
          <w:r>
            <w:t>21</w:t>
          </w:r>
          <w:r>
            <w:fldChar w:fldCharType="end"/>
          </w:r>
          <w:r>
            <w:fldChar w:fldCharType="end"/>
          </w:r>
        </w:p>
        <w:p w14:paraId="4C06E71A">
          <w:pPr>
            <w:pStyle w:val="30"/>
            <w:tabs>
              <w:tab w:val="right" w:leader="dot" w:pos="8504"/>
              <w:tab w:val="clear" w:pos="880"/>
              <w:tab w:val="clear" w:pos="1200"/>
              <w:tab w:val="clear" w:pos="8494"/>
            </w:tabs>
          </w:pPr>
          <w:r>
            <w:fldChar w:fldCharType="begin"/>
          </w:r>
          <w:r>
            <w:instrText xml:space="preserve"> HYPERLINK \l _Toc15157 </w:instrText>
          </w:r>
          <w:r>
            <w:fldChar w:fldCharType="separate"/>
          </w:r>
          <w:r>
            <w:t>3.2 Herausforderungen und Chancen in chinesischen Unternehmen</w:t>
          </w:r>
          <w:r>
            <w:tab/>
          </w:r>
          <w:r>
            <w:fldChar w:fldCharType="begin"/>
          </w:r>
          <w:r>
            <w:instrText xml:space="preserve"> PAGEREF _Toc15157 \h </w:instrText>
          </w:r>
          <w:r>
            <w:fldChar w:fldCharType="separate"/>
          </w:r>
          <w:r>
            <w:t>22</w:t>
          </w:r>
          <w:r>
            <w:fldChar w:fldCharType="end"/>
          </w:r>
          <w:r>
            <w:fldChar w:fldCharType="end"/>
          </w:r>
        </w:p>
        <w:p w14:paraId="6764D8B2">
          <w:pPr>
            <w:pStyle w:val="17"/>
            <w:tabs>
              <w:tab w:val="right" w:leader="dot" w:pos="8504"/>
              <w:tab w:val="clear" w:pos="1320"/>
              <w:tab w:val="clear" w:pos="1701"/>
              <w:tab w:val="clear" w:pos="8494"/>
            </w:tabs>
          </w:pPr>
          <w:r>
            <w:fldChar w:fldCharType="begin"/>
          </w:r>
          <w:r>
            <w:instrText xml:space="preserve"> HYPERLINK \l _Toc30219 </w:instrText>
          </w:r>
          <w:r>
            <w:fldChar w:fldCharType="separate"/>
          </w:r>
          <w:r>
            <w:t xml:space="preserve">3.2.1 </w:t>
          </w:r>
          <w:r>
            <w:rPr>
              <w:lang w:val="en-US" w:eastAsia="zh-CN"/>
            </w:rPr>
            <w:t>Hierarchie und Face</w:t>
          </w:r>
          <w:r>
            <w:rPr>
              <w:lang w:val="en-US" w:eastAsia="zh-CN"/>
            </w:rPr>
            <w:noBreakHyphen/>
          </w:r>
          <w:r>
            <w:rPr>
              <w:lang w:val="en-US" w:eastAsia="zh-CN"/>
            </w:rPr>
            <w:t>Wahrung</w:t>
          </w:r>
          <w:r>
            <w:tab/>
          </w:r>
          <w:r>
            <w:fldChar w:fldCharType="begin"/>
          </w:r>
          <w:r>
            <w:instrText xml:space="preserve"> PAGEREF _Toc30219 \h </w:instrText>
          </w:r>
          <w:r>
            <w:fldChar w:fldCharType="separate"/>
          </w:r>
          <w:r>
            <w:t>22</w:t>
          </w:r>
          <w:r>
            <w:fldChar w:fldCharType="end"/>
          </w:r>
          <w:r>
            <w:fldChar w:fldCharType="end"/>
          </w:r>
        </w:p>
        <w:p w14:paraId="300D92B6">
          <w:pPr>
            <w:pStyle w:val="17"/>
            <w:tabs>
              <w:tab w:val="right" w:leader="dot" w:pos="8504"/>
              <w:tab w:val="clear" w:pos="1320"/>
              <w:tab w:val="clear" w:pos="1701"/>
              <w:tab w:val="clear" w:pos="8494"/>
            </w:tabs>
          </w:pPr>
          <w:r>
            <w:fldChar w:fldCharType="begin"/>
          </w:r>
          <w:r>
            <w:instrText xml:space="preserve"> HYPERLINK \l _Toc18679 </w:instrText>
          </w:r>
          <w:r>
            <w:fldChar w:fldCharType="separate"/>
          </w:r>
          <w:r>
            <w:rPr>
              <w:lang w:val="en-US" w:eastAsia="zh-CN"/>
            </w:rPr>
            <w:t>3.2.2 Guanxi und Netzwerkdynamiken</w:t>
          </w:r>
          <w:r>
            <w:tab/>
          </w:r>
          <w:r>
            <w:fldChar w:fldCharType="begin"/>
          </w:r>
          <w:r>
            <w:instrText xml:space="preserve"> PAGEREF _Toc18679 \h </w:instrText>
          </w:r>
          <w:r>
            <w:fldChar w:fldCharType="separate"/>
          </w:r>
          <w:r>
            <w:t>22</w:t>
          </w:r>
          <w:r>
            <w:fldChar w:fldCharType="end"/>
          </w:r>
          <w:r>
            <w:fldChar w:fldCharType="end"/>
          </w:r>
        </w:p>
        <w:p w14:paraId="3813F087">
          <w:pPr>
            <w:pStyle w:val="30"/>
            <w:tabs>
              <w:tab w:val="right" w:leader="dot" w:pos="8504"/>
              <w:tab w:val="clear" w:pos="880"/>
              <w:tab w:val="clear" w:pos="1200"/>
              <w:tab w:val="clear" w:pos="8494"/>
            </w:tabs>
          </w:pPr>
          <w:r>
            <w:fldChar w:fldCharType="begin"/>
          </w:r>
          <w:r>
            <w:instrText xml:space="preserve"> HYPERLINK \l _Toc25559 </w:instrText>
          </w:r>
          <w:r>
            <w:fldChar w:fldCharType="separate"/>
          </w:r>
          <w:r>
            <w:rPr>
              <w:lang w:val="de-DE" w:eastAsia="de-DE"/>
            </w:rPr>
            <w:t>3.3 Erfolgsfaktoren und Messgrößen im Konfliktmanagement</w:t>
          </w:r>
          <w:r>
            <w:tab/>
          </w:r>
          <w:r>
            <w:fldChar w:fldCharType="begin"/>
          </w:r>
          <w:r>
            <w:instrText xml:space="preserve"> PAGEREF _Toc25559 \h </w:instrText>
          </w:r>
          <w:r>
            <w:fldChar w:fldCharType="separate"/>
          </w:r>
          <w:r>
            <w:t>23</w:t>
          </w:r>
          <w:r>
            <w:fldChar w:fldCharType="end"/>
          </w:r>
          <w:r>
            <w:fldChar w:fldCharType="end"/>
          </w:r>
        </w:p>
        <w:p w14:paraId="1B23D63C">
          <w:pPr>
            <w:pStyle w:val="17"/>
            <w:tabs>
              <w:tab w:val="right" w:leader="dot" w:pos="8504"/>
              <w:tab w:val="clear" w:pos="1320"/>
              <w:tab w:val="clear" w:pos="1701"/>
              <w:tab w:val="clear" w:pos="8494"/>
            </w:tabs>
          </w:pPr>
          <w:r>
            <w:fldChar w:fldCharType="begin"/>
          </w:r>
          <w:r>
            <w:instrText xml:space="preserve"> HYPERLINK \l _Toc15997 </w:instrText>
          </w:r>
          <w:r>
            <w:fldChar w:fldCharType="separate"/>
          </w:r>
          <w:r>
            <w:rPr>
              <w:lang w:val="de-DE" w:eastAsia="de-DE"/>
            </w:rPr>
            <w:t>3.3.1 Mehrkanaliger Zugang</w:t>
          </w:r>
          <w:r>
            <w:tab/>
          </w:r>
          <w:r>
            <w:fldChar w:fldCharType="begin"/>
          </w:r>
          <w:r>
            <w:instrText xml:space="preserve"> PAGEREF _Toc15997 \h </w:instrText>
          </w:r>
          <w:r>
            <w:fldChar w:fldCharType="separate"/>
          </w:r>
          <w:r>
            <w:t>23</w:t>
          </w:r>
          <w:r>
            <w:fldChar w:fldCharType="end"/>
          </w:r>
          <w:r>
            <w:fldChar w:fldCharType="end"/>
          </w:r>
        </w:p>
        <w:p w14:paraId="3672D2AE">
          <w:pPr>
            <w:pStyle w:val="17"/>
            <w:tabs>
              <w:tab w:val="right" w:leader="dot" w:pos="8504"/>
              <w:tab w:val="clear" w:pos="1320"/>
              <w:tab w:val="clear" w:pos="1701"/>
              <w:tab w:val="clear" w:pos="8494"/>
            </w:tabs>
          </w:pPr>
          <w:r>
            <w:fldChar w:fldCharType="begin"/>
          </w:r>
          <w:r>
            <w:instrText xml:space="preserve"> HYPERLINK \l _Toc14892 </w:instrText>
          </w:r>
          <w:r>
            <w:fldChar w:fldCharType="separate"/>
          </w:r>
          <w:r>
            <w:t xml:space="preserve">3.3.2 </w:t>
          </w:r>
          <w:r>
            <w:rPr>
              <w:lang w:val="de-DE" w:eastAsia="de-DE"/>
            </w:rPr>
            <w:t>Monitoring und kontinuierliche Verbesserung</w:t>
          </w:r>
          <w:r>
            <w:tab/>
          </w:r>
          <w:r>
            <w:fldChar w:fldCharType="begin"/>
          </w:r>
          <w:r>
            <w:instrText xml:space="preserve"> PAGEREF _Toc14892 \h </w:instrText>
          </w:r>
          <w:r>
            <w:fldChar w:fldCharType="separate"/>
          </w:r>
          <w:r>
            <w:t>23</w:t>
          </w:r>
          <w:r>
            <w:fldChar w:fldCharType="end"/>
          </w:r>
          <w:r>
            <w:fldChar w:fldCharType="end"/>
          </w:r>
        </w:p>
        <w:p w14:paraId="71EBB411">
          <w:pPr>
            <w:pStyle w:val="22"/>
            <w:tabs>
              <w:tab w:val="right" w:leader="dot" w:pos="8504"/>
              <w:tab w:val="clear" w:pos="440"/>
              <w:tab w:val="clear" w:pos="8494"/>
            </w:tabs>
          </w:pPr>
          <w:r>
            <w:fldChar w:fldCharType="begin"/>
          </w:r>
          <w:r>
            <w:instrText xml:space="preserve"> HYPERLINK \l _Toc15336 </w:instrText>
          </w:r>
          <w:r>
            <w:fldChar w:fldCharType="separate"/>
          </w:r>
          <w:r>
            <w:t>4 Beispiele fur betriebliche Konfliktfalle in China</w:t>
          </w:r>
          <w:r>
            <w:tab/>
          </w:r>
          <w:r>
            <w:fldChar w:fldCharType="begin"/>
          </w:r>
          <w:r>
            <w:instrText xml:space="preserve"> PAGEREF _Toc15336 \h </w:instrText>
          </w:r>
          <w:r>
            <w:fldChar w:fldCharType="separate"/>
          </w:r>
          <w:r>
            <w:t>24</w:t>
          </w:r>
          <w:r>
            <w:fldChar w:fldCharType="end"/>
          </w:r>
          <w:r>
            <w:fldChar w:fldCharType="end"/>
          </w:r>
        </w:p>
        <w:p w14:paraId="4AAF076D">
          <w:pPr>
            <w:pStyle w:val="30"/>
            <w:tabs>
              <w:tab w:val="right" w:leader="dot" w:pos="8504"/>
              <w:tab w:val="clear" w:pos="880"/>
              <w:tab w:val="clear" w:pos="1200"/>
              <w:tab w:val="clear" w:pos="8494"/>
            </w:tabs>
          </w:pPr>
          <w:r>
            <w:fldChar w:fldCharType="begin"/>
          </w:r>
          <w:r>
            <w:instrText xml:space="preserve"> HYPERLINK \l _Toc20809 </w:instrText>
          </w:r>
          <w:r>
            <w:fldChar w:fldCharType="separate"/>
          </w:r>
          <w:r>
            <w:t>4.1 Alibaba Group</w:t>
          </w:r>
          <w:r>
            <w:tab/>
          </w:r>
          <w:r>
            <w:fldChar w:fldCharType="begin"/>
          </w:r>
          <w:r>
            <w:instrText xml:space="preserve"> PAGEREF _Toc20809 \h </w:instrText>
          </w:r>
          <w:r>
            <w:fldChar w:fldCharType="separate"/>
          </w:r>
          <w:r>
            <w:t>24</w:t>
          </w:r>
          <w:r>
            <w:fldChar w:fldCharType="end"/>
          </w:r>
          <w:r>
            <w:fldChar w:fldCharType="end"/>
          </w:r>
        </w:p>
        <w:p w14:paraId="304AD24B">
          <w:pPr>
            <w:pStyle w:val="17"/>
            <w:tabs>
              <w:tab w:val="right" w:leader="dot" w:pos="8504"/>
              <w:tab w:val="clear" w:pos="1320"/>
              <w:tab w:val="clear" w:pos="1701"/>
              <w:tab w:val="clear" w:pos="8494"/>
            </w:tabs>
          </w:pPr>
          <w:r>
            <w:fldChar w:fldCharType="begin"/>
          </w:r>
          <w:r>
            <w:instrText xml:space="preserve"> HYPERLINK \l _Toc5788 </w:instrText>
          </w:r>
          <w:r>
            <w:fldChar w:fldCharType="separate"/>
          </w:r>
          <w:r>
            <w:t>4.1.1 Hintergrund und Zielsetzung der KM-Ansätze</w:t>
          </w:r>
          <w:r>
            <w:tab/>
          </w:r>
          <w:r>
            <w:fldChar w:fldCharType="begin"/>
          </w:r>
          <w:r>
            <w:instrText xml:space="preserve"> PAGEREF _Toc5788 \h </w:instrText>
          </w:r>
          <w:r>
            <w:fldChar w:fldCharType="separate"/>
          </w:r>
          <w:r>
            <w:t>24</w:t>
          </w:r>
          <w:r>
            <w:fldChar w:fldCharType="end"/>
          </w:r>
          <w:r>
            <w:fldChar w:fldCharType="end"/>
          </w:r>
        </w:p>
        <w:p w14:paraId="2FE9FFB9">
          <w:pPr>
            <w:pStyle w:val="17"/>
            <w:tabs>
              <w:tab w:val="right" w:leader="dot" w:pos="8504"/>
              <w:tab w:val="clear" w:pos="1320"/>
              <w:tab w:val="clear" w:pos="1701"/>
              <w:tab w:val="clear" w:pos="8494"/>
            </w:tabs>
          </w:pPr>
          <w:r>
            <w:fldChar w:fldCharType="begin"/>
          </w:r>
          <w:r>
            <w:instrText xml:space="preserve"> HYPERLINK \l _Toc30387 </w:instrText>
          </w:r>
          <w:r>
            <w:fldChar w:fldCharType="separate"/>
          </w:r>
          <w:r>
            <w:t>4.1.2 Mechanismen, Wirkung und Good Practices</w:t>
          </w:r>
          <w:r>
            <w:tab/>
          </w:r>
          <w:r>
            <w:fldChar w:fldCharType="begin"/>
          </w:r>
          <w:r>
            <w:instrText xml:space="preserve"> PAGEREF _Toc30387 \h </w:instrText>
          </w:r>
          <w:r>
            <w:fldChar w:fldCharType="separate"/>
          </w:r>
          <w:r>
            <w:t>24</w:t>
          </w:r>
          <w:r>
            <w:fldChar w:fldCharType="end"/>
          </w:r>
          <w:r>
            <w:fldChar w:fldCharType="end"/>
          </w:r>
        </w:p>
        <w:p w14:paraId="00E39599">
          <w:pPr>
            <w:pStyle w:val="30"/>
            <w:tabs>
              <w:tab w:val="right" w:leader="dot" w:pos="8504"/>
              <w:tab w:val="clear" w:pos="880"/>
              <w:tab w:val="clear" w:pos="1200"/>
              <w:tab w:val="clear" w:pos="8494"/>
            </w:tabs>
          </w:pPr>
          <w:r>
            <w:fldChar w:fldCharType="begin"/>
          </w:r>
          <w:r>
            <w:instrText xml:space="preserve"> HYPERLINK \l _Toc17646 </w:instrText>
          </w:r>
          <w:r>
            <w:fldChar w:fldCharType="separate"/>
          </w:r>
          <w:r>
            <w:t>4.2 JD.Com</w:t>
          </w:r>
          <w:r>
            <w:tab/>
          </w:r>
          <w:r>
            <w:fldChar w:fldCharType="begin"/>
          </w:r>
          <w:r>
            <w:instrText xml:space="preserve"> PAGEREF _Toc17646 \h </w:instrText>
          </w:r>
          <w:r>
            <w:fldChar w:fldCharType="separate"/>
          </w:r>
          <w:r>
            <w:t>24</w:t>
          </w:r>
          <w:r>
            <w:fldChar w:fldCharType="end"/>
          </w:r>
          <w:r>
            <w:fldChar w:fldCharType="end"/>
          </w:r>
        </w:p>
        <w:p w14:paraId="6BE66A32">
          <w:pPr>
            <w:pStyle w:val="17"/>
            <w:tabs>
              <w:tab w:val="right" w:leader="dot" w:pos="8504"/>
              <w:tab w:val="clear" w:pos="1320"/>
              <w:tab w:val="clear" w:pos="1701"/>
              <w:tab w:val="clear" w:pos="8494"/>
            </w:tabs>
          </w:pPr>
          <w:r>
            <w:fldChar w:fldCharType="begin"/>
          </w:r>
          <w:r>
            <w:instrText xml:space="preserve"> HYPERLINK \l _Toc21162 </w:instrText>
          </w:r>
          <w:r>
            <w:fldChar w:fldCharType="separate"/>
          </w:r>
          <w:r>
            <w:t>4.2.1 Struktur, Konfliktanlässe und Reaktionsmuster</w:t>
          </w:r>
          <w:r>
            <w:tab/>
          </w:r>
          <w:r>
            <w:fldChar w:fldCharType="begin"/>
          </w:r>
          <w:r>
            <w:instrText xml:space="preserve"> PAGEREF _Toc21162 \h </w:instrText>
          </w:r>
          <w:r>
            <w:fldChar w:fldCharType="separate"/>
          </w:r>
          <w:r>
            <w:t>24</w:t>
          </w:r>
          <w:r>
            <w:fldChar w:fldCharType="end"/>
          </w:r>
          <w:r>
            <w:fldChar w:fldCharType="end"/>
          </w:r>
        </w:p>
        <w:p w14:paraId="24E557AE">
          <w:pPr>
            <w:pStyle w:val="17"/>
            <w:tabs>
              <w:tab w:val="right" w:leader="dot" w:pos="8504"/>
              <w:tab w:val="clear" w:pos="1320"/>
              <w:tab w:val="clear" w:pos="1701"/>
              <w:tab w:val="clear" w:pos="8494"/>
            </w:tabs>
          </w:pPr>
          <w:r>
            <w:fldChar w:fldCharType="begin"/>
          </w:r>
          <w:r>
            <w:instrText xml:space="preserve"> HYPERLINK \l _Toc13401 </w:instrText>
          </w:r>
          <w:r>
            <w:fldChar w:fldCharType="separate"/>
          </w:r>
          <w:r>
            <w:t>4.2.2 Lernpunkte und Verbesserungsbedarf</w:t>
          </w:r>
          <w:r>
            <w:tab/>
          </w:r>
          <w:r>
            <w:fldChar w:fldCharType="begin"/>
          </w:r>
          <w:r>
            <w:instrText xml:space="preserve"> PAGEREF _Toc13401 \h </w:instrText>
          </w:r>
          <w:r>
            <w:fldChar w:fldCharType="separate"/>
          </w:r>
          <w:r>
            <w:t>24</w:t>
          </w:r>
          <w:r>
            <w:fldChar w:fldCharType="end"/>
          </w:r>
          <w:r>
            <w:fldChar w:fldCharType="end"/>
          </w:r>
        </w:p>
        <w:p w14:paraId="7A02B2BA">
          <w:pPr>
            <w:pStyle w:val="30"/>
            <w:tabs>
              <w:tab w:val="right" w:leader="dot" w:pos="8504"/>
              <w:tab w:val="clear" w:pos="880"/>
              <w:tab w:val="clear" w:pos="1200"/>
              <w:tab w:val="clear" w:pos="8494"/>
            </w:tabs>
          </w:pPr>
          <w:r>
            <w:fldChar w:fldCharType="begin"/>
          </w:r>
          <w:r>
            <w:instrText xml:space="preserve"> HYPERLINK \l _Toc21014 </w:instrText>
          </w:r>
          <w:r>
            <w:fldChar w:fldCharType="separate"/>
          </w:r>
          <w:r>
            <w:t>4.3 Dialektische Analyse (Alibaba vs. JD.com)</w:t>
          </w:r>
          <w:r>
            <w:tab/>
          </w:r>
          <w:r>
            <w:fldChar w:fldCharType="begin"/>
          </w:r>
          <w:r>
            <w:instrText xml:space="preserve"> PAGEREF _Toc21014 \h </w:instrText>
          </w:r>
          <w:r>
            <w:fldChar w:fldCharType="separate"/>
          </w:r>
          <w:r>
            <w:t>24</w:t>
          </w:r>
          <w:r>
            <w:fldChar w:fldCharType="end"/>
          </w:r>
          <w:r>
            <w:fldChar w:fldCharType="end"/>
          </w:r>
        </w:p>
        <w:p w14:paraId="5534C721">
          <w:pPr>
            <w:pStyle w:val="22"/>
            <w:tabs>
              <w:tab w:val="right" w:leader="dot" w:pos="8504"/>
              <w:tab w:val="clear" w:pos="440"/>
              <w:tab w:val="clear" w:pos="8494"/>
            </w:tabs>
          </w:pPr>
          <w:r>
            <w:fldChar w:fldCharType="begin"/>
          </w:r>
          <w:r>
            <w:instrText xml:space="preserve"> HYPERLINK \l _Toc17970 </w:instrText>
          </w:r>
          <w:r>
            <w:fldChar w:fldCharType="separate"/>
          </w:r>
          <w:r>
            <w:t xml:space="preserve">5 </w:t>
          </w:r>
          <w:r>
            <w:rPr>
              <w:lang w:val="de-DE"/>
            </w:rPr>
            <w:t>Zusammenfassung/</w:t>
          </w:r>
          <w:r>
            <w:t>Fazit</w:t>
          </w:r>
          <w:r>
            <w:tab/>
          </w:r>
          <w:r>
            <w:fldChar w:fldCharType="begin"/>
          </w:r>
          <w:r>
            <w:instrText xml:space="preserve"> PAGEREF _Toc17970 \h </w:instrText>
          </w:r>
          <w:r>
            <w:fldChar w:fldCharType="separate"/>
          </w:r>
          <w:r>
            <w:t>26</w:t>
          </w:r>
          <w:r>
            <w:fldChar w:fldCharType="end"/>
          </w:r>
          <w:r>
            <w:fldChar w:fldCharType="end"/>
          </w:r>
        </w:p>
        <w:p w14:paraId="3451498D">
          <w:pPr>
            <w:pStyle w:val="22"/>
            <w:tabs>
              <w:tab w:val="right" w:leader="dot" w:pos="8504"/>
              <w:tab w:val="clear" w:pos="440"/>
              <w:tab w:val="clear" w:pos="8494"/>
            </w:tabs>
          </w:pPr>
          <w:r>
            <w:fldChar w:fldCharType="begin"/>
          </w:r>
          <w:r>
            <w:instrText xml:space="preserve"> HYPERLINK \l _Toc212 </w:instrText>
          </w:r>
          <w:r>
            <w:fldChar w:fldCharType="separate"/>
          </w:r>
          <w:r>
            <w:t>Literaturverzeichnis</w:t>
          </w:r>
          <w:r>
            <w:tab/>
          </w:r>
          <w:r>
            <w:fldChar w:fldCharType="begin"/>
          </w:r>
          <w:r>
            <w:instrText xml:space="preserve"> PAGEREF _Toc212 \h </w:instrText>
          </w:r>
          <w:r>
            <w:fldChar w:fldCharType="separate"/>
          </w:r>
          <w:r>
            <w:t>27</w:t>
          </w:r>
          <w:r>
            <w:fldChar w:fldCharType="end"/>
          </w:r>
          <w:r>
            <w:fldChar w:fldCharType="end"/>
          </w:r>
        </w:p>
        <w:p w14:paraId="466540A6">
          <w:pPr>
            <w:pStyle w:val="22"/>
            <w:tabs>
              <w:tab w:val="right" w:leader="dot" w:pos="8504"/>
            </w:tabs>
          </w:pPr>
          <w:r>
            <w:rPr>
              <w:rStyle w:val="69"/>
            </w:rPr>
            <w:fldChar w:fldCharType="end"/>
          </w:r>
        </w:p>
      </w:sdtContent>
    </w:sdt>
    <w:p w14:paraId="78A175FC">
      <w:pPr>
        <w:spacing w:before="240" w:after="0"/>
        <w:rPr>
          <w:b/>
          <w:lang w:val="en-US" w:eastAsia="en-US"/>
        </w:rPr>
      </w:pPr>
    </w:p>
    <w:p w14:paraId="13378072">
      <w:pPr>
        <w:pStyle w:val="3"/>
        <w:numPr>
          <w:ilvl w:val="0"/>
          <w:numId w:val="0"/>
        </w:numPr>
        <w:ind w:left="0" w:firstLine="0"/>
      </w:pPr>
      <w:bookmarkStart w:id="0" w:name="_Toc29601"/>
      <w:bookmarkStart w:id="1" w:name="_Toc24040"/>
      <w:r>
        <w:t>Abbildungsverzeichnis</w:t>
      </w:r>
      <w:bookmarkEnd w:id="0"/>
      <w:bookmarkEnd w:id="1"/>
    </w:p>
    <w:p w14:paraId="46A19328">
      <w:pPr>
        <w:tabs>
          <w:tab w:val="right" w:leader="dot" w:pos="8494"/>
        </w:tabs>
        <w:spacing w:before="120" w:after="120"/>
      </w:pPr>
    </w:p>
    <w:p w14:paraId="0531DF6E">
      <w:pPr>
        <w:pStyle w:val="2"/>
      </w:pPr>
    </w:p>
    <w:p w14:paraId="2C04D56B">
      <w:pPr>
        <w:pStyle w:val="3"/>
        <w:numPr>
          <w:ilvl w:val="0"/>
          <w:numId w:val="0"/>
        </w:numPr>
        <w:ind w:left="0" w:firstLine="0"/>
      </w:pPr>
      <w:bookmarkStart w:id="2" w:name="_Toc32042"/>
      <w:bookmarkStart w:id="3" w:name="_Toc14645"/>
      <w:r>
        <w:t>Tabellenverzeichnis</w:t>
      </w:r>
      <w:bookmarkEnd w:id="2"/>
      <w:bookmarkEnd w:id="3"/>
    </w:p>
    <w:p w14:paraId="3C8BF199">
      <w:pPr>
        <w:pStyle w:val="29"/>
        <w:tabs>
          <w:tab w:val="right" w:leader="dot" w:pos="8504"/>
        </w:tabs>
      </w:pPr>
      <w:r>
        <w:fldChar w:fldCharType="begin"/>
      </w:r>
      <w:r>
        <w:rPr>
          <w:rStyle w:val="69"/>
        </w:rPr>
        <w:instrText xml:space="preserve"> TOC \h \z \t "Tabelle;1" \c "Abbildung" </w:instrText>
      </w:r>
      <w:r>
        <w:rPr>
          <w:rStyle w:val="69"/>
        </w:rPr>
        <w:fldChar w:fldCharType="separate"/>
      </w:r>
      <w:r>
        <w:fldChar w:fldCharType="begin"/>
      </w:r>
      <w:r>
        <w:instrText xml:space="preserve"> HYPERLINK \l _Toc24474 </w:instrText>
      </w:r>
      <w:r>
        <w:fldChar w:fldCharType="separate"/>
      </w:r>
      <w:r>
        <w:rPr>
          <w:rFonts w:ascii="Times New Roman" w:hAnsi="Times New Roman" w:eastAsia="Times New Roman" w:cs="Times New Roman"/>
          <w:bCs w:val="0"/>
          <w:szCs w:val="24"/>
          <w:lang w:val="de-DE" w:eastAsia="zh-CN" w:bidi="ar-SA"/>
        </w:rPr>
        <w:t xml:space="preserve">Abbildung </w:t>
      </w:r>
      <w:r>
        <w:t xml:space="preserve">2 </w:t>
      </w:r>
      <w:r>
        <w:rPr>
          <w:rFonts w:ascii="Times New Roman" w:hAnsi="Times New Roman" w:eastAsia="Times New Roman" w:cs="Times New Roman"/>
          <w:bCs w:val="0"/>
          <w:szCs w:val="24"/>
          <w:lang w:val="de-DE" w:eastAsia="zh-CN" w:bidi="ar-SA"/>
        </w:rPr>
        <w:t xml:space="preserve"> Anpassungsdimensioen für die Umsetzung </w:t>
      </w:r>
      <w:r>
        <w:tab/>
      </w:r>
      <w:r>
        <w:fldChar w:fldCharType="begin"/>
      </w:r>
      <w:r>
        <w:instrText xml:space="preserve"> PAGEREF _Toc24474 \h </w:instrText>
      </w:r>
      <w:r>
        <w:fldChar w:fldCharType="separate"/>
      </w:r>
      <w:r>
        <w:t>23</w:t>
      </w:r>
      <w:r>
        <w:fldChar w:fldCharType="end"/>
      </w:r>
      <w:r>
        <w:fldChar w:fldCharType="end"/>
      </w:r>
    </w:p>
    <w:p w14:paraId="664C483B">
      <w:pPr>
        <w:pStyle w:val="87"/>
        <w:tabs>
          <w:tab w:val="right" w:leader="dot" w:pos="8504"/>
        </w:tabs>
      </w:pPr>
      <w:r>
        <w:fldChar w:fldCharType="end"/>
      </w:r>
    </w:p>
    <w:p w14:paraId="673D2F5F">
      <w:pPr>
        <w:pStyle w:val="87"/>
        <w:tabs>
          <w:tab w:val="right" w:leader="dot" w:pos="8494"/>
        </w:tabs>
      </w:pPr>
    </w:p>
    <w:p w14:paraId="20198E7D">
      <w:pPr>
        <w:pStyle w:val="87"/>
        <w:tabs>
          <w:tab w:val="right" w:leader="dot" w:pos="8494"/>
        </w:tabs>
        <w:spacing w:before="120" w:after="120"/>
      </w:pPr>
    </w:p>
    <w:p w14:paraId="06C30BAB">
      <w:pPr>
        <w:pStyle w:val="3"/>
        <w:numPr>
          <w:ilvl w:val="0"/>
          <w:numId w:val="0"/>
        </w:numPr>
        <w:ind w:left="0" w:firstLine="0"/>
      </w:pPr>
      <w:bookmarkStart w:id="4" w:name="_Toc2207"/>
    </w:p>
    <w:p w14:paraId="3CB09BE5">
      <w:pPr>
        <w:pStyle w:val="3"/>
        <w:numPr>
          <w:ilvl w:val="0"/>
          <w:numId w:val="0"/>
        </w:numPr>
        <w:ind w:left="0" w:firstLine="0"/>
      </w:pPr>
    </w:p>
    <w:p w14:paraId="255538F5">
      <w:pPr>
        <w:pStyle w:val="3"/>
        <w:numPr>
          <w:ilvl w:val="0"/>
          <w:numId w:val="0"/>
        </w:numPr>
        <w:ind w:left="0" w:firstLine="0"/>
      </w:pPr>
    </w:p>
    <w:p w14:paraId="196B56F0">
      <w:pPr>
        <w:pStyle w:val="3"/>
        <w:numPr>
          <w:ilvl w:val="0"/>
          <w:numId w:val="0"/>
        </w:numPr>
        <w:ind w:left="0" w:firstLine="0"/>
      </w:pPr>
      <w:bookmarkStart w:id="69" w:name="_GoBack"/>
      <w:bookmarkEnd w:id="69"/>
    </w:p>
    <w:p w14:paraId="1A0175A6">
      <w:pPr>
        <w:pStyle w:val="3"/>
        <w:numPr>
          <w:ilvl w:val="0"/>
          <w:numId w:val="0"/>
        </w:numPr>
        <w:ind w:left="0" w:firstLine="0"/>
      </w:pPr>
    </w:p>
    <w:p w14:paraId="0FBEC070">
      <w:pPr>
        <w:pStyle w:val="3"/>
        <w:numPr>
          <w:ilvl w:val="0"/>
          <w:numId w:val="0"/>
        </w:numPr>
        <w:ind w:left="0" w:firstLine="0"/>
      </w:pPr>
    </w:p>
    <w:p w14:paraId="606D403F">
      <w:pPr>
        <w:pStyle w:val="3"/>
        <w:numPr>
          <w:ilvl w:val="0"/>
          <w:numId w:val="0"/>
        </w:numPr>
        <w:ind w:left="0" w:firstLine="0"/>
      </w:pPr>
    </w:p>
    <w:p w14:paraId="486D5D97">
      <w:pPr>
        <w:pStyle w:val="3"/>
        <w:numPr>
          <w:ilvl w:val="0"/>
          <w:numId w:val="0"/>
        </w:numPr>
        <w:ind w:left="0" w:firstLine="0"/>
      </w:pPr>
    </w:p>
    <w:p w14:paraId="567E0A9F">
      <w:pPr>
        <w:pStyle w:val="3"/>
        <w:numPr>
          <w:ilvl w:val="0"/>
          <w:numId w:val="0"/>
        </w:numPr>
        <w:ind w:left="0" w:firstLine="0"/>
      </w:pPr>
    </w:p>
    <w:p w14:paraId="7E46B04D">
      <w:pPr>
        <w:pStyle w:val="3"/>
        <w:numPr>
          <w:ilvl w:val="0"/>
          <w:numId w:val="0"/>
        </w:numPr>
        <w:ind w:left="0" w:firstLine="0"/>
      </w:pPr>
    </w:p>
    <w:p w14:paraId="21FF1974">
      <w:pPr>
        <w:pStyle w:val="2"/>
      </w:pPr>
    </w:p>
    <w:p w14:paraId="20B51C6F">
      <w:pPr>
        <w:pStyle w:val="3"/>
        <w:numPr>
          <w:ilvl w:val="0"/>
          <w:numId w:val="0"/>
        </w:numPr>
        <w:ind w:left="0" w:firstLine="0"/>
      </w:pPr>
    </w:p>
    <w:p w14:paraId="1DFB76C1">
      <w:pPr>
        <w:pStyle w:val="3"/>
        <w:numPr>
          <w:ilvl w:val="0"/>
          <w:numId w:val="0"/>
        </w:numPr>
        <w:ind w:left="0" w:firstLine="0"/>
      </w:pPr>
      <w:bookmarkStart w:id="5" w:name="_Toc23552"/>
      <w:r>
        <w:t>Abkürzungsverzeichnis</w:t>
      </w:r>
      <w:bookmarkEnd w:id="4"/>
      <w:bookmarkEnd w:id="5"/>
    </w:p>
    <w:p w14:paraId="0BC8C067">
      <w:pPr>
        <w:pStyle w:val="2"/>
        <w:rPr>
          <w:highlight w:val="yellow"/>
        </w:rPr>
      </w:pPr>
      <w:r>
        <w:rPr>
          <w:highlight w:val="yellow"/>
        </w:rPr>
        <w:t>(Hinweis: Bitte nur fachspezifische Abkürzungen aufnehmen.</w:t>
      </w:r>
    </w:p>
    <w:p w14:paraId="36EBFDEE">
      <w:pPr>
        <w:pStyle w:val="2"/>
        <w:rPr>
          <w:highlight w:val="yellow"/>
        </w:rPr>
      </w:pPr>
      <w:r>
        <w:rPr>
          <w:highlight w:val="yellow"/>
        </w:rPr>
        <w:t>Bsp. und Hinweis löschen!!!)</w:t>
      </w:r>
    </w:p>
    <w:p w14:paraId="5BD96DCA">
      <w:pPr>
        <w:pStyle w:val="2"/>
      </w:pPr>
    </w:p>
    <w:p w14:paraId="4A85ECB2">
      <w:pPr>
        <w:pStyle w:val="2"/>
      </w:pPr>
      <w:r>
        <w:t>IAS</w:t>
      </w:r>
      <w:r>
        <w:tab/>
      </w:r>
      <w:r>
        <w:tab/>
      </w:r>
      <w:r>
        <w:tab/>
      </w:r>
      <w:r>
        <w:t xml:space="preserve">International Accounting Standards </w:t>
      </w:r>
    </w:p>
    <w:p w14:paraId="5F466DE8">
      <w:pPr>
        <w:pStyle w:val="2"/>
      </w:pPr>
    </w:p>
    <w:p w14:paraId="129415DA">
      <w:pPr>
        <w:pStyle w:val="2"/>
      </w:pPr>
    </w:p>
    <w:p w14:paraId="53A5D885">
      <w:pPr>
        <w:pStyle w:val="2"/>
      </w:pPr>
    </w:p>
    <w:p w14:paraId="724DED2E">
      <w:pPr>
        <w:pStyle w:val="2"/>
      </w:pPr>
    </w:p>
    <w:p w14:paraId="70D42A79">
      <w:pPr>
        <w:pStyle w:val="2"/>
      </w:pPr>
    </w:p>
    <w:p w14:paraId="06BF784E">
      <w:pPr>
        <w:pStyle w:val="2"/>
      </w:pPr>
    </w:p>
    <w:p w14:paraId="19929441">
      <w:pPr>
        <w:pStyle w:val="2"/>
      </w:pPr>
    </w:p>
    <w:p w14:paraId="1ADD824C">
      <w:pPr>
        <w:pStyle w:val="2"/>
      </w:pPr>
    </w:p>
    <w:p w14:paraId="0CBE694C">
      <w:pPr>
        <w:pStyle w:val="2"/>
      </w:pPr>
    </w:p>
    <w:p w14:paraId="61E989FC">
      <w:pPr>
        <w:pStyle w:val="2"/>
      </w:pPr>
    </w:p>
    <w:p w14:paraId="7F9015C7">
      <w:pPr>
        <w:pStyle w:val="2"/>
      </w:pPr>
    </w:p>
    <w:p w14:paraId="73960DE1">
      <w:pPr>
        <w:pStyle w:val="2"/>
      </w:pPr>
    </w:p>
    <w:p w14:paraId="24E8E8F0">
      <w:pPr>
        <w:pStyle w:val="2"/>
      </w:pPr>
    </w:p>
    <w:p w14:paraId="75D71C0B">
      <w:pPr>
        <w:pStyle w:val="2"/>
      </w:pPr>
    </w:p>
    <w:p w14:paraId="4733FAB3">
      <w:pPr>
        <w:pStyle w:val="87"/>
        <w:tabs>
          <w:tab w:val="right" w:leader="dot" w:pos="8494"/>
        </w:tabs>
        <w:spacing w:before="200" w:after="120"/>
        <w:sectPr>
          <w:headerReference r:id="rId8" w:type="first"/>
          <w:footerReference r:id="rId10" w:type="first"/>
          <w:headerReference r:id="rId7" w:type="default"/>
          <w:footerReference r:id="rId9" w:type="default"/>
          <w:pgSz w:w="11906" w:h="16838"/>
          <w:pgMar w:top="1701" w:right="1134" w:bottom="1134" w:left="2268" w:header="709" w:footer="709" w:gutter="0"/>
          <w:pgNumType w:fmt="upperRoman" w:start="1"/>
          <w:cols w:space="720" w:num="1"/>
          <w:formProt w:val="0"/>
          <w:docGrid w:linePitch="360" w:charSpace="0"/>
        </w:sectPr>
      </w:pPr>
    </w:p>
    <w:p w14:paraId="5B1A10BB">
      <w:pPr>
        <w:pStyle w:val="3"/>
        <w:bidi w:val="0"/>
      </w:pPr>
      <w:bookmarkStart w:id="6" w:name="_Ref174329553"/>
      <w:bookmarkEnd w:id="6"/>
      <w:bookmarkStart w:id="7" w:name="_Toc13121"/>
      <w:bookmarkStart w:id="8" w:name="_Toc14906"/>
      <w:r>
        <w:t>Einleitung</w:t>
      </w:r>
      <w:bookmarkEnd w:id="7"/>
      <w:bookmarkEnd w:id="8"/>
    </w:p>
    <w:p w14:paraId="5DBF5D14">
      <w:pPr>
        <w:pStyle w:val="5"/>
        <w:numPr>
          <w:ilvl w:val="1"/>
          <w:numId w:val="2"/>
        </w:numPr>
        <w:spacing w:before="120" w:after="240"/>
      </w:pPr>
      <w:bookmarkStart w:id="9" w:name="_Toc15560"/>
      <w:bookmarkStart w:id="10" w:name="_Toc23976"/>
      <w:r>
        <w:t>Ausgangslage und Problemstellung</w:t>
      </w:r>
      <w:bookmarkEnd w:id="9"/>
      <w:bookmarkEnd w:id="10"/>
    </w:p>
    <w:p w14:paraId="56DEB7FD">
      <w:pPr>
        <w:keepNext w:val="0"/>
        <w:keepLines w:val="0"/>
        <w:pageBreakBefore w:val="0"/>
        <w:widowControl/>
        <w:kinsoku/>
        <w:wordWrap/>
        <w:overflowPunct/>
        <w:topLinePunct w:val="0"/>
        <w:autoSpaceDE/>
        <w:autoSpaceDN/>
        <w:bidi w:val="0"/>
        <w:adjustRightInd/>
        <w:snapToGrid/>
        <w:spacing w:after="120" w:line="360" w:lineRule="auto"/>
        <w:textAlignment w:val="auto"/>
      </w:pPr>
      <w:r>
        <w:t>In den letzten Jahren ist betriebliche Konfliktbearbeitung in großen Organisationen nicht nur als „HR-Thema“, sondern als Governance- und Werttreiber in den Fokus gerückt. Konflikte entstehen dort, wo Ziele, Ressourcen und Interpretationen von Regeln auseinanderlaufen – besonders in komplexen, arbeitsteiligen Strukturen und in schnell wachsenden Digital- und Plattformunternehmen. In solchen Umfeldern kann sich ein einzelner ungelöster Konflikt kaskadenartig ausweiten (Team‑Performance, Fluktuation, Compliance‑Risiken, Reputationsschäden) und damit mittelbar auch den Unternehmenswert beeinflussen.</w:t>
      </w:r>
      <w:r>
        <w:rPr>
          <w:rStyle w:val="42"/>
        </w:rPr>
        <w:footnoteReference w:id="0"/>
      </w:r>
    </w:p>
    <w:p w14:paraId="4FDF472A">
      <w:pPr>
        <w:keepNext w:val="0"/>
        <w:keepLines w:val="0"/>
        <w:pageBreakBefore w:val="0"/>
        <w:widowControl/>
        <w:kinsoku/>
        <w:wordWrap/>
        <w:overflowPunct/>
        <w:topLinePunct w:val="0"/>
        <w:autoSpaceDE/>
        <w:autoSpaceDN/>
        <w:bidi w:val="0"/>
        <w:adjustRightInd/>
        <w:snapToGrid/>
        <w:spacing w:after="120" w:line="360" w:lineRule="auto"/>
        <w:textAlignment w:val="auto"/>
      </w:pPr>
      <w:r>
        <w:t>Die Literatur zu strategischem Konfliktmanagement betont, dass Konflikte als Unternehmensrisiken zu verstehen sind und in bestehende Führungs‑, Risiko- und Kontrollsysteme integriert werden müssen.</w:t>
      </w:r>
      <w:r>
        <w:rPr>
          <w:rStyle w:val="42"/>
        </w:rPr>
        <w:footnoteReference w:id="1"/>
      </w:r>
    </w:p>
    <w:p w14:paraId="29A3D030">
      <w:pPr>
        <w:keepNext w:val="0"/>
        <w:keepLines w:val="0"/>
        <w:pageBreakBefore w:val="0"/>
        <w:widowControl/>
        <w:kinsoku/>
        <w:wordWrap/>
        <w:overflowPunct/>
        <w:topLinePunct w:val="0"/>
        <w:autoSpaceDE/>
        <w:autoSpaceDN/>
        <w:bidi w:val="0"/>
        <w:adjustRightInd/>
        <w:snapToGrid/>
        <w:spacing w:after="120" w:line="360" w:lineRule="auto"/>
        <w:textAlignment w:val="auto"/>
      </w:pPr>
      <w:r>
        <w:t>Parallel dazu zeigen neuere Arbeiten aus Marketing- und Kommunikationsforschung, dass externe Stakeholder zunehmend durch digitale Kanäle unmittelbar an Konflikt- und Krisendynamiken beteiligt sind: Beschwerden und Shitstorms können sich rasch reputations- und umsatzrelevant auswirken.</w:t>
      </w:r>
      <w:r>
        <w:rPr>
          <w:rStyle w:val="42"/>
        </w:rPr>
        <w:footnoteReference w:id="2"/>
      </w:r>
    </w:p>
    <w:p w14:paraId="53F0732F">
      <w:pPr>
        <w:keepNext w:val="0"/>
        <w:keepLines w:val="0"/>
        <w:pageBreakBefore w:val="0"/>
        <w:widowControl/>
        <w:kinsoku/>
        <w:wordWrap/>
        <w:overflowPunct/>
        <w:topLinePunct w:val="0"/>
        <w:autoSpaceDE/>
        <w:autoSpaceDN/>
        <w:bidi w:val="0"/>
        <w:adjustRightInd/>
        <w:snapToGrid/>
        <w:spacing w:after="120" w:line="360" w:lineRule="auto"/>
        <w:textAlignment w:val="auto"/>
      </w:pPr>
      <w:r>
        <w:t>Gerade in China treffen diese Dynamiken auf spezifische Kontextbedingungen: ausgeprägte Hierarchien, hohe Bedeutung von „Face“ (Gesicht wahren), Netzwerklogiken (guanxi) sowie ein stark leistungs- und wachstumsorientiertes Umfeld. Große chinesische Organisationen – insbesondere Tech‑Konzerne – verfügen häufig über formal etablierte Policies, doch die tatsächliche Nutzung von Meldesystemen und Ombudswegen wird stark durch Kultur, Macht- und Vertrauensbeziehungen geprägt. Daraus ergibt sich ein Forschungs- und Praxisproblem: Wie lassen sich Konfliktmanagement‑Instrumente so gestalten, dass sie einerseits mit Governance‑ und Wertlogiken kompatibel sind und andererseits kultursensitiv funktionieren?</w:t>
      </w:r>
      <w:r>
        <w:rPr>
          <w:rStyle w:val="42"/>
        </w:rPr>
        <w:footnoteReference w:id="3"/>
      </w:r>
    </w:p>
    <w:p w14:paraId="3E664CF2">
      <w:pPr>
        <w:keepNext w:val="0"/>
        <w:keepLines w:val="0"/>
        <w:pageBreakBefore w:val="0"/>
        <w:widowControl/>
        <w:kinsoku/>
        <w:wordWrap/>
        <w:overflowPunct/>
        <w:topLinePunct w:val="0"/>
        <w:autoSpaceDE/>
        <w:autoSpaceDN/>
        <w:bidi w:val="0"/>
        <w:adjustRightInd/>
        <w:snapToGrid/>
        <w:spacing w:after="120" w:line="360" w:lineRule="auto"/>
        <w:textAlignment w:val="auto"/>
      </w:pPr>
      <w:r>
        <w:t>Aus wertorientierter Perspektive ist das Thema zudem anschlussfähig an die Unternehmensbewertung: Intangibles (Human Capital, Beziehungskapital, Reputation) und Risikoannahmen fließen – je nach Bewertungsanlass und Verfahren – unmittelbar oder mittelbar in die Ableitung von Cashflows und Kapitalkosten ein. Ein wirksames Konfliktmanagement kann daher als präventives „Risikoreduktions‑ und Wertstabilisierungsprogramm“ interpretiert werden.</w:t>
      </w:r>
      <w:r>
        <w:rPr>
          <w:rStyle w:val="42"/>
        </w:rPr>
        <w:footnoteReference w:id="4"/>
      </w:r>
    </w:p>
    <w:p w14:paraId="1242AA1F">
      <w:pPr>
        <w:keepNext w:val="0"/>
        <w:keepLines w:val="0"/>
        <w:pageBreakBefore w:val="0"/>
        <w:widowControl/>
        <w:kinsoku/>
        <w:wordWrap/>
        <w:overflowPunct/>
        <w:topLinePunct w:val="0"/>
        <w:autoSpaceDE/>
        <w:autoSpaceDN/>
        <w:bidi w:val="0"/>
        <w:adjustRightInd/>
        <w:snapToGrid/>
        <w:spacing w:after="120" w:line="360" w:lineRule="auto"/>
        <w:textAlignment w:val="auto"/>
      </w:pPr>
      <w:r>
        <w:t>Vor diesem Hintergrund konzentriert sich die Arbeit auf Konfliktmanagement als Managementsystem (nicht nur als Einzelmaßnahme) und untersucht, wie zentrale Instrumente (Mediation, Ombudsstellen, formelle Feedback- und digitale Meldekanäle) in großen chinesischen Organisationen ausgestaltet und genutzt werden können. Die Arbeit schließt damit eine Lücke zwischen (a) konfliktmanagementbezogener Governance‑Literatur und (b) wert-/marktbezogenen Perspektiven aus Marketing, Reputation und Unternehmensbewertung.</w:t>
      </w:r>
      <w:r>
        <w:rPr>
          <w:rStyle w:val="42"/>
        </w:rPr>
        <w:footnoteReference w:id="5"/>
      </w:r>
      <w:r>
        <w:rPr>
          <w:rStyle w:val="42"/>
        </w:rPr>
        <w:footnoteReference w:id="6"/>
      </w:r>
    </w:p>
    <w:p w14:paraId="1472DD3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praktischer Treiber ist die zunehmende Digitalisierung interner Kommunikation. Kollaborationstools, Ticket-Systeme und soziale Intranets erhöhen zwar Transparenz, können aber Konflikte auch sichtbarer machen und beschleunigen: Missverständnisse werden schriftlich „fixiert“, Eskalationen erfolgen über CC-Schleifen, und interkulturelle Nuancen gehen in asynchroner Kommunikation leichter verloren. Gleichzeitig entstehen neue Konfliktformen (z. B. Konflikte um Datenzugang, algorithmische Performance-Kennzahlen, Remote-Work‑Normen). Für Großorganisationen heißt das, dass Konfliktmanagement nicht nur als „Interaktion zwischen zwei Personen“ gedacht werden darf, sondern als Gestaltung von Kommunikationsarchitekturen. </w:t>
      </w:r>
      <w:r>
        <w:rPr>
          <w:rStyle w:val="42"/>
        </w:rPr>
        <w:footnoteReference w:id="7"/>
      </w:r>
    </w:p>
    <w:p w14:paraId="674D749F">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Neben internen Effekten wirkt Konfliktmanagement zunehmend nach außen. Servicequalität, Arbeitgeberimage und Markenvertrauen hängen davon ab, wie Organisationen Beschwerden aufnehmen, Fehler eingestehen und intern Lernschleifen schließen. Studien zu Customer Journeys und Social-Media-Ethik verdeutlichen, dass Nutzerbeziehungen in Plattformökonomien stark durch Wahrnehmungen von Fairness, Transparenz und Verantwortungsübernahme geprägt werden. Interne Konflikte, die öffentliche Skandale, hohe Fluktuation oder schlechte Serviceprozesse erzeugen, können deshalb indirekt zu wertrelevanten Markteffekten werden. </w:t>
      </w:r>
      <w:r>
        <w:rPr>
          <w:rStyle w:val="42"/>
        </w:rPr>
        <w:footnoteReference w:id="8"/>
      </w:r>
    </w:p>
    <w:p w14:paraId="7B54D891">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Forschungslage ist dabei fragmentiert: Konfliktmanagement-Literatur bietet häufig prozessuale Handlungsanleitungen (z. B. Mediationstechniken), während betriebswirtschaftliche Literatur zu Wert, Risiko und Marketingkommunikation Konflikte eher implizit als Störgrößen behandelt. Gerade für den chinesischen Kontext fehlt oft eine integrierte Perspektive, die kulturelle Praktiken (face, Hierarchie, Netzwerkbeziehungen) mit Systemdesign (Kanäle, Rollen, Governance) verbindet. Diese Arbeit setzt genau an dieser Integrationslücke an und entwickelt ein Analyse- und Gestaltungsraster, das Kultur als Moderationsvariable im Systemdesign explizit berücksichtigt. </w:t>
      </w:r>
      <w:r>
        <w:rPr>
          <w:rStyle w:val="42"/>
        </w:rPr>
        <w:footnoteReference w:id="9"/>
      </w:r>
    </w:p>
    <w:tbl>
      <w:tblPr>
        <w:tblStyle w:val="33"/>
        <w:tblW w:w="0" w:type="auto"/>
        <w:jc w:val="center"/>
        <w:tblLayout w:type="autofit"/>
        <w:tblCellMar>
          <w:top w:w="0" w:type="dxa"/>
          <w:left w:w="10" w:type="dxa"/>
          <w:bottom w:w="0" w:type="dxa"/>
          <w:right w:w="10" w:type="dxa"/>
        </w:tblCellMar>
      </w:tblPr>
      <w:tblGrid>
        <w:gridCol w:w="1938"/>
        <w:gridCol w:w="2224"/>
        <w:gridCol w:w="2486"/>
        <w:gridCol w:w="1876"/>
      </w:tblGrid>
      <w:tr w14:paraId="32F2222B">
        <w:tblPrEx>
          <w:tblCellMar>
            <w:top w:w="0" w:type="dxa"/>
            <w:left w:w="10" w:type="dxa"/>
            <w:bottom w:w="0" w:type="dxa"/>
            <w:right w:w="10" w:type="dxa"/>
          </w:tblCellMar>
        </w:tblPrEx>
        <w:trPr>
          <w:jc w:val="center"/>
        </w:trPr>
        <w:tc>
          <w:tcPr>
            <w:tcW w:w="2126" w:type="dxa"/>
          </w:tcPr>
          <w:p w14:paraId="6EE980DB">
            <w:r>
              <w:t>Problem-/Fragestellung</w:t>
            </w:r>
          </w:p>
        </w:tc>
        <w:tc>
          <w:tcPr>
            <w:tcW w:w="2126" w:type="dxa"/>
          </w:tcPr>
          <w:p w14:paraId="4D102809">
            <w:r>
              <w:t>Relevanz (Wert/Stakeholder)</w:t>
            </w:r>
          </w:p>
        </w:tc>
        <w:tc>
          <w:tcPr>
            <w:tcW w:w="2126" w:type="dxa"/>
          </w:tcPr>
          <w:p w14:paraId="4C541568">
            <w:r>
              <w:t>Theoriebezug</w:t>
            </w:r>
          </w:p>
        </w:tc>
        <w:tc>
          <w:tcPr>
            <w:tcW w:w="2126" w:type="dxa"/>
          </w:tcPr>
          <w:p w14:paraId="591D16FB">
            <w:r>
              <w:t>Empirischer Fokus (China, Großorganisationen)</w:t>
            </w:r>
          </w:p>
        </w:tc>
      </w:tr>
      <w:tr w14:paraId="4BB269A6">
        <w:tblPrEx>
          <w:tblCellMar>
            <w:top w:w="0" w:type="dxa"/>
            <w:left w:w="10" w:type="dxa"/>
            <w:bottom w:w="0" w:type="dxa"/>
            <w:right w:w="10" w:type="dxa"/>
          </w:tblCellMar>
        </w:tblPrEx>
        <w:trPr>
          <w:jc w:val="center"/>
        </w:trPr>
        <w:tc>
          <w:tcPr>
            <w:tcW w:w="2126" w:type="dxa"/>
          </w:tcPr>
          <w:p w14:paraId="0A0FB573">
            <w:r>
              <w:t>Wie wirken Konflikte als Unternehmensrisiko?</w:t>
            </w:r>
          </w:p>
        </w:tc>
        <w:tc>
          <w:tcPr>
            <w:tcW w:w="2126" w:type="dxa"/>
          </w:tcPr>
          <w:p w14:paraId="632BBEBA">
            <w:r>
              <w:t>Kosten, Produktivität, Reputation</w:t>
            </w:r>
          </w:p>
        </w:tc>
        <w:tc>
          <w:tcPr>
            <w:tcW w:w="2126" w:type="dxa"/>
          </w:tcPr>
          <w:p w14:paraId="213F90DF">
            <w:r>
              <w:t>Strategisches Konfliktmanagement</w:t>
            </w:r>
          </w:p>
        </w:tc>
        <w:tc>
          <w:tcPr>
            <w:tcW w:w="2126" w:type="dxa"/>
          </w:tcPr>
          <w:p w14:paraId="05664759">
            <w:r>
              <w:t>Beobachtbare Konfliktfelder in Tech‑Konzernen</w:t>
            </w:r>
          </w:p>
        </w:tc>
      </w:tr>
      <w:tr w14:paraId="644F2F3F">
        <w:tblPrEx>
          <w:tblCellMar>
            <w:top w:w="0" w:type="dxa"/>
            <w:left w:w="10" w:type="dxa"/>
            <w:bottom w:w="0" w:type="dxa"/>
            <w:right w:w="10" w:type="dxa"/>
          </w:tblCellMar>
        </w:tblPrEx>
        <w:trPr>
          <w:jc w:val="center"/>
        </w:trPr>
        <w:tc>
          <w:tcPr>
            <w:tcW w:w="2126" w:type="dxa"/>
          </w:tcPr>
          <w:p w14:paraId="51F8165D">
            <w:r>
              <w:t>Welche Instrumente sind geeignet?</w:t>
            </w:r>
          </w:p>
        </w:tc>
        <w:tc>
          <w:tcPr>
            <w:tcW w:w="2126" w:type="dxa"/>
          </w:tcPr>
          <w:p w14:paraId="58BB844C">
            <w:r>
              <w:t>Prävention/Deeskalation</w:t>
            </w:r>
          </w:p>
        </w:tc>
        <w:tc>
          <w:tcPr>
            <w:tcW w:w="2126" w:type="dxa"/>
          </w:tcPr>
          <w:p w14:paraId="4D95C46C">
            <w:r>
              <w:t>Mediation/Ombudsmodelle</w:t>
            </w:r>
          </w:p>
        </w:tc>
        <w:tc>
          <w:tcPr>
            <w:tcW w:w="2126" w:type="dxa"/>
          </w:tcPr>
          <w:p w14:paraId="3F09E914">
            <w:r>
              <w:t>Ausgestaltung: Online‑Kanäle, Anonymität, Vertrauen</w:t>
            </w:r>
          </w:p>
        </w:tc>
      </w:tr>
      <w:tr w14:paraId="680770CF">
        <w:tblPrEx>
          <w:tblCellMar>
            <w:top w:w="0" w:type="dxa"/>
            <w:left w:w="10" w:type="dxa"/>
            <w:bottom w:w="0" w:type="dxa"/>
            <w:right w:w="10" w:type="dxa"/>
          </w:tblCellMar>
        </w:tblPrEx>
        <w:trPr>
          <w:jc w:val="center"/>
        </w:trPr>
        <w:tc>
          <w:tcPr>
            <w:tcW w:w="2126" w:type="dxa"/>
          </w:tcPr>
          <w:p w14:paraId="72950CA0">
            <w:r>
              <w:t>Welche kulturellen Faktoren moderieren die Nutzung?</w:t>
            </w:r>
          </w:p>
        </w:tc>
        <w:tc>
          <w:tcPr>
            <w:tcW w:w="2126" w:type="dxa"/>
          </w:tcPr>
          <w:p w14:paraId="0869382B">
            <w:r>
              <w:t>Akzeptanz &amp; Nutzung</w:t>
            </w:r>
          </w:p>
        </w:tc>
        <w:tc>
          <w:tcPr>
            <w:tcW w:w="2126" w:type="dxa"/>
          </w:tcPr>
          <w:p w14:paraId="67EE9D5E">
            <w:r>
              <w:t>Kultursensitivität, Face, guanxi</w:t>
            </w:r>
          </w:p>
        </w:tc>
        <w:tc>
          <w:tcPr>
            <w:tcW w:w="2126" w:type="dxa"/>
          </w:tcPr>
          <w:p w14:paraId="3EA0C0D5">
            <w:r>
              <w:t>Falllogik: Alibaba vs. JD.com</w:t>
            </w:r>
          </w:p>
        </w:tc>
      </w:tr>
    </w:tbl>
    <w:p w14:paraId="127C04D7">
      <w:pPr>
        <w:pStyle w:val="5"/>
        <w:numPr>
          <w:ilvl w:val="1"/>
          <w:numId w:val="2"/>
        </w:numPr>
        <w:spacing w:before="120" w:after="240"/>
      </w:pPr>
      <w:bookmarkStart w:id="11" w:name="_Toc29344"/>
      <w:bookmarkStart w:id="12" w:name="_Toc17209"/>
      <w:r>
        <w:t>Zielsetzung</w:t>
      </w:r>
      <w:bookmarkEnd w:id="11"/>
      <w:bookmarkEnd w:id="12"/>
    </w:p>
    <w:p w14:paraId="148FDAD4">
      <w:pPr>
        <w:keepNext w:val="0"/>
        <w:keepLines w:val="0"/>
        <w:pageBreakBefore w:val="0"/>
        <w:widowControl/>
        <w:kinsoku/>
        <w:wordWrap/>
        <w:overflowPunct/>
        <w:topLinePunct w:val="0"/>
        <w:autoSpaceDE/>
        <w:autoSpaceDN/>
        <w:bidi w:val="0"/>
        <w:adjustRightInd/>
        <w:snapToGrid/>
        <w:spacing w:after="120" w:line="360" w:lineRule="auto"/>
        <w:textAlignment w:val="auto"/>
      </w:pPr>
      <w:r>
        <w:t>Ziel der Arbeit ist es, ein konsistentes, wissenschaftlich anschlussfähiges und zugleich praxisorientiertes Analysemodell für betriebliches Konfliktmanagement in großen chinesischen Organisationen zu entwickeln. Dabei wird Konfliktmanagement als „System“ verstanden, das Regeln, Rollen, Verfahren, Kommunikationskanäle und Kontrollmechanismen verbindet und an strategische Unternehmensziele gekoppelt ist.</w:t>
      </w:r>
      <w:r>
        <w:rPr>
          <w:rStyle w:val="42"/>
        </w:rPr>
        <w:footnoteReference w:id="10"/>
      </w:r>
    </w:p>
    <w:p w14:paraId="0C42491A">
      <w:pPr>
        <w:keepNext w:val="0"/>
        <w:keepLines w:val="0"/>
        <w:pageBreakBefore w:val="0"/>
        <w:widowControl/>
        <w:kinsoku/>
        <w:wordWrap/>
        <w:overflowPunct/>
        <w:topLinePunct w:val="0"/>
        <w:autoSpaceDE/>
        <w:autoSpaceDN/>
        <w:bidi w:val="0"/>
        <w:adjustRightInd/>
        <w:snapToGrid/>
        <w:spacing w:after="120" w:line="360" w:lineRule="auto"/>
        <w:textAlignment w:val="auto"/>
      </w:pPr>
      <w:r>
        <w:t>Die Arbeit verfolgt drei Teilziele: (1) begriffliche und konzeptionelle Klärung zentraler Termini (Konflikt, Konfliktlösung, Prävention, Beschwerde-, Compliance- und Hinweisgebersysteme) sowie deren Abgrenzung; (2) Analyse und Bewertung zentraler Instrumente (Mediation, Ombudsstellen, digitale Meldesysteme) hinsichtlich Wirksamkeit, Zugänglichkeit und kultureller Passung; (3) Ableitung von Gestaltungs- und Erfolgsfaktoren für ein mehrkanaliges, kultursensitives Konfliktmanagement in China, das sowohl interne Fairness als auch externe Reputation stützt.</w:t>
      </w:r>
      <w:r>
        <w:rPr>
          <w:rStyle w:val="42"/>
        </w:rPr>
        <w:footnoteReference w:id="11"/>
      </w:r>
    </w:p>
    <w:p w14:paraId="19B3ADB8">
      <w:pPr>
        <w:keepNext w:val="0"/>
        <w:keepLines w:val="0"/>
        <w:pageBreakBefore w:val="0"/>
        <w:widowControl/>
        <w:kinsoku/>
        <w:wordWrap/>
        <w:overflowPunct/>
        <w:topLinePunct w:val="0"/>
        <w:autoSpaceDE/>
        <w:autoSpaceDN/>
        <w:bidi w:val="0"/>
        <w:adjustRightInd/>
        <w:snapToGrid/>
        <w:spacing w:after="120" w:line="360" w:lineRule="auto"/>
        <w:textAlignment w:val="auto"/>
      </w:pPr>
      <w:r>
        <w:t>Als Bewertungsrahmen dienen – ergänzend zu konfliktmanagementbezogenen Konzepten – marketing- und kommunikationsbezogene Perspektiven auf Vertrauen, Beschwerden und Krisenkommunikation, weil diese die Schnittstelle zwischen internem Konfliktgeschehen und externer Wahrnehmung systematisch erfassen.</w:t>
      </w:r>
      <w:r>
        <w:rPr>
          <w:rStyle w:val="42"/>
        </w:rPr>
        <w:footnoteReference w:id="12"/>
      </w:r>
    </w:p>
    <w:p w14:paraId="68D0A891">
      <w:pPr>
        <w:keepNext w:val="0"/>
        <w:keepLines w:val="0"/>
        <w:pageBreakBefore w:val="0"/>
        <w:widowControl/>
        <w:kinsoku/>
        <w:wordWrap/>
        <w:overflowPunct/>
        <w:topLinePunct w:val="0"/>
        <w:autoSpaceDE/>
        <w:autoSpaceDN/>
        <w:bidi w:val="0"/>
        <w:adjustRightInd/>
        <w:snapToGrid/>
        <w:spacing w:after="120" w:line="360" w:lineRule="auto"/>
        <w:textAlignment w:val="auto"/>
      </w:pPr>
      <w:r>
        <w:t>Schließlich wird ein wertorientierter Brückenschlag hergestellt: Konfliktmanagement wird als Bestandteil des immateriellen Erfolgskapitals und als Risiko-/Kontrollmechanismus diskutiert, der – je nach Bewertungsanlass – Einfluss auf Planungsprämissen, Risikoabschläge und Governance‑Bewertungen haben kann.</w:t>
      </w:r>
      <w:r>
        <w:rPr>
          <w:rStyle w:val="42"/>
        </w:rPr>
        <w:footnoteReference w:id="13"/>
      </w:r>
    </w:p>
    <w:p w14:paraId="6E67A9C5">
      <w:pPr>
        <w:keepNext w:val="0"/>
        <w:keepLines w:val="0"/>
        <w:pageBreakBefore w:val="0"/>
        <w:widowControl/>
        <w:kinsoku/>
        <w:wordWrap/>
        <w:overflowPunct/>
        <w:topLinePunct w:val="0"/>
        <w:autoSpaceDE/>
        <w:autoSpaceDN/>
        <w:bidi w:val="0"/>
        <w:adjustRightInd/>
        <w:snapToGrid/>
        <w:spacing w:after="120" w:line="360" w:lineRule="auto"/>
        <w:textAlignment w:val="auto"/>
      </w:pPr>
      <w:r>
        <w:t>Ergebnis der Arbeit sollen konkrete, operationalisierbare Empfehlungen sein, wie große chinesische Organisationen Konfliktmanagement instrumentell (Prozesse, Rollen, Kanäle) und kulturell (Normen, Anreize, Kommunikation) gestalten können, ohne dabei westliche Modelle unreflektiert zu übertragen.</w:t>
      </w:r>
      <w:r>
        <w:rPr>
          <w:rStyle w:val="42"/>
        </w:rPr>
        <w:footnoteReference w:id="14"/>
      </w:r>
    </w:p>
    <w:p w14:paraId="6F979367">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Untersuchung grenzt den Betrachtungsgegenstand bewusst ein: Im Mittelpunkt stehen organisationale Konflikte in der Innenwelt (Beschäftigte, Teams, Führung) sowie deren Schnittstellen zu externen Anspruchsgruppen (Kundinnen/Kunden, Öffentlichkeit), soweit interne Konflikte in Reputations- oder Serviceeffekte übersetzen. Nicht Ziel ist eine rechtsdogmatische Analyse einzelner Streitverfahren; vielmehr werden rechtliche und institutionelle Rahmenbedingungen als Kontextfaktoren berücksichtigt. </w:t>
      </w:r>
      <w:r>
        <w:rPr>
          <w:rStyle w:val="42"/>
        </w:rPr>
        <w:footnoteReference w:id="15"/>
      </w:r>
    </w:p>
    <w:p w14:paraId="1D92998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Als Leitfragen können die Zielsetzungen in folgende Forschungsfragen überführt werden: (F1) Welche Gestaltungsprinzipien lassen sich aus der Literatur für ein strategisch integriertes Konfliktmanagement ableiten? (F2) Welche Instrumente sind in Großorganisationen wirksam und wie unterscheiden sie sich in Zugänglichkeit, Vertraulichkeit und Steuerbarkeit? (F3) Welche kulturellen und organisationspolitischen Faktoren beeinflussen die Nutzung dieser Instrumente in China? (F4) Wie kann ein mehrkanaliges, kultursensitives System gestaltet werden, das sowohl Prävention als auch Fallbearbeitung abdeckt? </w:t>
      </w:r>
      <w:r>
        <w:rPr>
          <w:rStyle w:val="42"/>
        </w:rPr>
        <w:footnoteReference w:id="16"/>
      </w:r>
    </w:p>
    <w:p w14:paraId="06BDA013">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Der Erkenntnisbeitrag liegt somit in einer strukturierten „Übersetzungsleistung“: westlich geprägte Modelle (Mediation, Ombudssystem, Hinweisgeberkanäle) werden nicht als Norm gesetzt, sondern anhand kultureller Mechanismen (Gesichtsverlust, Autoritätsbeziehungen, Loyalitätsnormen) und digitaler Organisationslogiken (Skalierung, Plattformsteuerung) kritisch adaptiert. Daraus folgen Empfehlungen, die sich in Governance-Strukturen implementieren lassen (Rollenprofile, Eskalationspfade, Kommunikationsstandards, Kennzahlen). </w:t>
      </w:r>
      <w:r>
        <w:rPr>
          <w:rStyle w:val="42"/>
        </w:rPr>
        <w:footnoteReference w:id="17"/>
      </w:r>
    </w:p>
    <w:p w14:paraId="2E283E63">
      <w:pPr>
        <w:pStyle w:val="5"/>
        <w:numPr>
          <w:ilvl w:val="1"/>
          <w:numId w:val="2"/>
        </w:numPr>
        <w:spacing w:before="120" w:after="240"/>
      </w:pPr>
      <w:bookmarkStart w:id="13" w:name="_Toc19908"/>
      <w:bookmarkStart w:id="14" w:name="_Toc17513"/>
      <w:r>
        <w:t>Aufbau der Arbeit</w:t>
      </w:r>
      <w:bookmarkEnd w:id="13"/>
      <w:bookmarkEnd w:id="14"/>
    </w:p>
    <w:p w14:paraId="3C6EAC63">
      <w:pPr>
        <w:keepNext w:val="0"/>
        <w:keepLines w:val="0"/>
        <w:pageBreakBefore w:val="0"/>
        <w:widowControl/>
        <w:kinsoku/>
        <w:wordWrap/>
        <w:overflowPunct/>
        <w:topLinePunct w:val="0"/>
        <w:autoSpaceDE/>
        <w:autoSpaceDN/>
        <w:bidi w:val="0"/>
        <w:adjustRightInd/>
        <w:snapToGrid/>
        <w:spacing w:after="120" w:line="360" w:lineRule="auto"/>
        <w:textAlignment w:val="auto"/>
      </w:pPr>
      <w:r>
        <w:t>Die Arbeit ist in vier Hauptkapitel gegliedert. Kapitel 1 führt in die Problemstellung ein, begründet die Relevanz und formuliert Ziele sowie Vorgehen. Kapitel 2 definiert zentrale Begriffe, ordnet Konfliktmanagement historisch und konzeptionell ein und grenzt es gegenüber verwandten Managementsystemen ab. Kapitel 3 bildet den theoretischen Schwerpunkt: Es analysiert Instrumente und Implementierungslogiken für Großorganisationen im chinesischen Kontext und leitet Erfolgsfaktoren sowie Messgrößen ab. Kapitel 4 stellt anhand ausgewählter Fallbeispiele die praktische Ausgestaltung dar und verdichtet die Befunde zu Good Practices und Handlungsempfehlungen. Ein abschließendes Fazit fasst die Ergebnisse zusammen und skizziert Forschungs- und Praxisimplikationen.</w:t>
      </w:r>
      <w:r>
        <w:rPr>
          <w:rStyle w:val="42"/>
        </w:rPr>
        <w:footnoteReference w:id="18"/>
      </w:r>
    </w:p>
    <w:p w14:paraId="4A366758">
      <w:pPr>
        <w:keepNext w:val="0"/>
        <w:keepLines w:val="0"/>
        <w:pageBreakBefore w:val="0"/>
        <w:widowControl/>
        <w:kinsoku/>
        <w:wordWrap/>
        <w:overflowPunct/>
        <w:topLinePunct w:val="0"/>
        <w:autoSpaceDE/>
        <w:autoSpaceDN/>
        <w:bidi w:val="0"/>
        <w:adjustRightInd/>
        <w:snapToGrid/>
        <w:spacing w:after="120" w:line="360" w:lineRule="auto"/>
        <w:textAlignment w:val="auto"/>
      </w:pPr>
      <w:r>
        <w:t>Methodisch basiert die Arbeit auf einer theoriegeleiteten Literaturauswertung (Schwerpunkt: SpringerLink‑Publikationen 2015–2025) und einer strukturierenden Falllogik, in der öffentlich dokumentierte Organisationsmechanismen und Kommunikationspraktiken in Beziehung zu den konzeptionellen Anforderungen eines Konfliktmanagementsystems gesetzt werden.</w:t>
      </w:r>
      <w:r>
        <w:rPr>
          <w:rStyle w:val="42"/>
        </w:rPr>
        <w:footnoteReference w:id="19"/>
      </w:r>
    </w:p>
    <w:p w14:paraId="2DFFB638">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Zur Sicherstellung der Nachvollziehbarkeit werden zentrale Begriffe und Annahmen in Kapitel 2 explizit operationalisiert. Kapitel 3 nutzt diese Begriffe als Raster, um Instrumente und Implementierungslogiken zu vergleichen (z. B. Ombudsmodelle vs. digitale Whistleblowing-Plattformen; Mediation vs. hierarchische Klärung). Kapitel 4 überführt die theoretischen Einsichten in eine anwendungsorientierte Fallperspektive und diskutiert, welche Elemente in konkreten Unternehmenskontexten (z. B. Alibaba/JD.com) plausibel und anschlussfähig sind. Obwohl Kapitel 4 später den empirischen Schwerpunkt trägt, werden die konzeptionellen Grundlagen in Kapitel 1 und 2 so gelegt, dass die spätere Anwendung stringent erfolgen kann. </w:t>
      </w:r>
      <w:r>
        <w:rPr>
          <w:rStyle w:val="42"/>
        </w:rPr>
        <w:footnoteReference w:id="20"/>
      </w:r>
    </w:p>
    <w:p w14:paraId="5ADF28C5">
      <w:pPr>
        <w:pStyle w:val="3"/>
        <w:bidi w:val="0"/>
      </w:pPr>
      <w:bookmarkStart w:id="15" w:name="_Ref174329553"/>
      <w:bookmarkEnd w:id="15"/>
      <w:bookmarkStart w:id="16" w:name="_Toc10885"/>
      <w:bookmarkStart w:id="17" w:name="_Toc1758"/>
      <w:r>
        <w:rPr>
          <w:lang w:val="en-US" w:eastAsia="zh-CN"/>
        </w:rPr>
        <w:t>Begriffliche</w:t>
      </w:r>
      <w:r>
        <w:rPr>
          <w:lang w:val="de-DE" w:eastAsia="zh-CN"/>
        </w:rPr>
        <w:t xml:space="preserve"> </w:t>
      </w:r>
      <w:r>
        <w:t>Grundlage</w:t>
      </w:r>
      <w:r>
        <w:rPr>
          <w:lang w:val="en-US" w:eastAsia="zh-CN"/>
        </w:rPr>
        <w:t>n</w:t>
      </w:r>
      <w:bookmarkEnd w:id="16"/>
      <w:bookmarkEnd w:id="17"/>
    </w:p>
    <w:p w14:paraId="5DB33EC5">
      <w:pPr>
        <w:pStyle w:val="5"/>
        <w:numPr>
          <w:ilvl w:val="1"/>
          <w:numId w:val="1"/>
        </w:numPr>
        <w:bidi w:val="0"/>
        <w:ind w:left="576" w:leftChars="0" w:hanging="576" w:firstLineChars="0"/>
        <w:rPr>
          <w:lang w:val="de-DE" w:eastAsia="zh-CN"/>
        </w:rPr>
      </w:pPr>
      <w:bookmarkStart w:id="18" w:name="_Toc23846"/>
      <w:bookmarkStart w:id="19" w:name="_Toc6748"/>
      <w:r>
        <w:t>Begriff und Ursprung des betrieblichen Konfliktmanagements</w:t>
      </w:r>
      <w:bookmarkEnd w:id="18"/>
      <w:bookmarkEnd w:id="19"/>
    </w:p>
    <w:p w14:paraId="4C3F66FD">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Unter betrieblichem Konfliktmanagement wird im Rahmen dieser Arbeit die Gesamtheit geplanter Strukturen, Prozesse und Kompetenzen verstanden, die darauf ausgerichtet sind, Konflikte in Organisationen frühzeitig zu erkennen, konstruktiv zu bearbeiten und – soweit möglich – präventiv zu entschärfen. Entscheidend ist der Übergang von punktueller Fallbearbeitung hin zu einem dauerhaft etablierten Managementsystem, das Verantwortlichkeiten, Kommunikationswege, Dokumentation, Qualitätssicherung und Feedbackschleifen verbindet. </w:t>
      </w:r>
      <w:r>
        <w:rPr>
          <w:rStyle w:val="42"/>
        </w:rPr>
        <w:footnoteReference w:id="21"/>
      </w:r>
    </w:p>
    <w:p w14:paraId="124722F4">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Aus systemischer Sicht ist Konfliktmanagement kein „weicher“ Zusatz, sondern eine Querschnittsfunktion der Unternehmensführung. Konflikte können als Unternehmensrisiken modelliert werden, weil sie die Zielerreichung gefährden, Ressourcen binden und Reputations- sowie Compliance-Folgen auslösen können. Strategische Ansätze koppeln Konfliktmanagement daher an Corporate Governance, Risikomanagement und Nachhaltigkeitslogiken (z. B. ESG), um Wertschöpfung und Zusammenarbeit zu stabilisieren. </w:t>
      </w:r>
      <w:r>
        <w:rPr>
          <w:rStyle w:val="42"/>
        </w:rPr>
        <w:footnoteReference w:id="22"/>
      </w:r>
    </w:p>
    <w:p w14:paraId="255AAE09">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Institutionalisierung betrieblicher Konfliktbearbeitung ist in Europa eng mit der Professionalisierung von Mediation und der Entwicklung von Ombuds- und Hinweisgebersystemen verbunden. Der rechtliche Rahmen (u. a. Mediationsgesetz) stärkt Qualitätsstandards wie Vertraulichkeit, Freiwilligkeit und Strukturierung des Verfahrens. Für Organisationen bedeutet dies: Konfliktbearbeitung kann standardisiert und zugleich flexibel gestaltet werden, ohne ausschließlich auf hierarchische Eskalation oder juristische Wege angewiesen zu sein. </w:t>
      </w:r>
      <w:r>
        <w:rPr>
          <w:rStyle w:val="42"/>
        </w:rPr>
        <w:footnoteReference w:id="23"/>
      </w:r>
    </w:p>
    <w:p w14:paraId="130C6D1C">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Im chinesischen Kontext ist gleichzeitig zu berücksichtigen, dass informelle Konfliktregulierung traditionell eine wichtige Rolle spielt: Vermittlung über Hierarchien, informelle Autoritäten oder Netzwerkbeziehungen kann Deeskalation ermöglichen, kann aber auch dazu führen, dass Konflikte verdeckt bleiben. Große Unternehmen entwickeln deshalb häufig hybride Lösungen, in denen formale Policies und digitale Kanäle parallel zu face-orientierten, relationalen Praktiken existieren. Ein belastbarer Begriffsrahmen muss beide Logiken abbilden und ihre Wechselwirkungen erklären. </w:t>
      </w:r>
      <w:r>
        <w:rPr>
          <w:rStyle w:val="42"/>
        </w:rPr>
        <w:footnoteReference w:id="24"/>
      </w:r>
    </w:p>
    <w:p w14:paraId="73209DBB">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Konflikte können entlang verschiedener Dimensionen beschrieben werden: (a) Ebene (intrapersonal, interpersonal, intra‑team, inter‑team, organisationsextern), (b) Gegenstand (Sach-, Beziehungs-, Werte-, Verteilungs- und Rollenkonflikte), (c) Intensität/Eskalationsgrad und (d) Zeitlichkeit (akut vs. chronisch). Für das Management ist diese Typologie nicht Selbstzweck: Sie bestimmt, welche Verfahren geeignet sind. Sachkonflikte können oft durch Klärung von Informationen und Entscheidungsregeln gelöst werden, während Beziehungskonflikte häufig moderierte Kommunikation, Vertrauensaufbau und ggf. räumliche/organisatorische Trennung benötigen. Werte- und Normenkonflikte wiederum berühren Identität und Kultur und erfordern Führung sowie langfristige Entwicklungsprozesse. </w:t>
      </w:r>
      <w:r>
        <w:rPr>
          <w:rStyle w:val="42"/>
        </w:rPr>
        <w:footnoteReference w:id="25"/>
      </w:r>
    </w:p>
    <w:p w14:paraId="015A0660">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„Managementsystem“ im Sinne dieser Arbeit umfasst mindestens fünf Bausteine: (1) Governance (Mandat, Policy, Verankerung in der Unternehmensleitung), (2) Prozesse (Fallannahme, Triagierung, Klärung/Verfahren, Dokumentation, Rückmeldung), (3) Rollen (Konfliktlotsen, Mediator:innen, Ombudspersonen, Compliance-Schnittstelle), (4) Instrumente/Kanäle (informell, formal, digital, anonym), (5) Lernen &amp; Controlling (Kennzahlen, Trendanalysen, Qualitätsstandards). Die systemische Sicht ermöglicht, Konflikte nicht nur zu „beheben“, sondern strukturelle Ursachen (Anreizsysteme, Rollenunklarheit, Kommunikationsbarrieren) aufzudecken. </w:t>
      </w:r>
      <w:r>
        <w:rPr>
          <w:rStyle w:val="42"/>
        </w:rPr>
        <w:footnoteReference w:id="26"/>
      </w:r>
    </w:p>
    <w:p w14:paraId="5E666C36">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multinationale oder global orientierte Unternehmen ist darüber hinaus die Interkulturalität zu berücksichtigen. Interkulturelle Trainings und Mediationsformate zeigen, dass Kultur nicht als Stereotyp, sondern als Set von Erwartungs- und Kommunikationsmustern verstanden werden sollte. In der Praxis bedeutet dies: Verfahren müssen so gestaltet werden, dass unterschiedliche Konfliktstile (direkt vs. indirekt, konfrontativ vs. harmonisierend) berücksichtigt werden und dass Übersetzungs- und Moderationskompetenz vorhanden ist. </w:t>
      </w:r>
      <w:r>
        <w:rPr>
          <w:rStyle w:val="42"/>
        </w:rPr>
        <w:footnoteReference w:id="27"/>
      </w:r>
    </w:p>
    <w:p w14:paraId="380B3B88">
      <w:pPr>
        <w:pStyle w:val="5"/>
        <w:numPr>
          <w:ilvl w:val="1"/>
          <w:numId w:val="1"/>
        </w:numPr>
        <w:bidi w:val="0"/>
        <w:ind w:left="576" w:leftChars="0" w:hanging="576" w:firstLineChars="0"/>
      </w:pPr>
      <w:bookmarkStart w:id="20" w:name="_Toc28740"/>
      <w:bookmarkStart w:id="21" w:name="_Toc2174"/>
      <w:r>
        <w:rPr>
          <w:lang w:val="de-DE"/>
        </w:rPr>
        <w:t>Abgrenzung zu verwandten Konzepten</w:t>
      </w:r>
      <w:bookmarkEnd w:id="20"/>
      <w:bookmarkEnd w:id="21"/>
    </w:p>
    <w:p w14:paraId="71EA991C">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Konfliktmanagement überschneidet sich in der Praxis mit etablierten Unternehmensfunktionen wie HR, Compliance, Risikomanagement, Qualitäts- und Beschwerdemanagement sowie interner Kommunikation. Für eine wissenschaftlich tragfähige Analyse ist eine Abgrenzung notwendig, die sich an Adressaten (intern/extern), Anlassarten (Interessen- vs. Normkonflikt), Zielzuständen (Einigung, Klärung, Sanktion, Lernen) und Prozesslogiken (kooperativ, ermittelnd, eskalierend) orientiert. </w:t>
      </w:r>
      <w:r>
        <w:rPr>
          <w:rStyle w:val="42"/>
        </w:rPr>
        <w:footnoteReference w:id="28"/>
      </w:r>
    </w:p>
    <w:p w14:paraId="3373D953">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Im Zentrum des Konfliktmanagements stehen typischerweise interne Konflikte zwischen Beschäftigten, Teams und Führungsebenen, die aus Zieldivergenzen, Rollenunklarheit, Ressourcenknappheit oder Kommunikationsstörungen resultieren. Beschwerde- und Kundenkontaktprozesse sind zwar häufig Anlassgeber, gehören aber erst dann zum Kern des Konfliktmanagements, wenn interne Interaktionen und Zuständigkeiten selbst konfliktträchtig werden (z. B. zwischen Kundenservice und Produktteam). </w:t>
      </w:r>
      <w:r>
        <w:rPr>
          <w:rStyle w:val="42"/>
        </w:rPr>
        <w:footnoteReference w:id="29"/>
      </w:r>
    </w:p>
    <w:p w14:paraId="2A8DBFA6">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Abgrenzung ist nicht nur terminologisch, sondern auch organisatorisch relevant: Werden Konflikte ausschließlich als „Personalproblem“ oder ausschließlich als „Compliance-Sachverhalt“ behandelt, entstehen blinde Flecken. Deshalb braucht es Schnittstellenregeln, Eskalationskriterien und Rollenbeschreibungen (wer klärt, wer ermittelt, wer sanktioniert), um Verfahrensgerechtigkeit und Vertrauen zu sichern. </w:t>
      </w:r>
      <w:r>
        <w:rPr>
          <w:rStyle w:val="42"/>
        </w:rPr>
        <w:footnoteReference w:id="30"/>
      </w:r>
    </w:p>
    <w:p w14:paraId="71912DA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Eine zentrale Grenzziehung verläuft zwischen interessenbasierten Klärungsverfahren (z. B. Mediation) und ermittlungs-/sanktionsbasierten Verfahren (z. B. Compliance-Untersuchung). Während ersteres auf Zukunftsfähigkeit der Beziehung, Verständigung und freiwillige Vereinbarung zielt, zielt letzteres auf Feststellung von Fakten, Verantwortlichkeiten und ggf. Sanktionen. In der Organisationspraxis sind Mischformen möglich, doch braucht es klare Kriterien, wann ein Fall in welche Logik überführt wird (z. B. bei Gewalt, Diskriminierung, Korruption). </w:t>
      </w:r>
      <w:r>
        <w:rPr>
          <w:rStyle w:val="42"/>
        </w:rPr>
        <w:footnoteReference w:id="31"/>
      </w:r>
      <w:r>
        <w:rPr>
          <w:rStyle w:val="42"/>
        </w:rPr>
        <w:footnoteReference w:id="32"/>
      </w:r>
    </w:p>
    <w:p w14:paraId="1F4E1DF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Zudem ist zwischen individuellen Konfliktlösungsfähigkeiten (Konfliktkompetenz) und organisationalen Konfliktmanagementstrukturen zu unterscheiden. Trainings (Kommunikation, Verhandlung, Deeskalation) erhöhen Kompetenz, können aber ein System nicht ersetzen. Ohne zugängliche Kanäle, Schutzmechanismen und Führungssignale bleibt die Nutzung gering – besonders dort, wo Machtasymmetrien stark sind. </w:t>
      </w:r>
      <w:r>
        <w:rPr>
          <w:rStyle w:val="42"/>
        </w:rPr>
        <w:footnoteReference w:id="33"/>
      </w:r>
    </w:p>
    <w:p w14:paraId="37127B7D">
      <w:pPr>
        <w:pStyle w:val="6"/>
        <w:numPr>
          <w:ilvl w:val="2"/>
          <w:numId w:val="1"/>
        </w:numPr>
        <w:bidi w:val="0"/>
        <w:ind w:left="720" w:leftChars="0" w:hanging="720" w:firstLineChars="0"/>
      </w:pPr>
      <w:bookmarkStart w:id="22" w:name="_Toc25821"/>
      <w:bookmarkStart w:id="23" w:name="_Toc22712"/>
      <w:r>
        <w:t>Konfliktl6sung vs. Konfliktpravention</w:t>
      </w:r>
      <w:bookmarkEnd w:id="22"/>
      <w:bookmarkEnd w:id="23"/>
    </w:p>
    <w:p w14:paraId="45246E1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Konfliktlösung fokussiert auf die Bearbeitung eines bereits manifesten Konflikts mit dem Ziel einer Deeskalation, einer tragfähigen Einigung oder mindestens einer handhabbaren Arbeitsbeziehung. Typische Verfahren sind Mediation, moderierte Klärung, Schlichtung oder formale Eskalationen bis hin zu rechtlichen Wegen. Gemeinsam ist diesen Verfahren, dass sie einen konkreten Fall adressieren und zeitlich begrenzt sind. </w:t>
      </w:r>
      <w:r>
        <w:rPr>
          <w:rStyle w:val="42"/>
        </w:rPr>
        <w:footnoteReference w:id="34"/>
      </w:r>
    </w:p>
    <w:p w14:paraId="4569D36C">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Konfliktprävention zielt demgegenüber darauf, die Wahrscheinlichkeit und Intensität von Konflikten zu reduzieren. Prävention umfasst strukturelle Maßnahmen (klare Rollen, Prozesse, Anreizsysteme), kulturelle Maßnahmen (psychologische Sicherheit, Feedbackkultur) und kommunikative Maßnahmen (Transparenz, Erwartungsmanagement). In digitalen Großorganisationen gewinnen zudem datenbasierte Frühwarnsignale an Bedeutung, etwa aus HR-Analytics, internen Feedbackplattformen oder Ticket- und Service-Daten. </w:t>
      </w:r>
      <w:r>
        <w:rPr>
          <w:rStyle w:val="42"/>
        </w:rPr>
        <w:footnoteReference w:id="35"/>
      </w:r>
    </w:p>
    <w:p w14:paraId="07E16234">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die weitere Analyse ist wichtig: Prävention ersetzt Konfliktlösung nicht. Ein wirksames Konfliktmanagementsystem ist durch eine Dualität gekennzeichnet: Es muss reaktiv (Fallbearbeitung) und proaktiv (Prävention) funktionieren und beide Seiten miteinander verzahnen, etwa durch Lessons-Learned-Formate, Trendanalysen und regelmäßige Systemaudits. </w:t>
      </w:r>
      <w:r>
        <w:rPr>
          <w:rStyle w:val="42"/>
        </w:rPr>
        <w:footnoteReference w:id="36"/>
      </w:r>
    </w:p>
    <w:p w14:paraId="7C33BA9B">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Prävention lässt sich wiederum in primäre, sekundäre und tertiäre Prävention differenzieren. Primär: Gestaltung von Strukturen (Rollen, Prozesse, Anreize), um Konfliktursachen zu reduzieren. Sekundär: Früherkennung (z. B. regelmäßige Klima- und Pulsbefragungen, anonymisierte Feedbacksysteme) und schnelle, niedrigschwellige Interventionen. Tertiär: Vermeidung von Folgeschäden nach eskalierten Konflikten (Reintegration, Team-Reparatur, Lessons Learned). Diese Differenzierung ist hilfreich, um Instrumente korrekt zuzuordnen und Überforderungen zu vermeiden (z. B. „Mediation“ als Allheilmittel). </w:t>
      </w:r>
      <w:r>
        <w:rPr>
          <w:rStyle w:val="42"/>
        </w:rPr>
        <w:footnoteReference w:id="37"/>
      </w:r>
    </w:p>
    <w:p w14:paraId="506D03B0">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In chinesischen Großorganisationen ist sekundäre Prävention häufig besonders relevant, weil Konflikte aus face-Gründen lange verdeckt bleiben können. Niedrigschwellige, vertrauliche Kanäle und frühzeitige Moderation können hier entscheidend sein, um Eskalationsstufen gar nicht erst zu erreichen. </w:t>
      </w:r>
      <w:r>
        <w:rPr>
          <w:rStyle w:val="42"/>
        </w:rPr>
        <w:footnoteReference w:id="38"/>
      </w:r>
    </w:p>
    <w:p w14:paraId="1CEF0D47">
      <w:pPr>
        <w:pStyle w:val="6"/>
        <w:numPr>
          <w:ilvl w:val="2"/>
          <w:numId w:val="1"/>
        </w:numPr>
        <w:bidi w:val="0"/>
        <w:ind w:left="720" w:leftChars="0" w:hanging="720" w:firstLineChars="0"/>
      </w:pPr>
      <w:bookmarkStart w:id="24" w:name="_Toc12392"/>
      <w:bookmarkStart w:id="25" w:name="_Toc6873"/>
      <w:r>
        <w:t>Konfliktmanagement vs.Beschwerde-und Compliance-Systeme</w:t>
      </w:r>
      <w:bookmarkEnd w:id="24"/>
      <w:bookmarkEnd w:id="25"/>
    </w:p>
    <w:p w14:paraId="416903E0">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Beschwerdemanagement adressiert primär externe Stakeholder (Kundinnen und Kunden) und ist in Dienstleistungs- und Marketinglogiken verankert: Beschwerden gelten als Signal für Qualitätsmängel und als Chance zur Wiederherstellung von Zufriedenheit. Konfliktmanagement adressiert demgegenüber primär interne Konflikte; Schnittstellen entstehen dort, wo interne Konflikte die externe Leistungserbringung beeinflussen oder umgekehrt externe Beschwerden interne Zielkonflikte sichtbar machen. </w:t>
      </w:r>
      <w:r>
        <w:rPr>
          <w:rStyle w:val="42"/>
        </w:rPr>
        <w:footnoteReference w:id="39"/>
      </w:r>
    </w:p>
    <w:p w14:paraId="74A17FF0">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Compliance- und Hinweisgebersysteme sind normativ und rechtlich ausgerichtet. Sie dienen der Prävention und Aufdeckung von Regelverstößen und sind mit Untersuchungs- und Sanktionslogiken verbunden. Konfliktmanagement ist hingegen stärker kooperativ und interessenbasiert: Es ist auch dort sinnvoll, wo kein Regelverstoß vorliegt, sondern Ziel- und Interessendivergenzen oder Kommunikationsprobleme dominieren. </w:t>
      </w:r>
      <w:r>
        <w:rPr>
          <w:rStyle w:val="42"/>
        </w:rPr>
        <w:footnoteReference w:id="40"/>
      </w:r>
    </w:p>
    <w:p w14:paraId="515682E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In Großorganisationen sind hybride Anlässe häufig (z. B. Mobbing, Diskriminierung, Interessenkonflikte). Strategische Ansätze empfehlen deshalb eine integrierte Architektur bzw. klar definierte Schnittstellen zwischen Konflikt-, Risiko- und Compliance-Management, damit Vertraulichkeit, Verfahrensgerechtigkeit und Schutzbedarfe konsistent gewährleistet sind. </w:t>
      </w:r>
      <w:r>
        <w:rPr>
          <w:rStyle w:val="42"/>
        </w:rPr>
        <w:footnoteReference w:id="41"/>
      </w:r>
    </w:p>
    <w:p w14:paraId="62A1731D">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Integration dieser Systeme ist auch vor dem Hintergrund digitaler Plattformen zu sehen: Beschwerden aus Social Media oder App‑Stores werden häufig in Tickets übersetzt. Ohne klare Ownership entstehen interne Konflikte zwischen Service, Produkt, Legal und PR („Wer ist verantwortlich?“). Konfliktmanagement liefert hier nicht nur ein Verfahren für interpersonal Konflikte, sondern auch Regeln der bereichsübergreifenden Zusammenarbeit (z. B. gemeinsame Klärungsformate, Entscheidungsrechte, Eskalationspfade). </w:t>
      </w:r>
      <w:r>
        <w:rPr>
          <w:rStyle w:val="42"/>
        </w:rPr>
        <w:footnoteReference w:id="42"/>
      </w:r>
    </w:p>
    <w:p w14:paraId="52BE1EC1">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Social Media gilt darüber hinaus: Monitoring und Risikomanagement sind nicht nur Marketingaufgaben, sondern erfordern interne Abstimmungsfähigkeit. Konfliktmanagement kann als „Enabler“ interner Koordination verstanden werden, damit externe Krisenkommunikation kohärent, schnell und glaubwürdig erfolgt. Umgekehrt können öffentlich sichtbare Konflikte die interne Konfliktkultur belasten, wenn Mitarbeitende negative Sanktionen befürchten oder wenn Kommunikationslinien als „Spin“ wahrgenommen werden. </w:t>
      </w:r>
      <w:r>
        <w:rPr>
          <w:rStyle w:val="42"/>
        </w:rPr>
        <w:footnoteReference w:id="43"/>
      </w:r>
    </w:p>
    <w:tbl>
      <w:tblPr>
        <w:tblStyle w:val="33"/>
        <w:tblW w:w="0" w:type="auto"/>
        <w:jc w:val="center"/>
        <w:tblLayout w:type="autofit"/>
        <w:tblCellMar>
          <w:top w:w="0" w:type="dxa"/>
          <w:left w:w="10" w:type="dxa"/>
          <w:bottom w:w="0" w:type="dxa"/>
          <w:right w:w="10" w:type="dxa"/>
        </w:tblCellMar>
      </w:tblPr>
      <w:tblGrid>
        <w:gridCol w:w="2580"/>
        <w:gridCol w:w="1860"/>
        <w:gridCol w:w="1976"/>
        <w:gridCol w:w="2108"/>
      </w:tblGrid>
      <w:tr w14:paraId="723E9621">
        <w:tblPrEx>
          <w:tblCellMar>
            <w:top w:w="0" w:type="dxa"/>
            <w:left w:w="10" w:type="dxa"/>
            <w:bottom w:w="0" w:type="dxa"/>
            <w:right w:w="10" w:type="dxa"/>
          </w:tblCellMar>
        </w:tblPrEx>
        <w:trPr>
          <w:jc w:val="center"/>
        </w:trPr>
        <w:tc>
          <w:tcPr>
            <w:tcW w:w="2126" w:type="dxa"/>
          </w:tcPr>
          <w:p w14:paraId="26A950E3">
            <w:r>
              <w:t>System</w:t>
            </w:r>
          </w:p>
        </w:tc>
        <w:tc>
          <w:tcPr>
            <w:tcW w:w="2126" w:type="dxa"/>
          </w:tcPr>
          <w:p w14:paraId="64A265A6">
            <w:r>
              <w:t>Primärer Zweck</w:t>
            </w:r>
          </w:p>
        </w:tc>
        <w:tc>
          <w:tcPr>
            <w:tcW w:w="2126" w:type="dxa"/>
          </w:tcPr>
          <w:p w14:paraId="38D3081C">
            <w:r>
              <w:t>Typische Prozesslogik</w:t>
            </w:r>
          </w:p>
        </w:tc>
        <w:tc>
          <w:tcPr>
            <w:tcW w:w="2126" w:type="dxa"/>
          </w:tcPr>
          <w:p w14:paraId="74492F51">
            <w:r>
              <w:t>Risiken bei Fehlgestaltung</w:t>
            </w:r>
          </w:p>
        </w:tc>
      </w:tr>
      <w:tr w14:paraId="49A3C0DB">
        <w:tblPrEx>
          <w:tblCellMar>
            <w:top w:w="0" w:type="dxa"/>
            <w:left w:w="10" w:type="dxa"/>
            <w:bottom w:w="0" w:type="dxa"/>
            <w:right w:w="10" w:type="dxa"/>
          </w:tblCellMar>
        </w:tblPrEx>
        <w:trPr>
          <w:jc w:val="center"/>
        </w:trPr>
        <w:tc>
          <w:tcPr>
            <w:tcW w:w="2126" w:type="dxa"/>
          </w:tcPr>
          <w:p w14:paraId="03AF019D">
            <w:r>
              <w:t>Konfliktmanagement</w:t>
            </w:r>
          </w:p>
        </w:tc>
        <w:tc>
          <w:tcPr>
            <w:tcW w:w="2126" w:type="dxa"/>
          </w:tcPr>
          <w:p w14:paraId="499F12A2">
            <w:r>
              <w:t>Deeskalation, Kooperation, Lernen</w:t>
            </w:r>
          </w:p>
        </w:tc>
        <w:tc>
          <w:tcPr>
            <w:tcW w:w="2126" w:type="dxa"/>
          </w:tcPr>
          <w:p w14:paraId="33079FB8">
            <w:r>
              <w:t>interessenbasiert, vertraulich</w:t>
            </w:r>
          </w:p>
        </w:tc>
        <w:tc>
          <w:tcPr>
            <w:tcW w:w="2126" w:type="dxa"/>
          </w:tcPr>
          <w:p w14:paraId="3E01F239">
            <w:r>
              <w:t>Vertrauensverlust; Eskalationskosten</w:t>
            </w:r>
          </w:p>
        </w:tc>
      </w:tr>
      <w:tr w14:paraId="3BCDD117">
        <w:tblPrEx>
          <w:tblCellMar>
            <w:top w:w="0" w:type="dxa"/>
            <w:left w:w="10" w:type="dxa"/>
            <w:bottom w:w="0" w:type="dxa"/>
            <w:right w:w="10" w:type="dxa"/>
          </w:tblCellMar>
        </w:tblPrEx>
        <w:trPr>
          <w:jc w:val="center"/>
        </w:trPr>
        <w:tc>
          <w:tcPr>
            <w:tcW w:w="2126" w:type="dxa"/>
          </w:tcPr>
          <w:p w14:paraId="36BC8BE3">
            <w:r>
              <w:t>Beschwerdemanagement</w:t>
            </w:r>
          </w:p>
        </w:tc>
        <w:tc>
          <w:tcPr>
            <w:tcW w:w="2126" w:type="dxa"/>
          </w:tcPr>
          <w:p w14:paraId="7F944C70">
            <w:r>
              <w:t>Service Recovery, Zufriedenheit</w:t>
            </w:r>
          </w:p>
        </w:tc>
        <w:tc>
          <w:tcPr>
            <w:tcW w:w="2126" w:type="dxa"/>
          </w:tcPr>
          <w:p w14:paraId="50F5AD66">
            <w:r>
              <w:t>kundenorientiert, standardisiert</w:t>
            </w:r>
          </w:p>
        </w:tc>
        <w:tc>
          <w:tcPr>
            <w:tcW w:w="2126" w:type="dxa"/>
          </w:tcPr>
          <w:p w14:paraId="73D22D52">
            <w:r>
              <w:t>Reputationsschäden; Kundenabwanderung</w:t>
            </w:r>
          </w:p>
        </w:tc>
      </w:tr>
      <w:tr w14:paraId="07BC458F">
        <w:tblPrEx>
          <w:tblCellMar>
            <w:top w:w="0" w:type="dxa"/>
            <w:left w:w="10" w:type="dxa"/>
            <w:bottom w:w="0" w:type="dxa"/>
            <w:right w:w="10" w:type="dxa"/>
          </w:tblCellMar>
        </w:tblPrEx>
        <w:trPr>
          <w:jc w:val="center"/>
        </w:trPr>
        <w:tc>
          <w:tcPr>
            <w:tcW w:w="2126" w:type="dxa"/>
          </w:tcPr>
          <w:p w14:paraId="087F0AC0">
            <w:r>
              <w:t>Compliance/Hinweisgeber</w:t>
            </w:r>
          </w:p>
        </w:tc>
        <w:tc>
          <w:tcPr>
            <w:tcW w:w="2126" w:type="dxa"/>
          </w:tcPr>
          <w:p w14:paraId="78024A7F">
            <w:r>
              <w:t>Normtreue, Aufdeckung</w:t>
            </w:r>
          </w:p>
        </w:tc>
        <w:tc>
          <w:tcPr>
            <w:tcW w:w="2126" w:type="dxa"/>
          </w:tcPr>
          <w:p w14:paraId="2AC9D32A">
            <w:r>
              <w:t>ermittelnd, dokumentiert</w:t>
            </w:r>
          </w:p>
        </w:tc>
        <w:tc>
          <w:tcPr>
            <w:tcW w:w="2126" w:type="dxa"/>
          </w:tcPr>
          <w:p w14:paraId="4A8E5CDA">
            <w:r>
              <w:t>Über- oder Unterreaktion; Retaliation-Risiken</w:t>
            </w:r>
          </w:p>
        </w:tc>
      </w:tr>
    </w:tbl>
    <w:tbl>
      <w:tblPr>
        <w:tblStyle w:val="33"/>
        <w:tblpPr w:leftFromText="180" w:rightFromText="180" w:vertAnchor="text" w:horzAnchor="page" w:tblpXSpec="center" w:tblpY="23"/>
        <w:tblOverlap w:val="never"/>
        <w:tblW w:w="5000" w:type="pct"/>
        <w:tblInd w:w="15" w:type="dxa"/>
        <w:tblLayout w:type="fixed"/>
        <w:tblCellMar>
          <w:top w:w="15" w:type="dxa"/>
          <w:left w:w="15" w:type="dxa"/>
          <w:bottom w:w="15" w:type="dxa"/>
          <w:right w:w="15" w:type="dxa"/>
        </w:tblCellMar>
      </w:tblPr>
      <w:tblGrid>
        <w:gridCol w:w="1328"/>
        <w:gridCol w:w="2746"/>
        <w:gridCol w:w="2550"/>
        <w:gridCol w:w="1911"/>
      </w:tblGrid>
      <w:tr w14:paraId="54329392">
        <w:tblPrEx>
          <w:tblCellMar>
            <w:top w:w="15" w:type="dxa"/>
            <w:left w:w="15" w:type="dxa"/>
            <w:bottom w:w="15" w:type="dxa"/>
            <w:right w:w="15" w:type="dxa"/>
          </w:tblCellMar>
        </w:tblPrEx>
        <w:trPr>
          <w:trHeight w:val="816" w:hRule="atLeast"/>
          <w:tblHeader/>
        </w:trPr>
        <w:tc>
          <w:tcPr>
            <w:tcW w:w="1350" w:type="dxa"/>
            <w:tcBorders>
              <w:top w:val="single" w:color="000000" w:sz="4" w:space="0"/>
              <w:left w:val="single" w:color="000000" w:sz="4" w:space="0"/>
              <w:bottom w:val="single" w:color="000000" w:sz="4" w:space="0"/>
              <w:right w:val="single" w:color="000000" w:sz="4" w:space="0"/>
            </w:tcBorders>
            <w:vAlign w:val="center"/>
          </w:tcPr>
          <w:p w14:paraId="6107D457">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Dimension</w:t>
            </w:r>
          </w:p>
        </w:tc>
        <w:tc>
          <w:tcPr>
            <w:tcW w:w="2792" w:type="dxa"/>
            <w:tcBorders>
              <w:top w:val="single" w:color="000000" w:sz="4" w:space="0"/>
              <w:left w:val="single" w:color="000000" w:sz="4" w:space="0"/>
              <w:bottom w:val="single" w:color="000000" w:sz="4" w:space="0"/>
              <w:right w:val="single" w:color="000000" w:sz="4" w:space="0"/>
            </w:tcBorders>
            <w:vAlign w:val="center"/>
          </w:tcPr>
          <w:p w14:paraId="4F353418">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Betriebliches Konfliktmanagement</w:t>
            </w:r>
          </w:p>
        </w:tc>
        <w:tc>
          <w:tcPr>
            <w:tcW w:w="2593" w:type="dxa"/>
            <w:tcBorders>
              <w:top w:val="single" w:color="000000" w:sz="4" w:space="0"/>
              <w:left w:val="single" w:color="000000" w:sz="4" w:space="0"/>
              <w:bottom w:val="single" w:color="000000" w:sz="4" w:space="0"/>
              <w:right w:val="single" w:color="000000" w:sz="4" w:space="0"/>
            </w:tcBorders>
            <w:vAlign w:val="center"/>
          </w:tcPr>
          <w:p w14:paraId="0FD7C479">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Beschwerdemanagement</w:t>
            </w:r>
          </w:p>
        </w:tc>
        <w:tc>
          <w:tcPr>
            <w:tcW w:w="1943" w:type="dxa"/>
            <w:tcBorders>
              <w:top w:val="single" w:color="000000" w:sz="4" w:space="0"/>
              <w:left w:val="single" w:color="000000" w:sz="4" w:space="0"/>
              <w:bottom w:val="single" w:color="000000" w:sz="4" w:space="0"/>
              <w:right w:val="single" w:color="000000" w:sz="4" w:space="0"/>
            </w:tcBorders>
            <w:vAlign w:val="center"/>
          </w:tcPr>
          <w:p w14:paraId="357A0876">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Compliance-/Hinweisgebersystem</w:t>
            </w:r>
          </w:p>
        </w:tc>
      </w:tr>
      <w:tr w14:paraId="3A72DC81">
        <w:tblPrEx>
          <w:tblCellMar>
            <w:top w:w="15" w:type="dxa"/>
            <w:left w:w="15" w:type="dxa"/>
            <w:bottom w:w="15" w:type="dxa"/>
            <w:right w:w="15" w:type="dxa"/>
          </w:tblCellMar>
        </w:tblPrEx>
        <w:trPr>
          <w:trHeight w:val="1277"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457E0D2A">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Primäres Ziel</w:t>
            </w:r>
          </w:p>
        </w:tc>
        <w:tc>
          <w:tcPr>
            <w:tcW w:w="2792" w:type="dxa"/>
            <w:tcBorders>
              <w:top w:val="single" w:color="000000" w:sz="4" w:space="0"/>
              <w:left w:val="single" w:color="000000" w:sz="4" w:space="0"/>
              <w:bottom w:val="single" w:color="000000" w:sz="4" w:space="0"/>
              <w:right w:val="single" w:color="000000" w:sz="4" w:space="0"/>
            </w:tcBorders>
            <w:vAlign w:val="center"/>
          </w:tcPr>
          <w:p w14:paraId="2064492B">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Arbeitsfähigkeit &amp; Zusammenarbeit sichern; faire Konfliktbearbeitung; Lernen</w:t>
            </w:r>
          </w:p>
        </w:tc>
        <w:tc>
          <w:tcPr>
            <w:tcW w:w="2593" w:type="dxa"/>
            <w:tcBorders>
              <w:top w:val="single" w:color="000000" w:sz="4" w:space="0"/>
              <w:left w:val="single" w:color="000000" w:sz="4" w:space="0"/>
              <w:bottom w:val="single" w:color="000000" w:sz="4" w:space="0"/>
              <w:right w:val="single" w:color="000000" w:sz="4" w:space="0"/>
            </w:tcBorders>
            <w:vAlign w:val="center"/>
          </w:tcPr>
          <w:p w14:paraId="5418CB95">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Abhilfe bei Unzufriedenheit/Beanstandung; Service-/Prozessverbesserung</w:t>
            </w:r>
          </w:p>
        </w:tc>
        <w:tc>
          <w:tcPr>
            <w:tcW w:w="1943" w:type="dxa"/>
            <w:tcBorders>
              <w:top w:val="single" w:color="000000" w:sz="4" w:space="0"/>
              <w:left w:val="single" w:color="000000" w:sz="4" w:space="0"/>
              <w:bottom w:val="single" w:color="000000" w:sz="4" w:space="0"/>
              <w:right w:val="single" w:color="000000" w:sz="4" w:space="0"/>
            </w:tcBorders>
            <w:vAlign w:val="center"/>
          </w:tcPr>
          <w:p w14:paraId="536363CA">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Regel-/Rechtskonformität sichern; Verstöße aufklären; Repressalienschutz</w:t>
            </w:r>
          </w:p>
        </w:tc>
      </w:tr>
      <w:tr w14:paraId="387C5547">
        <w:tblPrEx>
          <w:tblCellMar>
            <w:top w:w="15" w:type="dxa"/>
            <w:left w:w="15" w:type="dxa"/>
            <w:bottom w:w="15" w:type="dxa"/>
            <w:right w:w="15" w:type="dxa"/>
          </w:tblCellMar>
        </w:tblPrEx>
        <w:trPr>
          <w:trHeight w:val="1277"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6C6A00A6">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Typische Fälle</w:t>
            </w:r>
          </w:p>
        </w:tc>
        <w:tc>
          <w:tcPr>
            <w:tcW w:w="2792" w:type="dxa"/>
            <w:tcBorders>
              <w:top w:val="single" w:color="000000" w:sz="4" w:space="0"/>
              <w:left w:val="single" w:color="000000" w:sz="4" w:space="0"/>
              <w:bottom w:val="single" w:color="000000" w:sz="4" w:space="0"/>
              <w:right w:val="single" w:color="000000" w:sz="4" w:space="0"/>
            </w:tcBorders>
            <w:vAlign w:val="center"/>
          </w:tcPr>
          <w:p w14:paraId="6B2A417E">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Teamkonflikte, Führungs-/Rollenprobleme, Kommunikationsstörungen</w:t>
            </w:r>
          </w:p>
        </w:tc>
        <w:tc>
          <w:tcPr>
            <w:tcW w:w="2593" w:type="dxa"/>
            <w:tcBorders>
              <w:top w:val="single" w:color="000000" w:sz="4" w:space="0"/>
              <w:left w:val="single" w:color="000000" w:sz="4" w:space="0"/>
              <w:bottom w:val="single" w:color="000000" w:sz="4" w:space="0"/>
              <w:right w:val="single" w:color="000000" w:sz="4" w:space="0"/>
            </w:tcBorders>
            <w:vAlign w:val="center"/>
          </w:tcPr>
          <w:p w14:paraId="7A6B60D2">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Qualität, Prozesse, interne Services, Kunden-/Mitarbeiterbeschwerden</w:t>
            </w:r>
          </w:p>
        </w:tc>
        <w:tc>
          <w:tcPr>
            <w:tcW w:w="1943" w:type="dxa"/>
            <w:tcBorders>
              <w:top w:val="single" w:color="000000" w:sz="4" w:space="0"/>
              <w:left w:val="single" w:color="000000" w:sz="4" w:space="0"/>
              <w:bottom w:val="single" w:color="000000" w:sz="4" w:space="0"/>
              <w:right w:val="single" w:color="000000" w:sz="4" w:space="0"/>
            </w:tcBorders>
            <w:vAlign w:val="center"/>
          </w:tcPr>
          <w:p w14:paraId="3B0BE6B3">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Korruption, Betrug, Diskriminierung, Belästigung, Datenschutz- oder Sicherheitsverstöße</w:t>
            </w:r>
          </w:p>
        </w:tc>
      </w:tr>
      <w:tr w14:paraId="5D24A4C6">
        <w:tblPrEx>
          <w:tblCellMar>
            <w:top w:w="15" w:type="dxa"/>
            <w:left w:w="15" w:type="dxa"/>
            <w:bottom w:w="15" w:type="dxa"/>
            <w:right w:w="15" w:type="dxa"/>
          </w:tblCellMar>
        </w:tblPrEx>
        <w:trPr>
          <w:trHeight w:val="1035"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35E10307">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Prozesslogik</w:t>
            </w:r>
          </w:p>
        </w:tc>
        <w:tc>
          <w:tcPr>
            <w:tcW w:w="2792" w:type="dxa"/>
            <w:tcBorders>
              <w:top w:val="single" w:color="000000" w:sz="4" w:space="0"/>
              <w:left w:val="single" w:color="000000" w:sz="4" w:space="0"/>
              <w:bottom w:val="single" w:color="000000" w:sz="4" w:space="0"/>
              <w:right w:val="single" w:color="000000" w:sz="4" w:space="0"/>
            </w:tcBorders>
            <w:vAlign w:val="center"/>
          </w:tcPr>
          <w:p w14:paraId="6F8A1C87">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dialog-/lösungsorientiert, oft vertraulich und informell startend</w:t>
            </w:r>
          </w:p>
        </w:tc>
        <w:tc>
          <w:tcPr>
            <w:tcW w:w="2593" w:type="dxa"/>
            <w:tcBorders>
              <w:top w:val="single" w:color="000000" w:sz="4" w:space="0"/>
              <w:left w:val="single" w:color="000000" w:sz="4" w:space="0"/>
              <w:bottom w:val="single" w:color="000000" w:sz="4" w:space="0"/>
              <w:right w:val="single" w:color="000000" w:sz="4" w:space="0"/>
            </w:tcBorders>
            <w:vAlign w:val="center"/>
          </w:tcPr>
          <w:p w14:paraId="01F24FE1">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fall- und kundenorientiert, standardisierte Bearbeitung</w:t>
            </w:r>
          </w:p>
        </w:tc>
        <w:tc>
          <w:tcPr>
            <w:tcW w:w="1943" w:type="dxa"/>
            <w:tcBorders>
              <w:top w:val="single" w:color="000000" w:sz="4" w:space="0"/>
              <w:left w:val="single" w:color="000000" w:sz="4" w:space="0"/>
              <w:bottom w:val="single" w:color="000000" w:sz="4" w:space="0"/>
              <w:right w:val="single" w:color="000000" w:sz="4" w:space="0"/>
            </w:tcBorders>
            <w:vAlign w:val="center"/>
          </w:tcPr>
          <w:p w14:paraId="37864AED">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melde-/untersuchungsorientiert, dokumentationsstark</w:t>
            </w:r>
          </w:p>
        </w:tc>
      </w:tr>
      <w:tr w14:paraId="5F16292E">
        <w:tblPrEx>
          <w:tblCellMar>
            <w:top w:w="15" w:type="dxa"/>
            <w:left w:w="15" w:type="dxa"/>
            <w:bottom w:w="15" w:type="dxa"/>
            <w:right w:w="15" w:type="dxa"/>
          </w:tblCellMar>
        </w:tblPrEx>
        <w:trPr>
          <w:trHeight w:val="1035"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168C8808">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Schutzbedarf</w:t>
            </w:r>
          </w:p>
        </w:tc>
        <w:tc>
          <w:tcPr>
            <w:tcW w:w="2792" w:type="dxa"/>
            <w:tcBorders>
              <w:top w:val="single" w:color="000000" w:sz="4" w:space="0"/>
              <w:left w:val="single" w:color="000000" w:sz="4" w:space="0"/>
              <w:bottom w:val="single" w:color="000000" w:sz="4" w:space="0"/>
              <w:right w:val="single" w:color="000000" w:sz="4" w:space="0"/>
            </w:tcBorders>
            <w:vAlign w:val="center"/>
          </w:tcPr>
          <w:p w14:paraId="4BF25E81">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moderat bis hoch (je nach Eskalation)</w:t>
            </w:r>
          </w:p>
        </w:tc>
        <w:tc>
          <w:tcPr>
            <w:tcW w:w="2593" w:type="dxa"/>
            <w:tcBorders>
              <w:top w:val="single" w:color="000000" w:sz="4" w:space="0"/>
              <w:left w:val="single" w:color="000000" w:sz="4" w:space="0"/>
              <w:bottom w:val="single" w:color="000000" w:sz="4" w:space="0"/>
              <w:right w:val="single" w:color="000000" w:sz="4" w:space="0"/>
            </w:tcBorders>
            <w:vAlign w:val="center"/>
          </w:tcPr>
          <w:p w14:paraId="496A9D47">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eher moderat</w:t>
            </w:r>
          </w:p>
        </w:tc>
        <w:tc>
          <w:tcPr>
            <w:tcW w:w="1943" w:type="dxa"/>
            <w:tcBorders>
              <w:top w:val="single" w:color="000000" w:sz="4" w:space="0"/>
              <w:left w:val="single" w:color="000000" w:sz="4" w:space="0"/>
              <w:bottom w:val="single" w:color="000000" w:sz="4" w:space="0"/>
              <w:right w:val="single" w:color="000000" w:sz="4" w:space="0"/>
            </w:tcBorders>
            <w:vAlign w:val="center"/>
          </w:tcPr>
          <w:p w14:paraId="24179765">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hoch (Vertraulichkeit, Schutz vor Repressalien)</w:t>
            </w:r>
          </w:p>
        </w:tc>
      </w:tr>
      <w:tr w14:paraId="0A18ABFF">
        <w:tblPrEx>
          <w:tblCellMar>
            <w:top w:w="15" w:type="dxa"/>
            <w:left w:w="15" w:type="dxa"/>
            <w:bottom w:w="15" w:type="dxa"/>
            <w:right w:w="15" w:type="dxa"/>
          </w:tblCellMar>
        </w:tblPrEx>
        <w:trPr>
          <w:trHeight w:val="1035"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2CE277B1">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Referenzstandards</w:t>
            </w:r>
          </w:p>
        </w:tc>
        <w:tc>
          <w:tcPr>
            <w:tcW w:w="2792" w:type="dxa"/>
            <w:tcBorders>
              <w:top w:val="single" w:color="000000" w:sz="4" w:space="0"/>
              <w:left w:val="single" w:color="000000" w:sz="4" w:space="0"/>
              <w:bottom w:val="single" w:color="000000" w:sz="4" w:space="0"/>
              <w:right w:val="single" w:color="000000" w:sz="4" w:space="0"/>
            </w:tcBorders>
            <w:vAlign w:val="center"/>
          </w:tcPr>
          <w:p w14:paraId="6E85C922">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Organisationspraxis/ICMS-Ansätze</w:t>
            </w:r>
          </w:p>
        </w:tc>
        <w:tc>
          <w:tcPr>
            <w:tcW w:w="2593" w:type="dxa"/>
            <w:tcBorders>
              <w:top w:val="single" w:color="000000" w:sz="4" w:space="0"/>
              <w:left w:val="single" w:color="000000" w:sz="4" w:space="0"/>
              <w:bottom w:val="single" w:color="000000" w:sz="4" w:space="0"/>
              <w:right w:val="single" w:color="000000" w:sz="4" w:space="0"/>
            </w:tcBorders>
            <w:vAlign w:val="center"/>
          </w:tcPr>
          <w:p w14:paraId="3D95DDDF">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ISO 10002 (Leitlinien)</w:t>
            </w:r>
          </w:p>
        </w:tc>
        <w:tc>
          <w:tcPr>
            <w:tcW w:w="1943" w:type="dxa"/>
            <w:tcBorders>
              <w:top w:val="single" w:color="000000" w:sz="4" w:space="0"/>
              <w:left w:val="single" w:color="000000" w:sz="4" w:space="0"/>
              <w:bottom w:val="single" w:color="000000" w:sz="4" w:space="0"/>
              <w:right w:val="single" w:color="000000" w:sz="4" w:space="0"/>
            </w:tcBorders>
            <w:vAlign w:val="center"/>
          </w:tcPr>
          <w:p w14:paraId="1852011D">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ISO 37301 (CMS), ISO 37002 (Whistleblowing), EU-RL 2019/1937</w:t>
            </w:r>
          </w:p>
        </w:tc>
      </w:tr>
      <w:tr w14:paraId="6C20B323">
        <w:tblPrEx>
          <w:tblCellMar>
            <w:top w:w="15" w:type="dxa"/>
            <w:left w:w="15" w:type="dxa"/>
            <w:bottom w:w="15" w:type="dxa"/>
            <w:right w:w="15" w:type="dxa"/>
          </w:tblCellMar>
        </w:tblPrEx>
        <w:trPr>
          <w:trHeight w:val="1057" w:hRule="atLeast"/>
        </w:trPr>
        <w:tc>
          <w:tcPr>
            <w:tcW w:w="1350" w:type="dxa"/>
            <w:tcBorders>
              <w:top w:val="single" w:color="000000" w:sz="4" w:space="0"/>
              <w:left w:val="single" w:color="000000" w:sz="4" w:space="0"/>
              <w:bottom w:val="single" w:color="000000" w:sz="4" w:space="0"/>
              <w:right w:val="single" w:color="000000" w:sz="4" w:space="0"/>
            </w:tcBorders>
            <w:vAlign w:val="center"/>
          </w:tcPr>
          <w:p w14:paraId="0A8CAA7A">
            <w:pPr>
              <w:keepNext w:val="0"/>
              <w:keepLines w:val="0"/>
              <w:widowControl/>
              <w:suppressLineNumbers w:val="0"/>
              <w:jc w:val="center"/>
              <w:rPr>
                <w:rFonts w:ascii="Times New Roman" w:hAnsi="Times New Roman" w:eastAsia="Times New Roman" w:cs="Times New Roman"/>
                <w:b/>
                <w:bCs/>
                <w:sz w:val="24"/>
                <w:szCs w:val="24"/>
                <w:lang w:val="de-DE" w:eastAsia="zh-CN" w:bidi="ar-SA"/>
              </w:rPr>
            </w:pPr>
            <w:r>
              <w:rPr>
                <w:rFonts w:ascii="Times New Roman" w:hAnsi="Times New Roman" w:eastAsia="Times New Roman" w:cs="Times New Roman"/>
                <w:b/>
                <w:bCs/>
                <w:sz w:val="24"/>
                <w:szCs w:val="24"/>
                <w:lang w:val="en-US" w:eastAsia="zh-CN" w:bidi="ar-SA"/>
              </w:rPr>
              <w:t>Kernerfolgskriterium</w:t>
            </w:r>
          </w:p>
        </w:tc>
        <w:tc>
          <w:tcPr>
            <w:tcW w:w="2792" w:type="dxa"/>
            <w:tcBorders>
              <w:top w:val="single" w:color="000000" w:sz="4" w:space="0"/>
              <w:left w:val="single" w:color="000000" w:sz="4" w:space="0"/>
              <w:bottom w:val="single" w:color="000000" w:sz="4" w:space="0"/>
              <w:right w:val="single" w:color="000000" w:sz="4" w:space="0"/>
            </w:tcBorders>
            <w:vAlign w:val="center"/>
          </w:tcPr>
          <w:p w14:paraId="1B66A15E">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nachhaltige Befriedung/Kooperationsfähigkeit</w:t>
            </w:r>
          </w:p>
        </w:tc>
        <w:tc>
          <w:tcPr>
            <w:tcW w:w="2593" w:type="dxa"/>
            <w:tcBorders>
              <w:top w:val="single" w:color="000000" w:sz="4" w:space="0"/>
              <w:left w:val="single" w:color="000000" w:sz="4" w:space="0"/>
              <w:bottom w:val="single" w:color="000000" w:sz="4" w:space="0"/>
              <w:right w:val="single" w:color="000000" w:sz="4" w:space="0"/>
            </w:tcBorders>
            <w:vAlign w:val="center"/>
          </w:tcPr>
          <w:p w14:paraId="08398A3A">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zeitnahe, faire Abhilfe &amp; Prozessverbesserung</w:t>
            </w:r>
          </w:p>
        </w:tc>
        <w:tc>
          <w:tcPr>
            <w:tcW w:w="1943" w:type="dxa"/>
            <w:tcBorders>
              <w:top w:val="single" w:color="000000" w:sz="4" w:space="0"/>
              <w:left w:val="single" w:color="000000" w:sz="4" w:space="0"/>
              <w:bottom w:val="single" w:color="000000" w:sz="4" w:space="0"/>
              <w:right w:val="single" w:color="000000" w:sz="4" w:space="0"/>
            </w:tcBorders>
            <w:vAlign w:val="center"/>
          </w:tcPr>
          <w:p w14:paraId="2BA31589">
            <w:pPr>
              <w:keepNext w:val="0"/>
              <w:keepLines w:val="0"/>
              <w:widowControl/>
              <w:suppressLineNumbers w:val="0"/>
              <w:jc w:val="left"/>
              <w:rPr>
                <w:rFonts w:ascii="Times New Roman" w:hAnsi="Times New Roman" w:eastAsia="Times New Roman" w:cs="Times New Roman"/>
                <w:sz w:val="24"/>
                <w:szCs w:val="24"/>
                <w:lang w:val="de-DE" w:eastAsia="zh-CN" w:bidi="ar-SA"/>
              </w:rPr>
            </w:pPr>
            <w:r>
              <w:rPr>
                <w:rFonts w:ascii="Times New Roman" w:hAnsi="Times New Roman" w:eastAsia="Times New Roman" w:cs="Times New Roman"/>
                <w:sz w:val="24"/>
                <w:szCs w:val="24"/>
                <w:lang w:val="en-US" w:eastAsia="zh-CN" w:bidi="ar-SA"/>
              </w:rPr>
              <w:t>wirksame Aufklärung/Abstellung + Schutz + Nachweisbarkeit</w:t>
            </w:r>
          </w:p>
        </w:tc>
      </w:tr>
    </w:tbl>
    <w:p w14:paraId="2E99BF19">
      <w:pPr>
        <w:pStyle w:val="5"/>
        <w:numPr>
          <w:ilvl w:val="1"/>
          <w:numId w:val="1"/>
        </w:numPr>
        <w:bidi w:val="0"/>
        <w:ind w:left="576" w:leftChars="0" w:hanging="576" w:firstLineChars="0"/>
        <w:rPr>
          <w:lang w:val="de-DE"/>
        </w:rPr>
      </w:pPr>
      <w:bookmarkStart w:id="26" w:name="_Toc30771"/>
      <w:bookmarkStart w:id="27" w:name="_Toc29694"/>
      <w:r>
        <w:rPr>
          <w:lang w:val="de-DE"/>
        </w:rPr>
        <w:t>Ziele und Prinzipien eines kultursensitiven Konfliktmanagements</w:t>
      </w:r>
      <w:bookmarkEnd w:id="26"/>
      <w:bookmarkEnd w:id="27"/>
    </w:p>
    <w:p w14:paraId="4CD4F72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kultursensitives Konfliktmanagement verfolgt nicht nur die Minimierung von Eskalationskosten, sondern auch Lern-, Integrations- und Vertrauensziele. Aus wertorientierter Perspektive stabilisiert Konfliktmanagement die wertschöpfenden Arbeits- und Geschäftsbeziehungen, die als immaterielles Erfolgskapital über zukünftige Unternehmenserfolge mitentscheiden. </w:t>
      </w:r>
      <w:r>
        <w:rPr>
          <w:rStyle w:val="42"/>
        </w:rPr>
        <w:footnoteReference w:id="44"/>
      </w:r>
    </w:p>
    <w:p w14:paraId="27588E84">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Akzeptanz entsteht durch Prinzipien wie Vertraulichkeit, Freiwilligkeit, Fairness, Zugänglichkeit und wahrgenommene Verfahrensgerechtigkeit. Gerade in face-orientierten Kontexten ist entscheidend, dass Konflikte ohne Gesichtsverlust adressiert werden können und dass Beteiligte nicht befürchten müssen, dass die Nutzung eines Kanals zu informellen Sanktionen führt. </w:t>
      </w:r>
      <w:r>
        <w:rPr>
          <w:rStyle w:val="42"/>
        </w:rPr>
        <w:footnoteReference w:id="45"/>
      </w:r>
    </w:p>
    <w:p w14:paraId="68B32FD7">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Großorganisationen wird der Mehrkanalgedanke zentral: Beschäftigte benötigen unterschiedliche Zugangswege (persönlich, digital, anonym, formell/informell), um abhängig von Risiko, Hierarchiebeziehung und Konfliktart geeignete Wege wählen zu können. Gleichzeitig müssen diese Kanäle in eine Governance-Logik eingebettet sein, um Parallelstrukturen, doppelte Fallbearbeitung und Vertrauensverluste zu vermeiden. </w:t>
      </w:r>
      <w:r>
        <w:rPr>
          <w:rStyle w:val="42"/>
        </w:rPr>
        <w:footnoteReference w:id="46"/>
      </w:r>
    </w:p>
    <w:p w14:paraId="6BCD801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Erfolgsfaktoren lassen sich in Struktur-, Prozess- und Kulturkriterien gliedern. Strukturell: klare Mandate, Unabhängigkeit von Ombudsrollen, Ressourcen und Zugang. Prozessual: transparente Verfahrensschritte, definierte Bearbeitungszeiten, dokumentierte Schnittstellen zu HR/Compliance und Feedback an Melder:innen. Kulturell: sichtbare Unterstützung durch Führung, Schutz vor Vergeltung, Anerkennung von „Speak‑up“ sowie die Fähigkeit, Fehler offen zu thematisieren. Die Literatur zu strategischem Konfliktmanagement betont dabei ausdrücklich die Rolle der Unternehmensleitung: Ohne Top‑Management-Sponsoring bleibt das System symbolisch. </w:t>
      </w:r>
      <w:r>
        <w:rPr>
          <w:rStyle w:val="42"/>
        </w:rPr>
        <w:footnoteReference w:id="47"/>
      </w:r>
    </w:p>
    <w:p w14:paraId="7982EB9C">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China ist zusätzlich die Sensibilisierung für indirekte Kommunikationsformen wichtig. „Offene Konfrontation“ kann als Beziehungsschädigung interpretiert werden, während indirekte Hinweise leicht übersehen werden. Das System sollte daher sowohl formalisierte Kanäle (anonym, digital) als auch moderierte persönliche Formate anbieten, in denen Gesichtsverlust minimiert wird, z. B. durch getrennte Vorgespräche, Shuttle-Mediation oder die Einbindung neutraler Dritter. </w:t>
      </w:r>
      <w:r>
        <w:rPr>
          <w:rStyle w:val="42"/>
        </w:rPr>
        <w:footnoteReference w:id="48"/>
      </w:r>
    </w:p>
    <w:p w14:paraId="2B1117E9">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Schließlich muss ein Konfliktmanagementsystem messbar und lernfähig sein. Relevante Kennzahlen sind nicht nur Fallzahlen, sondern z. B. Bearbeitungszeiten, Wiederholungsraten, Zufriedenheit der Beteiligten, Trendthemen (z. B. Führungskonflikte, Diskriminierung), sowie die Qualität der Rückkopplung in Organisationsentwicklung. Gerade bei digitalen Kanälen können Data-Analytics-Ansätze unterstützen, sofern Datenschutz und Vertraulichkeit gesichert sind. </w:t>
      </w:r>
      <w:r>
        <w:rPr>
          <w:rStyle w:val="42"/>
        </w:rPr>
        <w:footnoteReference w:id="49"/>
      </w:r>
    </w:p>
    <w:p w14:paraId="0852527C">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weiterer Abgrenzungsaspekt betrifft die Rolle der Kommunikation. Während interne Kommunikation primär Informations- und Sinnstiftungsaufgaben übernimmt, adressiert Konfliktmanagement die Interaktion zwischen Konfliktparteien mit dem Ziel, Verständigung zu ermöglichen. In der Praxis überlappen beide Bereiche, weil Kommunikationsrichtlinien (Tonality, Transparenz, Feedbackwege) Konfliktwahrscheinlichkeiten beeinflussen. Die Covid‑19‑Krise hat gezeigt, dass digitale Kommunikation neue Missverständnisse erzeugen kann und dass Krisenkommunikation nur dann glaubwürdig ist, wenn intern konsistente Klärungsprozesse existieren. </w:t>
      </w:r>
      <w:r>
        <w:rPr>
          <w:rStyle w:val="42"/>
        </w:rPr>
        <w:footnoteReference w:id="50"/>
      </w:r>
    </w:p>
    <w:p w14:paraId="509D911B">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Aus Sicht des Marketings kann Konfliktmanagement als Teil des Relationship Management verstanden werden. Kundenbeziehungen sind in Plattform- und Abo‑Modellen langfristig; Vertrauen entsteht durch wiederholte Interaktionen. Wenn interne Konflikte in Servicefehlern, widersprüchlichen Auskünften oder unfair empfundenen Entscheidungen resultieren, wird die Beziehung belastet. Umgekehrt können gut gestaltete Konflikt- und Beschwerdeprozesse Vertrauen sogar erhöhen („Service Recovery Paradox“), weil sie Fairness und Verantwortungsübernahme sichtbar machen. </w:t>
      </w:r>
      <w:r>
        <w:rPr>
          <w:rStyle w:val="42"/>
        </w:rPr>
        <w:footnoteReference w:id="51"/>
      </w:r>
    </w:p>
    <w:p w14:paraId="2BA6D036">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In Bewertungslogiken ist die Verbindung über Risiko und Intangibles herstellbar. Konflikte beeinflussen Fluktuation, Produktivität, Innovationsfähigkeit und Reputationsrisiken. Diese Größen wirken – direkt oder indirekt – auf Cashflow‑Planungen, Risikoabschläge und Kapitalkosten. Auch wenn Unternehmensbewertung je nach Verfahren unterschiedliche Parameter nutzt, ist der Grundgedanke stabil: Nachhaltige Wertschöpfung benötigt stabile, kooperationsfähige Organisationen. Konfliktmanagement wird damit zu einem Element der „Wertabsicherung“ und der Unternehmensführung, das über reine HR‑Effizienz hinausgeht. </w:t>
      </w:r>
      <w:r>
        <w:rPr>
          <w:rStyle w:val="42"/>
        </w:rPr>
        <w:footnoteReference w:id="52"/>
      </w:r>
    </w:p>
    <w:p w14:paraId="0481B572">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die Systemgestaltung ist zudem die Unterscheidung zwischen formellen und informellen Mechanismen zentral. Formell sind Policies, Meldesysteme, Ombudsstellen und standardisierte Verfahren. Informell sind Führungsgespräche, Peergroups, Mentoring, Netzwerkvermittlung und kulturelle Normen. Ein verbreitetes Implementierungsproblem besteht darin, dass formale Systeme eingeführt werden, ohne informelle Praktiken zu berücksichtigen. Dann wird das System entweder nicht genutzt oder es entstehen Parallelwelten, in denen Konflikte „unter der Oberfläche“ weiterwirken. Erfolgreich sind Systeme, die formale und informelle Elemente bewusst verzahnen. </w:t>
      </w:r>
      <w:r>
        <w:rPr>
          <w:rStyle w:val="42"/>
        </w:rPr>
        <w:footnoteReference w:id="53"/>
      </w:r>
    </w:p>
    <w:p w14:paraId="29C7228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Digitale Kanäle eröffnen Chancen und Risiken. Chancen: niedrigschwellige Meldung, Dokumentation, Reichweite, Skalierbarkeit in Großorganisationen. Risiken: Misstrauen gegenüber Datensicherheit, Sorge vor Nachverfolgbarkeit, „Ticketisierung“ komplexer Beziehungskonflikte und fehlende Empathie in asynchroner Kommunikation. Für China ist die technische Infrastruktur hoch entwickelt; gerade deshalb wird Vertrauen in die Governance der Plattform entscheidend (wer sieht was, wer entscheidet, welche Schutzmechanismen gelten). Systemdesign muss daher Transparenz über Datenflüsse und klare Rollen (z. B. unabhängige Ombudsinstanz) bereitstellen. </w:t>
      </w:r>
      <w:r>
        <w:rPr>
          <w:rStyle w:val="42"/>
        </w:rPr>
        <w:footnoteReference w:id="54"/>
      </w:r>
    </w:p>
    <w:p w14:paraId="19E0AD03">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kultursensitives System benötigt außerdem eine differenzierte Betrachtung von Machtasymmetrien. In hierarchischen Organisationen sind Konflikte häufig vertikal (Mitarbeitende vs. Führung). Verfahren müssen daher Schutz- und Fairnessmechanismen enthalten, z. B. getrennte Vorgespräche, klare Non‑Retaliation‑Regeln, die Möglichkeit, Fälle außerhalb der direkten Linie zu platzieren, sowie die Option, externe Mediator:innen einzubeziehen. Ohne diese Elemente werden insbesondere sensible Themen (Mobbing, Diskriminierung, Ethikverstöße) nicht adressiert. </w:t>
      </w:r>
      <w:r>
        <w:rPr>
          <w:rStyle w:val="42"/>
        </w:rPr>
        <w:footnoteReference w:id="55"/>
      </w:r>
    </w:p>
    <w:p w14:paraId="3ABB8D0B">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Die Qualität von Konfliktmanagement lässt sich nicht allein über „weniger Fälle“ beurteilen, weil steigende Fallzahlen auch ein Indikator für höheres Vertrauen und bessere Zugänglichkeit sein können. Sinnvoll ist ein mehrdimensionales Kennzahlensystem, das (a) Zugänglichkeit (Nutzung pro Mitarbeitende), (b) Prozessqualität (Durchlaufzeiten, Einhaltung von Standards), (c) Ergebnisqualität (Zufriedenheit, Vereinbarungsstabilität), und (d) Organisationseffekte (Fluktuation, Fehlzeiten, Teamklima, Wiederholungen) abbildet. Data-Analytics kann unterstützen, wenn Anonymisierung und Datenschutz strikt umgesetzt werden. </w:t>
      </w:r>
      <w:r>
        <w:rPr>
          <w:rStyle w:val="42"/>
        </w:rPr>
        <w:footnoteReference w:id="56"/>
      </w:r>
    </w:p>
    <w:p w14:paraId="50E2563A">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Schließlich ist die Rolle der Unternehmensleitung zentral. Strategisches Konfliktmanagement erfordert ein sichtbares Mandat „von oben“, klare Verantwortung und die Bereitschaft, auch strukturelle Ursachen (Anreize, Zielkonflikte, Leistungsdruck) zu adressieren. In hoch kompetitiven Umfeldern kann sonst der Eindruck entstehen, dass Konfliktmanagement lediglich „Imagepflege“ ist. Erst wenn Konfliktbearbeitung als Bestandteil verantwortungsvoller Führung und langfristiger Wertorientierung verstanden wird, entsteht die kulturelle Legitimation, die Kanäle tatsächlich zu nutzen. </w:t>
      </w:r>
      <w:r>
        <w:rPr>
          <w:rStyle w:val="42"/>
        </w:rPr>
        <w:footnoteReference w:id="57"/>
      </w:r>
    </w:p>
    <w:p w14:paraId="61204A2B">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Im Kontext großer chinesischer Organisationen ist außerdem die Rolle von Plattformarbeit und indirekten Beschäftigungsformen zu beachten (z. B. Subunternehmer, Crowd-Worker, Liefernetzwerke). Konflikte verlaufen hier entlang unscharfer Organisationsgrenzen: Wer ist „intern“, wer „extern“? Konfliktmanagementsysteme müssen daher definieren, welche Gruppen Zugang haben, wie Zuständigkeiten geklärt werden und wie Konflikte entlang der Liefer- und Servicekette bearbeitet werden. Diese Grenzfragen sind auch marketingrelevant, weil Serviceerfahrungen häufig von „externen“ Partnern geprägt werden, die aus Kundensicht Teil der Marke sind. </w:t>
      </w:r>
      <w:r>
        <w:rPr>
          <w:rStyle w:val="42"/>
        </w:rPr>
        <w:footnoteReference w:id="58"/>
      </w:r>
    </w:p>
    <w:p w14:paraId="2F031158">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Ein weiterer praktischer Aspekt ist die Gestaltung von Anreiz- und Zielsystemen. In Wachstumsorganisationen erzeugen OKRs, Performance-Rankings und aggressive Deadlines häufig Zielkonflikte zwischen Teams (z. B. Wachstum vs. Compliance, Geschwindigkeit vs. Qualität). Konfliktmanagement kann hier nicht nur moderieren, sondern auch als Feedbacksystem für strukturelle Zielkonflikte dienen. Voraussetzung ist, dass Erkenntnisse aus Fallbearbeitung in die Organisationsentwicklung zurückgespielt werden und dass Führung bereit ist, Zielsysteme anzupassen. </w:t>
      </w:r>
      <w:r>
        <w:rPr>
          <w:rStyle w:val="42"/>
        </w:rPr>
        <w:footnoteReference w:id="59"/>
      </w:r>
    </w:p>
    <w:p w14:paraId="6E178B77">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Auf der Ebene der Verfahren ist zu entscheiden, welche Konflikte für Mediation geeignet sind und welche nicht. Mediation setzt Mindestvoraussetzungen voraus: Verhandlungsfähigkeit, Freiwilligkeit, ein Minimum an Sicherheit sowie die Möglichkeit, Interessen offen zu artikulieren. In Fällen von Gewalt, schwerer Machtasymmetrie oder klaren Rechtsverstößen ist Mediation allein unzureichend; hier sind Schutz-, Ermittlungs- und Sanktionslogiken vorrangig. Ein System braucht daher eine Triagierung (Fall-Screening), die die passende Prozesslogik auswählt und den Beteiligten verständlich erklärt. </w:t>
      </w:r>
      <w:r>
        <w:rPr>
          <w:rStyle w:val="42"/>
        </w:rPr>
        <w:footnoteReference w:id="60"/>
      </w:r>
    </w:p>
    <w:p w14:paraId="0A88A408">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Für digitale Meldesysteme ist eine klare Datenarchitektur notwendig: Welche Daten werden erhoben, wie lange werden sie gespeichert, wer hat Zugriff, wie wird Anonymität technisch und organisatorisch gewährleistet? Ohne überzeugende Antworten entstehen „Chilling Effects“, also die Selbstzensur potenzieller Melder:innen. Gerade bei Großunternehmen mit hoher technologischer Kompetenz ist Transparenz über technische Schutzmaßnahmen ein entscheidender Akzeptanzfaktor. Hier können Prinzipien aus dem Social-Media‑Risikomanagement – Monitoring ja, Überwachung nein – als Leitlinie dienen. </w:t>
      </w:r>
      <w:r>
        <w:rPr>
          <w:rStyle w:val="42"/>
        </w:rPr>
        <w:footnoteReference w:id="61"/>
      </w:r>
    </w:p>
    <w:p w14:paraId="1F86858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Schließlich stellt sich die Frage nach der Professionalisierung: Wer darf mediieren oder als Ombudsperson tätig sein, welche Qualifikation ist erforderlich, wie wird Unabhängigkeit gesichert? Literatur zu Mediation und mediatorischer Rollenführung betont, dass Interventionen und Haltungen der Mediator:innen den Prozess deutlich beeinflussen können. Für Organisationen folgt daraus, dass Aus- und Fortbildung, Supervision und Qualitätsstandards nicht optional sind, sondern Kernbestandteil eines verlässlichen Systems. </w:t>
      </w:r>
      <w:r>
        <w:rPr>
          <w:rStyle w:val="42"/>
        </w:rPr>
        <w:footnoteReference w:id="62"/>
      </w:r>
      <w:r>
        <w:rPr>
          <w:rStyle w:val="42"/>
        </w:rPr>
        <w:footnoteReference w:id="63"/>
      </w:r>
    </w:p>
    <w:p w14:paraId="107B6EB3">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Auch die Frage der Legitimität ist zentral: Beschäftigte akzeptieren Verfahren eher, wenn sie als fair, unabhängig und wirksam wahrgenommen werden. Dazu gehört eine klare Kommunikation über Zweck und Grenzen des Systems (kein „Allheilmittel“), transparente Standards und die Möglichkeit, Entscheidungen zu erklären. In face-orientierten Kulturen ist zudem wichtig, dass die Kommunikation nicht beschämend wirkt, sondern Problemlösung und Beziehungserhalt betont. </w:t>
      </w:r>
      <w:r>
        <w:rPr>
          <w:rStyle w:val="42"/>
        </w:rPr>
        <w:footnoteReference w:id="64"/>
      </w:r>
    </w:p>
    <w:p w14:paraId="28909EAF">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Konfliktmanagement ist damit nicht nur ein „Reparaturbetrieb“, sondern eine Form organisationaler Selbststeuerung. Es schafft Räume, in denen Spannungen sichtbar werden dürfen, ohne dass sofort Sanktionen oder Gesichtsverlust drohen. Langfristig kann ein solches System die Innovationsfähigkeit stärken, weil kontroverse Ideen und Kritik geäußert werden können, ohne dass Konflikte destruktiv eskalieren. Gerade in dynamischen Märkten und im globalen Wettbewerb ist diese Fähigkeit ein Wettbewerbsfaktor. </w:t>
      </w:r>
      <w:r>
        <w:rPr>
          <w:rStyle w:val="42"/>
        </w:rPr>
        <w:footnoteReference w:id="65"/>
      </w:r>
    </w:p>
    <w:p w14:paraId="1248B862">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Zusammenfassend liefert Kapitel 2 das begriffliche und konzeptionelle Fundament: Es definiert Konfliktmanagement als integriertes, mehrkanaliges Managementsystem, grenzt es gegenüber Beschwerde- und Compliance-Logiken ab, und formuliert Prinzipien für kultursensitive Gestaltung. Diese Grundlagen werden in Kapitel 3 genutzt, um Instrumente und Implementierungsstrategien im chinesischen Großunternehmenskontext systematisch zu analysieren. </w:t>
      </w:r>
      <w:r>
        <w:rPr>
          <w:rStyle w:val="42"/>
        </w:rPr>
        <w:footnoteReference w:id="66"/>
      </w:r>
    </w:p>
    <w:p w14:paraId="2A2EE9E5">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Zum Abschluss der begrifflichen Grundlagen ist festzuhalten, dass die Wirksamkeit eines Konfliktmanagementsystems wesentlich von seiner Passung zur Organisationsrealität abhängt. In Großorganisationen mit hoher Arbeitsteilung entstehen Konflikte häufig an Schnittstellen: zwischen Produkt und Betrieb, zwischen zentralen Plattformteams und lokalen Einheiten, zwischen Legal/Compliance und Wachstumszielen, oder zwischen Headquarters und internationalen Standorten. Ein System muss daher Schnittstellenkonflikte explizit adressieren (z. B. durch bereichsübergreifende Klärungsformate, klare Entscheidungsrechte und Eskalationspfade). Für China kommen besondere Dynamiken hinzu: schneller Skalierungsdruck, starke Performance-Orientierung, hohe Hierarchiedichte und die Bedeutung relationaler Loyalität. Daraus folgt, dass „one size fits all“ nicht funktioniert. Stattdessen braucht es modulare Bausteine (Mediation, Ombudswege, digitale Kanäle, Führungsklärung), die in einer konsistenten Governance-Architektur verbunden werden. Mit diesem Verständnis kann das folgende Hauptkapitel die Instrumente nicht nur beschreiben, sondern hinsichtlich ihrer Systemfunktion (Zugang, Schutz, Wirksamkeit, Lernen) und ihrer kulturellen Akzeptanz beurteilen. </w:t>
      </w:r>
      <w:r>
        <w:rPr>
          <w:rStyle w:val="42"/>
        </w:rPr>
        <w:footnoteReference w:id="67"/>
      </w:r>
    </w:p>
    <w:p w14:paraId="7E70B29F">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Praktisch bedeutet das: Konfliktmanagement sollte als Teil einer lernenden Organisation verstanden werden. Jeder Fall ist nicht nur ein „Problem“, sondern auch eine Datenquelle über strukturelle Spannungen. Wenn diese Daten – selbstverständlich anonymisiert und datenschutzkonform – systematisch ausgewertet werden, können Präventionsmaßnahmen zielgerichtet priorisiert werden (z. B. Anpassung von Zielsystemen, Prozessvereinfachung, Führungskräfteentwicklung). Damit wird Konfliktmanagement zu einem Steuerungsinstrument, das sowohl die „harten“ Ergebnisse (Kosten, Durchlaufzeiten) als auch die „weichen“ Erfolgsbedingungen (Vertrauen, Kultur) adressiert. </w:t>
      </w:r>
      <w:r>
        <w:rPr>
          <w:rStyle w:val="42"/>
        </w:rPr>
        <w:footnoteReference w:id="68"/>
      </w:r>
    </w:p>
    <w:p w14:paraId="06EE52E2">
      <w:pPr>
        <w:keepNext w:val="0"/>
        <w:keepLines w:val="0"/>
        <w:pageBreakBefore w:val="0"/>
        <w:widowControl/>
        <w:kinsoku/>
        <w:wordWrap/>
        <w:overflowPunct/>
        <w:topLinePunct w:val="0"/>
        <w:autoSpaceDE/>
        <w:autoSpaceDN/>
        <w:bidi w:val="0"/>
        <w:adjustRightInd/>
        <w:snapToGrid/>
        <w:spacing w:after="120" w:line="360" w:lineRule="auto"/>
        <w:textAlignment w:val="auto"/>
      </w:pPr>
      <w:r>
        <w:t xml:space="preserve">Im Sinne der Arbeitshypothese wird daher angenommen, dass ein kultursensitives, mehrkanaliges Konfliktmanagement in großen chinesischen Organisationen dann erfolgreich ist, wenn es (a) in Governance und Führung verankert, (b) prozessual klar, aber flexibel, (c) technisch vertrauenswürdig, und (d) kulturell anschlussfähig gestaltet ist. Diese Hypothese wird in den folgenden Kapiteln anhand der Instrumentenanalyse weiter konkretisiert. </w:t>
      </w:r>
      <w:r>
        <w:rPr>
          <w:rStyle w:val="42"/>
        </w:rPr>
        <w:footnoteReference w:id="69"/>
      </w:r>
    </w:p>
    <w:p w14:paraId="35893967">
      <w:pPr>
        <w:pStyle w:val="2"/>
      </w:pPr>
    </w:p>
    <w:p w14:paraId="5D221175">
      <w:pPr>
        <w:pStyle w:val="2"/>
      </w:pPr>
    </w:p>
    <w:p w14:paraId="44B07832">
      <w:pPr>
        <w:pStyle w:val="2"/>
      </w:pPr>
    </w:p>
    <w:p w14:paraId="6D2D2E54">
      <w:pPr>
        <w:pStyle w:val="2"/>
      </w:pPr>
    </w:p>
    <w:p w14:paraId="2732E532">
      <w:pPr>
        <w:pStyle w:val="2"/>
      </w:pPr>
    </w:p>
    <w:p w14:paraId="7EE03C57">
      <w:pPr>
        <w:pStyle w:val="2"/>
      </w:pPr>
    </w:p>
    <w:p w14:paraId="67849350">
      <w:pPr>
        <w:pStyle w:val="2"/>
      </w:pPr>
    </w:p>
    <w:p w14:paraId="6FB1799F">
      <w:pPr>
        <w:pStyle w:val="2"/>
      </w:pPr>
    </w:p>
    <w:p w14:paraId="6496B597">
      <w:pPr>
        <w:pStyle w:val="2"/>
      </w:pPr>
    </w:p>
    <w:p w14:paraId="724AC1D4">
      <w:pPr>
        <w:pStyle w:val="2"/>
      </w:pPr>
    </w:p>
    <w:p w14:paraId="5662D17F">
      <w:pPr>
        <w:pStyle w:val="2"/>
      </w:pPr>
    </w:p>
    <w:p w14:paraId="77921173">
      <w:pPr>
        <w:pStyle w:val="2"/>
      </w:pPr>
    </w:p>
    <w:p w14:paraId="36B66DDA">
      <w:pPr>
        <w:pStyle w:val="2"/>
      </w:pPr>
    </w:p>
    <w:p w14:paraId="5C38D570">
      <w:pPr>
        <w:pStyle w:val="2"/>
      </w:pPr>
    </w:p>
    <w:p w14:paraId="77527989">
      <w:pPr>
        <w:pStyle w:val="2"/>
      </w:pPr>
    </w:p>
    <w:p w14:paraId="7E94CEF7">
      <w:pPr>
        <w:pStyle w:val="2"/>
      </w:pPr>
    </w:p>
    <w:p w14:paraId="6832990C">
      <w:pPr>
        <w:pStyle w:val="2"/>
      </w:pPr>
    </w:p>
    <w:p w14:paraId="23369468">
      <w:pPr>
        <w:pStyle w:val="2"/>
      </w:pPr>
    </w:p>
    <w:p w14:paraId="2B6014FD">
      <w:pPr>
        <w:pStyle w:val="2"/>
      </w:pPr>
    </w:p>
    <w:p w14:paraId="74C887F5">
      <w:pPr>
        <w:pStyle w:val="3"/>
        <w:bidi w:val="0"/>
        <w:rPr>
          <w:lang w:val="en-US" w:eastAsia="zh-CN"/>
        </w:rPr>
      </w:pPr>
      <w:bookmarkStart w:id="28" w:name="_Toc28224"/>
      <w:bookmarkStart w:id="29" w:name="_Toc8740"/>
      <w:r>
        <w:t>Konfliktmanagement - Analyse der Instrumente für große Organisationen im chinesischen Kontext</w:t>
      </w:r>
      <w:bookmarkEnd w:id="28"/>
      <w:bookmarkEnd w:id="29"/>
    </w:p>
    <w:p w14:paraId="40D7E4C4">
      <w:pPr>
        <w:keepNext w:val="0"/>
        <w:keepLines w:val="0"/>
        <w:pageBreakBefore w:val="0"/>
        <w:widowControl/>
        <w:kinsoku/>
        <w:overflowPunct/>
        <w:autoSpaceDE/>
        <w:bidi w:val="0"/>
        <w:snapToGrid/>
        <w:spacing w:before="0" w:after="120" w:line="360" w:lineRule="auto"/>
        <w:textAlignment w:val="auto"/>
        <w:rPr>
          <w:lang w:val="de-DE" w:eastAsia="zh-CN"/>
        </w:rPr>
      </w:pPr>
      <w:r>
        <w:rPr>
          <w:lang w:val="de-DE" w:eastAsia="zh-CN"/>
        </w:rPr>
        <w:t>Das Konfliktmanagement in großen Unternehmen spielt eine entscheidende Rolle für die langfristige Gesundheit und Effizienz der Organisation. Die Vermeidung von Konflikten oder ihre unkontrollierte Eskalation kann zu erheblichen wirtschaftlichen und sozialen Kosten führen. Daher ist es von zentraler Bedeutung, geeignete und effektive Konfliktmanagementsysteme zu etablieren, die sowohl präventive als auch reaktive Elemente beinhalten. Besonders im chinesischen Unternehmenskontext ist es wichtig, Konflikte nicht nur strukturell zu adressieren, sondern auch kulturelle Normen und Werte zu berücksichtigen, die die Wahrnehmung und Bearbeitung von Konflikten maßgeblich beeinflussen.</w:t>
      </w:r>
    </w:p>
    <w:p w14:paraId="5A0D35F6">
      <w:pPr>
        <w:pStyle w:val="5"/>
        <w:numPr>
          <w:ilvl w:val="1"/>
          <w:numId w:val="1"/>
        </w:numPr>
        <w:bidi w:val="0"/>
        <w:ind w:left="576" w:leftChars="0" w:hanging="576" w:firstLineChars="0"/>
      </w:pPr>
      <w:bookmarkStart w:id="30" w:name="_Toc32190"/>
      <w:bookmarkStart w:id="31" w:name="_Toc25182"/>
      <w:r>
        <w:rPr>
          <w:lang w:val="en-US" w:eastAsia="zh-CN"/>
        </w:rPr>
        <w:t>Instrumente des Konfliktmanagements</w:t>
      </w:r>
      <w:bookmarkEnd w:id="30"/>
      <w:bookmarkEnd w:id="31"/>
    </w:p>
    <w:p w14:paraId="21368DDE">
      <w:pPr>
        <w:keepNext w:val="0"/>
        <w:keepLines w:val="0"/>
        <w:pageBreakBefore w:val="0"/>
        <w:widowControl/>
        <w:kinsoku/>
        <w:overflowPunct/>
        <w:autoSpaceDE/>
        <w:bidi w:val="0"/>
        <w:snapToGrid/>
        <w:spacing w:before="0" w:after="120" w:line="360" w:lineRule="auto"/>
        <w:textAlignment w:val="auto"/>
      </w:pPr>
      <w:r>
        <w:t xml:space="preserve">Moderne Konfliktmanagementsysteme bestehen aus einer Vielzahl von Instrumenten, die je nach Konfliktstärke und Schweregrad eingesetzt werden. Diese Instrumente reichen von informellen und präventiven Ansätzen bis hin zu formalen Eskalationskanälen und rechtlichen Verfahren. Die Wahl des richtigen Instruments hängt nicht nur von der Art des Konflikts, sondern auch von der Unternehmenskultur und der Hierarchie ab. </w:t>
      </w:r>
      <w:r>
        <w:rPr>
          <w:vertAlign w:val="superscript"/>
        </w:rPr>
        <w:t>21</w:t>
      </w:r>
    </w:p>
    <w:p w14:paraId="409EA3E3">
      <w:pPr>
        <w:pStyle w:val="6"/>
        <w:numPr>
          <w:ilvl w:val="2"/>
          <w:numId w:val="1"/>
        </w:numPr>
        <w:bidi w:val="0"/>
        <w:ind w:left="720" w:leftChars="0" w:hanging="720" w:firstLineChars="0"/>
      </w:pPr>
      <w:bookmarkStart w:id="32" w:name="_Toc11393"/>
      <w:bookmarkStart w:id="33" w:name="_Toc7007"/>
      <w:r>
        <w:t>Mediation und Ombudsstellen</w:t>
      </w:r>
      <w:bookmarkEnd w:id="32"/>
      <w:bookmarkEnd w:id="33"/>
    </w:p>
    <w:p w14:paraId="0FBDEDCB">
      <w:pPr>
        <w:keepNext w:val="0"/>
        <w:keepLines w:val="0"/>
        <w:pageBreakBefore w:val="0"/>
        <w:widowControl/>
        <w:numPr>
          <w:ilvl w:val="0"/>
          <w:numId w:val="0"/>
        </w:numPr>
        <w:kinsoku/>
        <w:overflowPunct/>
        <w:autoSpaceDE/>
        <w:bidi w:val="0"/>
        <w:snapToGrid/>
        <w:spacing w:before="0" w:after="120" w:line="360" w:lineRule="auto"/>
        <w:ind w:left="0" w:firstLine="0"/>
        <w:textAlignment w:val="auto"/>
      </w:pPr>
      <w:r>
        <w:t>Mediation ist ein zentrales Instrument des Konfliktmanagements, bei dem eine neutrale dritte Partei (Mediator) hilft, einen Konflikt zu lösen, indem sie den Konfliktparteien zu einer gemeinsamen Lösung verhilft. Die Mediation hat sich als besonders effektiv erwiesen, wenn beide Parteien weiterhin zusammenarbeiten müssen und die Erhaltung der Arbeitsbeziehung von zentraler Bedeutung ist. In westlichen Ländern hat sich die Mediation bereits in vielen Organisationen etabliert, doch auch in China wächst das Interesse an diesem Verfahren, da es im Vergleich zu traditionellen Konfliktlösungsmechanismen weniger konfrontativ ist und damit gut in die chinesische Face-Wahrungskultur passt.</w:t>
      </w:r>
    </w:p>
    <w:p w14:paraId="3D3F3C4F">
      <w:pPr>
        <w:pStyle w:val="2"/>
        <w:keepNext w:val="0"/>
        <w:keepLines w:val="0"/>
        <w:pageBreakBefore w:val="0"/>
        <w:widowControl/>
        <w:kinsoku/>
        <w:overflowPunct/>
        <w:autoSpaceDE/>
        <w:bidi w:val="0"/>
        <w:snapToGrid/>
        <w:spacing w:before="0" w:after="120"/>
        <w:textAlignment w:val="auto"/>
      </w:pPr>
      <w:r>
        <w:rPr>
          <w:rFonts w:ascii="Times New Roman" w:hAnsi="Times New Roman" w:eastAsia="宋体" w:cs="Times New Roman"/>
          <w:sz w:val="24"/>
          <w:szCs w:val="24"/>
          <w:lang w:val="de-DE" w:eastAsia="de-DE" w:bidi="ar-SA"/>
        </w:rPr>
        <w:t>Ein zusätzliches Instrument ist das Ombudssystem, bei dem eine unabhängige Instanz (Ombudsperson) als neutrale Anlaufstelle für Konflikte dient. In chinesischen Unternehmen, in denen Hierarchie und Autorität eine wichtige Rolle spielen, wird das Ombudssystem zunehmend eingesetzt, um den Mitarbeitenden eine sichere und anonyme Möglichkeit zu bieten, Konflikte zu melden, ohne dass die Gefahr besteht, ihre Position innerhalb der Organisation zu gefährden. Das Ombudssystem ist besonders in internationalen Unternehmen in China verbreitet, da es eine neutrale und vertrauenswürdige Instanz schafft, die nicht direkt mit der Hierarchie verbunden ist.</w:t>
      </w:r>
    </w:p>
    <w:p w14:paraId="6D538EBD">
      <w:pPr>
        <w:pStyle w:val="6"/>
        <w:numPr>
          <w:ilvl w:val="2"/>
          <w:numId w:val="1"/>
        </w:numPr>
        <w:bidi w:val="0"/>
        <w:ind w:left="720" w:leftChars="0" w:hanging="720" w:firstLineChars="0"/>
      </w:pPr>
      <w:r>
        <w:t xml:space="preserve"> </w:t>
      </w:r>
      <w:bookmarkStart w:id="34" w:name="_Toc12789"/>
      <w:bookmarkStart w:id="35" w:name="_Toc13884"/>
      <w:r>
        <w:t>Formelle Feedback-Kanäle und digitale Meldesysteme</w:t>
      </w:r>
      <w:bookmarkEnd w:id="34"/>
      <w:bookmarkEnd w:id="35"/>
    </w:p>
    <w:p w14:paraId="480D1459">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Formelle Feedback</w:t>
      </w:r>
      <w:r>
        <w:rPr>
          <w:rFonts w:ascii="Times New Roman" w:hAnsi="Times New Roman" w:eastAsia="宋体" w:cs="Times New Roman"/>
          <w:sz w:val="24"/>
          <w:szCs w:val="24"/>
          <w:lang w:val="de-DE" w:eastAsia="de-DE" w:bidi="ar-SA"/>
        </w:rPr>
        <w:noBreakHyphen/>
      </w:r>
      <w:r>
        <w:rPr>
          <w:rFonts w:ascii="Times New Roman" w:hAnsi="Times New Roman" w:eastAsia="宋体" w:cs="Times New Roman"/>
          <w:sz w:val="24"/>
          <w:szCs w:val="24"/>
          <w:lang w:val="de-DE" w:eastAsia="de-DE" w:bidi="ar-SA"/>
        </w:rPr>
        <w:t>Kanäle und digitale Meldesysteme spielen eine wichtige Rolle im Konfliktmanagement großer Organisationen. Diese Systeme bieten den Mitarbeitenden eine Möglichkeit, Konflikte frühzeitig zu melden, ohne die formellen Eskalationspfade zu beschreiten. Insbesondere in hierarchischen Organisationen, wie sie in vielen chinesischen Unternehmen zu finden sind, ermöglichen digitale Plattformen eine anonyme und niederschwellige Konfliktmeldung. Diese digitalen Systeme helfen dabei, Konflikte früh zu erkennen, bevor sie sich auf die Arbeitsatmosphäre und die Produktivität auswirken. In China hat Alibaba ein solches System entwickelt, das Mitarbeitenden die Möglichkeit gibt, Probleme schnell und unkompliziert zu melden, was die frühzeitige Konflikterkennung und -lösung fördert.</w:t>
      </w:r>
    </w:p>
    <w:p w14:paraId="47941DE1">
      <w:r>
        <w:rPr>
          <w:b/>
        </w:rPr>
        <w:t>Tabelle 1: Instrumente des Konfliktmanagements und ihre potenziellen Implikationen für Unternehmenswert und (Arbeitgeber-)Marke.</w:t>
      </w:r>
    </w:p>
    <w:tbl>
      <w:tblPr>
        <w:tblStyle w:val="33"/>
        <w:tblW w:w="0" w:type="auto"/>
        <w:tblInd w:w="0" w:type="dxa"/>
        <w:tblLayout w:type="autofit"/>
        <w:tblCellMar>
          <w:top w:w="0" w:type="dxa"/>
          <w:left w:w="10" w:type="dxa"/>
          <w:bottom w:w="0" w:type="dxa"/>
          <w:right w:w="10" w:type="dxa"/>
        </w:tblCellMar>
      </w:tblPr>
      <w:tblGrid>
        <w:gridCol w:w="1977"/>
        <w:gridCol w:w="2093"/>
        <w:gridCol w:w="2167"/>
        <w:gridCol w:w="2287"/>
      </w:tblGrid>
      <w:tr w14:paraId="4B340627">
        <w:tblPrEx>
          <w:tblCellMar>
            <w:top w:w="0" w:type="dxa"/>
            <w:left w:w="10" w:type="dxa"/>
            <w:bottom w:w="0" w:type="dxa"/>
            <w:right w:w="10" w:type="dxa"/>
          </w:tblCellMar>
        </w:tblPrEx>
        <w:tc>
          <w:tcPr>
            <w:tcW w:w="2126" w:type="dxa"/>
          </w:tcPr>
          <w:p w14:paraId="569DBBF6">
            <w:r>
              <w:t>Instrument</w:t>
            </w:r>
          </w:p>
        </w:tc>
        <w:tc>
          <w:tcPr>
            <w:tcW w:w="2126" w:type="dxa"/>
          </w:tcPr>
          <w:p w14:paraId="1F81A85B">
            <w:r>
              <w:t>Ziel/Mechanismus</w:t>
            </w:r>
          </w:p>
        </w:tc>
        <w:tc>
          <w:tcPr>
            <w:tcW w:w="2126" w:type="dxa"/>
          </w:tcPr>
          <w:p w14:paraId="350DD8B0">
            <w:r>
              <w:t>Implikation für Unternehmenswert</w:t>
            </w:r>
          </w:p>
        </w:tc>
        <w:tc>
          <w:tcPr>
            <w:tcW w:w="2126" w:type="dxa"/>
          </w:tcPr>
          <w:p w14:paraId="76FAA595">
            <w:r>
              <w:t>Implikation für Marke/Kommunikation</w:t>
            </w:r>
          </w:p>
        </w:tc>
      </w:tr>
      <w:tr w14:paraId="0A87E22A">
        <w:tblPrEx>
          <w:tblCellMar>
            <w:top w:w="0" w:type="dxa"/>
            <w:left w:w="10" w:type="dxa"/>
            <w:bottom w:w="0" w:type="dxa"/>
            <w:right w:w="10" w:type="dxa"/>
          </w:tblCellMar>
        </w:tblPrEx>
        <w:tc>
          <w:tcPr>
            <w:tcW w:w="2126" w:type="dxa"/>
          </w:tcPr>
          <w:p w14:paraId="1FB1473F">
            <w:r>
              <w:t>Mediation</w:t>
            </w:r>
          </w:p>
        </w:tc>
        <w:tc>
          <w:tcPr>
            <w:tcW w:w="2126" w:type="dxa"/>
          </w:tcPr>
          <w:p w14:paraId="71F16592">
            <w:r>
              <w:t>Strukturierte Konfliktbearbeitung durch neutrale Dritte</w:t>
            </w:r>
          </w:p>
        </w:tc>
        <w:tc>
          <w:tcPr>
            <w:tcW w:w="2126" w:type="dxa"/>
          </w:tcPr>
          <w:p w14:paraId="66C964E5">
            <w:r>
              <w:t>Reduktion von Konfliktkosten; Stabilisierung von Prozessen und Risiken</w:t>
            </w:r>
          </w:p>
        </w:tc>
        <w:tc>
          <w:tcPr>
            <w:tcW w:w="2126" w:type="dxa"/>
          </w:tcPr>
          <w:p w14:paraId="4ABA0A47">
            <w:r>
              <w:t>Signal der Fairness; konsistente interne/externe Kommunikation</w:t>
            </w:r>
          </w:p>
        </w:tc>
      </w:tr>
      <w:tr w14:paraId="4B5E87D6">
        <w:tblPrEx>
          <w:tblCellMar>
            <w:top w:w="0" w:type="dxa"/>
            <w:left w:w="10" w:type="dxa"/>
            <w:bottom w:w="0" w:type="dxa"/>
            <w:right w:w="10" w:type="dxa"/>
          </w:tblCellMar>
        </w:tblPrEx>
        <w:tc>
          <w:tcPr>
            <w:tcW w:w="2126" w:type="dxa"/>
          </w:tcPr>
          <w:p w14:paraId="336C151F">
            <w:r>
              <w:t>Ombudsstelle</w:t>
            </w:r>
          </w:p>
        </w:tc>
        <w:tc>
          <w:tcPr>
            <w:tcW w:w="2126" w:type="dxa"/>
          </w:tcPr>
          <w:p w14:paraId="38C5989A">
            <w:r>
              <w:t>Vertrauliche Anlaufstelle; Frühwarnsystem</w:t>
            </w:r>
          </w:p>
        </w:tc>
        <w:tc>
          <w:tcPr>
            <w:tcW w:w="2126" w:type="dxa"/>
          </w:tcPr>
          <w:p w14:paraId="548FB98B">
            <w:r>
              <w:t>Früherkennung wesentlicher Risiken; Governance‑Stärkung</w:t>
            </w:r>
          </w:p>
        </w:tc>
        <w:tc>
          <w:tcPr>
            <w:tcW w:w="2126" w:type="dxa"/>
          </w:tcPr>
          <w:p w14:paraId="6BFBA28B">
            <w:r>
              <w:t>Vertrauensaufbau; Schutz der Reputation</w:t>
            </w:r>
          </w:p>
        </w:tc>
      </w:tr>
      <w:tr w14:paraId="6E4BB7EF">
        <w:tblPrEx>
          <w:tblCellMar>
            <w:top w:w="0" w:type="dxa"/>
            <w:left w:w="10" w:type="dxa"/>
            <w:bottom w:w="0" w:type="dxa"/>
            <w:right w:w="10" w:type="dxa"/>
          </w:tblCellMar>
        </w:tblPrEx>
        <w:tc>
          <w:tcPr>
            <w:tcW w:w="2126" w:type="dxa"/>
          </w:tcPr>
          <w:p w14:paraId="01DC9A4C">
            <w:r>
              <w:t>Digitale Meldesysteme</w:t>
            </w:r>
          </w:p>
        </w:tc>
        <w:tc>
          <w:tcPr>
            <w:tcW w:w="2126" w:type="dxa"/>
          </w:tcPr>
          <w:p w14:paraId="50A2958B">
            <w:r>
              <w:t>Skalierbares Reporting; Dokumentation; Analytics</w:t>
            </w:r>
          </w:p>
        </w:tc>
        <w:tc>
          <w:tcPr>
            <w:tcW w:w="2126" w:type="dxa"/>
          </w:tcPr>
          <w:p w14:paraId="15C499C4">
            <w:r>
              <w:t>Risikotransparenz; Grundlage für Steuerung/Controlling</w:t>
            </w:r>
          </w:p>
        </w:tc>
        <w:tc>
          <w:tcPr>
            <w:tcW w:w="2126" w:type="dxa"/>
          </w:tcPr>
          <w:p w14:paraId="7DF2BDD8">
            <w:r>
              <w:t>Schnelle Reaktionsfähigkeit in digitalen Öffentlichkeiten</w:t>
            </w:r>
          </w:p>
        </w:tc>
      </w:tr>
      <w:tr w14:paraId="6F26561C">
        <w:tblPrEx>
          <w:tblCellMar>
            <w:top w:w="0" w:type="dxa"/>
            <w:left w:w="10" w:type="dxa"/>
            <w:bottom w:w="0" w:type="dxa"/>
            <w:right w:w="10" w:type="dxa"/>
          </w:tblCellMar>
        </w:tblPrEx>
        <w:tc>
          <w:tcPr>
            <w:tcW w:w="2126" w:type="dxa"/>
          </w:tcPr>
          <w:p w14:paraId="580AEF9E">
            <w:r>
              <w:t>Feedback- &amp; Dialogformate</w:t>
            </w:r>
          </w:p>
        </w:tc>
        <w:tc>
          <w:tcPr>
            <w:tcW w:w="2126" w:type="dxa"/>
          </w:tcPr>
          <w:p w14:paraId="18225F62">
            <w:r>
              <w:t>Regelmäßige Kommunikation; Erwartungsklärung</w:t>
            </w:r>
          </w:p>
        </w:tc>
        <w:tc>
          <w:tcPr>
            <w:tcW w:w="2126" w:type="dxa"/>
          </w:tcPr>
          <w:p w14:paraId="297F4D4D">
            <w:r>
              <w:t>Stärkung betrieblicher Erfolgsfaktoren (Kultur, Führung)</w:t>
            </w:r>
          </w:p>
        </w:tc>
        <w:tc>
          <w:tcPr>
            <w:tcW w:w="2126" w:type="dxa"/>
          </w:tcPr>
          <w:p w14:paraId="70C6403B">
            <w:r>
              <w:t>Employer Branding; Customer Experience‑Kohärenz</w:t>
            </w:r>
          </w:p>
        </w:tc>
      </w:tr>
    </w:tbl>
    <w:p w14:paraId="7D3C57BC">
      <w:r>
        <w:t>Wie die Tabelle verdeutlicht, wirkt Konfliktmanagement in großen Unternehmen auf mehrere Ebenen: es senkt Konfliktkosten, stabilisiert Prozesse und unterstützt eine konsistente Stakeholder‑Kommunikation. In der Bewertungslogik lassen sich solche Effekte als Reduktion von Risiko‑ und Unsicherheitskomponenten interpretieren, die bei der Analyse zukünftiger Chancen und Risiken zu berücksichtigen sind.</w:t>
      </w:r>
      <w:r>
        <w:rPr>
          <w:vertAlign w:val="superscript"/>
        </w:rPr>
        <w:t>12</w:t>
      </w:r>
    </w:p>
    <w:p w14:paraId="0B5EEC9B">
      <w:pPr>
        <w:spacing w:line="360" w:lineRule="auto"/>
        <w:rPr>
          <w:rFonts w:ascii="Times New Roman" w:hAnsi="Times New Roman" w:eastAsia="宋体" w:cs="Times New Roman"/>
          <w:sz w:val="24"/>
          <w:szCs w:val="24"/>
          <w:highlight w:val="yellow"/>
          <w:lang w:val="de-DE" w:eastAsia="de-DE" w:bidi="ar-SA"/>
        </w:rPr>
      </w:pPr>
    </w:p>
    <w:p w14:paraId="4E740588">
      <w:pPr>
        <w:spacing w:line="360" w:lineRule="auto"/>
        <w:rPr>
          <w:highlight w:val="yellow"/>
        </w:rPr>
      </w:pPr>
    </w:p>
    <w:p w14:paraId="26701194">
      <w:pPr>
        <w:pStyle w:val="2"/>
        <w:rPr>
          <w:sz w:val="20"/>
          <w:szCs w:val="20"/>
          <w:highlight w:val="yellow"/>
        </w:rPr>
      </w:pPr>
    </w:p>
    <w:p w14:paraId="3E1F5A27">
      <w:pPr>
        <w:pStyle w:val="2"/>
        <w:rPr>
          <w:sz w:val="20"/>
          <w:szCs w:val="20"/>
        </w:rPr>
      </w:pPr>
    </w:p>
    <w:p w14:paraId="3D92AD3A">
      <w:pPr>
        <w:pStyle w:val="2"/>
        <w:rPr>
          <w:sz w:val="20"/>
          <w:szCs w:val="20"/>
        </w:rPr>
      </w:pPr>
    </w:p>
    <w:p w14:paraId="617ADD48">
      <w:pPr>
        <w:pStyle w:val="5"/>
        <w:numPr>
          <w:ilvl w:val="1"/>
          <w:numId w:val="1"/>
        </w:numPr>
        <w:bidi w:val="0"/>
        <w:ind w:left="576" w:leftChars="0" w:hanging="576" w:firstLineChars="0"/>
      </w:pPr>
      <w:r>
        <w:t xml:space="preserve"> </w:t>
      </w:r>
      <w:bookmarkStart w:id="36" w:name="_Toc12306"/>
      <w:bookmarkStart w:id="37" w:name="_Toc15157"/>
      <w:r>
        <w:t>Herausforderungen und Chancen in chinesischen Unternehmen</w:t>
      </w:r>
      <w:bookmarkEnd w:id="36"/>
      <w:bookmarkEnd w:id="37"/>
    </w:p>
    <w:p w14:paraId="669D231E">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Das Konfliktmanagement in chinesischen Unternehmen steht vor spezifischen kulturellen und strukturellen Herausforderungen. Kulturelle Normen wie Face</w:t>
      </w:r>
      <w:r>
        <w:rPr>
          <w:rFonts w:ascii="Times New Roman" w:hAnsi="Times New Roman" w:eastAsia="宋体" w:cs="Times New Roman"/>
          <w:sz w:val="24"/>
          <w:szCs w:val="24"/>
          <w:lang w:val="de-DE" w:eastAsia="de-DE" w:bidi="ar-SA"/>
        </w:rPr>
        <w:noBreakHyphen/>
      </w:r>
      <w:r>
        <w:rPr>
          <w:rFonts w:ascii="Times New Roman" w:hAnsi="Times New Roman" w:eastAsia="宋体" w:cs="Times New Roman"/>
          <w:sz w:val="24"/>
          <w:szCs w:val="24"/>
          <w:lang w:val="de-DE" w:eastAsia="de-DE" w:bidi="ar-SA"/>
        </w:rPr>
        <w:t>Wahrung, Harmonie und Guanxi beeinflussen, wie Konflikte wahrgenommen und bearbeitet werden. Diese kulturellen Faktoren können das Vertrauen in formelle Konfliktlösungsmechanismen wie Mediation und Ombudssysteme sowohl begünstigen als auch behindern.</w:t>
      </w:r>
    </w:p>
    <w:p w14:paraId="3B52C5F9">
      <w:pPr>
        <w:pStyle w:val="6"/>
        <w:numPr>
          <w:ilvl w:val="2"/>
          <w:numId w:val="1"/>
        </w:numPr>
        <w:bidi w:val="0"/>
        <w:ind w:left="720" w:leftChars="0" w:hanging="720" w:firstLineChars="0"/>
      </w:pPr>
      <w:bookmarkStart w:id="38" w:name="_Toc32578"/>
      <w:bookmarkStart w:id="39" w:name="_Toc30219"/>
      <w:r>
        <w:rPr>
          <w:lang w:val="en-US" w:eastAsia="zh-CN"/>
        </w:rPr>
        <w:t>Hierarchie und Face</w:t>
      </w:r>
      <w:r>
        <w:rPr>
          <w:lang w:val="en-US" w:eastAsia="zh-CN"/>
        </w:rPr>
        <w:noBreakHyphen/>
      </w:r>
      <w:r>
        <w:rPr>
          <w:lang w:val="en-US" w:eastAsia="zh-CN"/>
        </w:rPr>
        <w:t>Wahrung</w:t>
      </w:r>
      <w:bookmarkEnd w:id="38"/>
      <w:bookmarkEnd w:id="39"/>
    </w:p>
    <w:p w14:paraId="47F7DEA0">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In chinesischen Unternehmen ist die Machtdistanz zwischen Führungskräften und Mitarbeitenden groß. Dies führt dazu, dass Mitarbeitende Konflikte häufig nicht direkt ansprechen, sondern versuchen, diese informell oder über Dritte zu lösen, um Gesichtsverlust (Miànzi) zu vermeiden. Diese Dynamik stellt eine große Herausforderung für das Konfliktmanagement dar, da Konflikte oft nicht direkt und offen angesprochen werden. Die Face-Wahrungskultur erfordert daher, dass Konfliktlösungsprozesse so gestaltet werden, dass sie Harmonie bewahren und den Beteiligten Respekt zollen, anstatt sie öffentlich bloßzustellen oder zu konfrontieren.</w:t>
      </w:r>
    </w:p>
    <w:p w14:paraId="3F882C69">
      <w:pPr>
        <w:pStyle w:val="2"/>
        <w:rPr>
          <w:rFonts w:ascii="Times New Roman" w:hAnsi="Times New Roman" w:eastAsia="宋体" w:cs="Times New Roman"/>
          <w:sz w:val="24"/>
          <w:szCs w:val="24"/>
          <w:lang w:val="de-DE" w:eastAsia="de-DE" w:bidi="ar-SA"/>
        </w:rPr>
      </w:pPr>
    </w:p>
    <w:p w14:paraId="0E456114">
      <w:pPr>
        <w:pStyle w:val="6"/>
        <w:numPr>
          <w:ilvl w:val="2"/>
          <w:numId w:val="1"/>
        </w:numPr>
        <w:bidi w:val="0"/>
        <w:ind w:left="720" w:leftChars="0" w:hanging="720" w:firstLineChars="0"/>
        <w:rPr>
          <w:lang w:val="en-US" w:eastAsia="zh-CN"/>
        </w:rPr>
      </w:pPr>
      <w:r>
        <w:rPr>
          <w:lang w:val="en-US" w:eastAsia="zh-CN"/>
        </w:rPr>
        <w:t xml:space="preserve"> </w:t>
      </w:r>
      <w:bookmarkStart w:id="40" w:name="_Toc5709"/>
      <w:bookmarkStart w:id="41" w:name="_Toc18679"/>
      <w:r>
        <w:rPr>
          <w:lang w:val="en-US" w:eastAsia="zh-CN"/>
        </w:rPr>
        <w:t>Guanxi und Netzwerkdynamiken</w:t>
      </w:r>
      <w:bookmarkEnd w:id="40"/>
      <w:bookmarkEnd w:id="41"/>
    </w:p>
    <w:p w14:paraId="661012FF">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In vielen chinesischen Unternehmen spielen Guanxi</w:t>
      </w:r>
      <w:r>
        <w:rPr>
          <w:rFonts w:ascii="Times New Roman" w:hAnsi="Times New Roman" w:eastAsia="宋体" w:cs="Times New Roman"/>
          <w:sz w:val="24"/>
          <w:szCs w:val="24"/>
          <w:lang w:val="de-DE" w:eastAsia="de-DE" w:bidi="ar-SA"/>
        </w:rPr>
        <w:noBreakHyphen/>
      </w:r>
      <w:r>
        <w:rPr>
          <w:rFonts w:ascii="Times New Roman" w:hAnsi="Times New Roman" w:eastAsia="宋体" w:cs="Times New Roman"/>
          <w:sz w:val="24"/>
          <w:szCs w:val="24"/>
          <w:lang w:val="de-DE" w:eastAsia="de-DE" w:bidi="ar-SA"/>
        </w:rPr>
        <w:t>Netzwerke (beziehungsorientierte Netzwerke) eine zentrale Rolle. Diese Netzwerke beeinflussen sowohl die Wahrnehmung als auch die Bearbeitung von Konflikten. In Unternehmen, die stark auf Guanxi setzen, werden Konflikte häufig über informelle Kanäle und persönliche Beziehungen gelöst, anstatt formelle Konfliktbearbeitungsinstrumente zu verwenden. Diese informellen Mechanismen können zwar kurzfristig effektiv sein, verhindern jedoch oft, dass strukturelle Ursachen für Konflikte adressiert werden. Die Herausforderung besteht darin, informelle und formelle Konfliktlösungsmechanismen miteinander zu verbinden und so eine ganzheitliche Konfliktmanagementstrategie zu entwickeln.</w:t>
      </w:r>
    </w:p>
    <w:p w14:paraId="282A6E6F">
      <w:pPr>
        <w:pStyle w:val="76"/>
        <w:rPr>
          <w:rFonts w:ascii="Times New Roman" w:hAnsi="Times New Roman" w:eastAsia="Times New Roman" w:cs="Times New Roman"/>
          <w:b w:val="0"/>
          <w:bCs w:val="0"/>
          <w:sz w:val="24"/>
          <w:szCs w:val="24"/>
          <w:lang w:val="de-DE" w:eastAsia="zh-CN" w:bidi="ar-SA"/>
        </w:rPr>
      </w:pPr>
      <w:r>
        <w:rPr>
          <w:rFonts w:ascii="Times New Roman" w:hAnsi="Times New Roman" w:eastAsia="Times New Roman" w:cs="Times New Roman"/>
          <w:b w:val="0"/>
          <w:bCs w:val="0"/>
          <w:sz w:val="24"/>
          <w:szCs w:val="24"/>
          <w:lang w:val="de-DE" w:eastAsia="zh-CN" w:bidi="ar-SA"/>
        </w:rPr>
        <w:t xml:space="preserve">Abbildung </w:t>
      </w:r>
      <w:r>
        <w:rPr>
          <w:rFonts w:ascii="Times New Roman" w:hAnsi="Times New Roman" w:eastAsia="Times New Roman" w:cs="Times New Roman"/>
          <w:b w:val="0"/>
          <w:bCs w:val="0"/>
          <w:sz w:val="24"/>
          <w:szCs w:val="24"/>
          <w:lang w:val="de-DE" w:eastAsia="zh-CN" w:bidi="ar-SA"/>
        </w:rPr>
        <w:fldChar w:fldCharType="begin"/>
      </w:r>
      <w:r>
        <w:rPr>
          <w:rFonts w:ascii="Times New Roman" w:hAnsi="Times New Roman" w:eastAsia="Times New Roman" w:cs="Times New Roman"/>
          <w:b w:val="0"/>
          <w:bCs w:val="0"/>
          <w:sz w:val="24"/>
          <w:szCs w:val="24"/>
          <w:lang w:val="de-DE" w:eastAsia="zh-CN" w:bidi="ar-SA"/>
        </w:rPr>
        <w:instrText xml:space="preserve"> SEQ Abbildung \* ARABIC </w:instrText>
      </w:r>
      <w:r>
        <w:rPr>
          <w:rFonts w:ascii="Times New Roman" w:hAnsi="Times New Roman" w:eastAsia="Times New Roman" w:cs="Times New Roman"/>
          <w:b w:val="0"/>
          <w:bCs w:val="0"/>
          <w:sz w:val="24"/>
          <w:szCs w:val="24"/>
          <w:lang w:val="de-DE" w:eastAsia="zh-CN" w:bidi="ar-SA"/>
        </w:rPr>
        <w:fldChar w:fldCharType="separate"/>
      </w:r>
      <w:r>
        <w:rPr>
          <w:rFonts w:ascii="Times New Roman" w:hAnsi="Times New Roman" w:eastAsia="Times New Roman" w:cs="Times New Roman"/>
          <w:b w:val="0"/>
          <w:bCs w:val="0"/>
          <w:sz w:val="24"/>
          <w:szCs w:val="24"/>
          <w:lang w:val="de-DE" w:eastAsia="zh-CN" w:bidi="ar-SA"/>
        </w:rPr>
        <w:t>2</w:t>
      </w:r>
      <w:r>
        <w:rPr>
          <w:rFonts w:ascii="Times New Roman" w:hAnsi="Times New Roman" w:eastAsia="Times New Roman" w:cs="Times New Roman"/>
          <w:b w:val="0"/>
          <w:bCs w:val="0"/>
          <w:sz w:val="24"/>
          <w:szCs w:val="24"/>
          <w:lang w:val="de-DE" w:eastAsia="zh-CN" w:bidi="ar-SA"/>
        </w:rPr>
        <w:fldChar w:fldCharType="end"/>
      </w:r>
      <w:bookmarkStart w:id="42" w:name="_Toc24474"/>
      <w:r>
        <w:rPr>
          <w:rFonts w:ascii="Times New Roman" w:hAnsi="Times New Roman" w:eastAsia="Times New Roman" w:cs="Times New Roman"/>
          <w:b w:val="0"/>
          <w:bCs w:val="0"/>
          <w:sz w:val="24"/>
          <w:szCs w:val="24"/>
          <w:lang w:val="de-DE" w:eastAsia="zh-CN" w:bidi="ar-SA"/>
        </w:rPr>
        <w:t xml:space="preserve"> Anpassungsdimensioen für die Umsetzung </w:t>
      </w:r>
      <w:bookmarkEnd w:id="42"/>
    </w:p>
    <w:tbl>
      <w:tblPr>
        <w:tblStyle w:val="33"/>
        <w:tblW w:w="8720" w:type="dxa"/>
        <w:tblInd w:w="0" w:type="dxa"/>
        <w:tblLayout w:type="fixed"/>
        <w:tblCellMar>
          <w:top w:w="0" w:type="dxa"/>
          <w:left w:w="108" w:type="dxa"/>
          <w:bottom w:w="0" w:type="dxa"/>
          <w:right w:w="108" w:type="dxa"/>
        </w:tblCellMar>
      </w:tblPr>
      <w:tblGrid>
        <w:gridCol w:w="2906"/>
        <w:gridCol w:w="2907"/>
        <w:gridCol w:w="2907"/>
      </w:tblGrid>
      <w:tr w14:paraId="67DD3C1D">
        <w:tblPrEx>
          <w:tblCellMar>
            <w:top w:w="0" w:type="dxa"/>
            <w:left w:w="108" w:type="dxa"/>
            <w:bottom w:w="0" w:type="dxa"/>
            <w:right w:w="108" w:type="dxa"/>
          </w:tblCellMar>
        </w:tblPrEx>
        <w:tc>
          <w:tcPr>
            <w:tcW w:w="2906" w:type="dxa"/>
            <w:tcBorders>
              <w:top w:val="single" w:color="000000" w:sz="4" w:space="0"/>
              <w:left w:val="single" w:color="000000" w:sz="4" w:space="0"/>
              <w:bottom w:val="single" w:color="000000" w:sz="4" w:space="0"/>
              <w:right w:val="single" w:color="000000" w:sz="4" w:space="0"/>
            </w:tcBorders>
          </w:tcPr>
          <w:p w14:paraId="30196EA6">
            <w:pPr>
              <w:rPr>
                <w:rFonts w:ascii="Times New Roman" w:hAnsi="Times New Roman" w:eastAsia="宋体" w:cs="Times New Roman"/>
                <w:position w:val="0"/>
                <w:sz w:val="24"/>
                <w:szCs w:val="24"/>
                <w:vertAlign w:val="baseline"/>
              </w:rPr>
            </w:pPr>
            <w:r>
              <w:rPr>
                <w:rFonts w:eastAsia="宋体" w:cs="Times New Roman"/>
                <w:sz w:val="24"/>
                <w:szCs w:val="24"/>
              </w:rPr>
              <w:t>Dimension</w:t>
            </w:r>
          </w:p>
        </w:tc>
        <w:tc>
          <w:tcPr>
            <w:tcW w:w="2907" w:type="dxa"/>
            <w:tcBorders>
              <w:top w:val="single" w:color="000000" w:sz="4" w:space="0"/>
              <w:left w:val="single" w:color="000000" w:sz="4" w:space="0"/>
              <w:bottom w:val="single" w:color="000000" w:sz="4" w:space="0"/>
              <w:right w:val="single" w:color="000000" w:sz="4" w:space="0"/>
            </w:tcBorders>
          </w:tcPr>
          <w:p w14:paraId="070C00CA">
            <w:pPr>
              <w:rPr>
                <w:rFonts w:ascii="Times New Roman" w:hAnsi="Times New Roman" w:eastAsia="宋体" w:cs="Times New Roman"/>
                <w:position w:val="0"/>
                <w:sz w:val="24"/>
                <w:szCs w:val="24"/>
                <w:vertAlign w:val="baseline"/>
                <w:lang w:val="en-US" w:eastAsia="zh-CN"/>
              </w:rPr>
            </w:pPr>
            <w:r>
              <w:rPr>
                <w:rFonts w:eastAsia="宋体" w:cs="Times New Roman"/>
                <w:sz w:val="24"/>
                <w:szCs w:val="24"/>
              </w:rPr>
              <w:t>Westlicher Kontext</w:t>
            </w:r>
          </w:p>
        </w:tc>
        <w:tc>
          <w:tcPr>
            <w:tcW w:w="2907" w:type="dxa"/>
            <w:tcBorders>
              <w:top w:val="single" w:color="000000" w:sz="4" w:space="0"/>
              <w:left w:val="single" w:color="000000" w:sz="4" w:space="0"/>
              <w:bottom w:val="single" w:color="000000" w:sz="4" w:space="0"/>
              <w:right w:val="single" w:color="000000" w:sz="4" w:space="0"/>
            </w:tcBorders>
          </w:tcPr>
          <w:p w14:paraId="75EFB804">
            <w:pPr>
              <w:rPr>
                <w:rFonts w:ascii="Times New Roman" w:hAnsi="Times New Roman" w:eastAsia="宋体" w:cs="Times New Roman"/>
                <w:position w:val="0"/>
                <w:sz w:val="24"/>
                <w:szCs w:val="24"/>
                <w:vertAlign w:val="baseline"/>
              </w:rPr>
            </w:pPr>
            <w:r>
              <w:rPr>
                <w:rFonts w:eastAsia="宋体" w:cs="Times New Roman"/>
                <w:sz w:val="24"/>
                <w:szCs w:val="24"/>
              </w:rPr>
              <w:t>Chinesischer Kontext</w:t>
            </w:r>
          </w:p>
        </w:tc>
      </w:tr>
      <w:tr w14:paraId="6D397C89">
        <w:tblPrEx>
          <w:tblCellMar>
            <w:top w:w="0" w:type="dxa"/>
            <w:left w:w="108" w:type="dxa"/>
            <w:bottom w:w="0" w:type="dxa"/>
            <w:right w:w="108" w:type="dxa"/>
          </w:tblCellMar>
        </w:tblPrEx>
        <w:tc>
          <w:tcPr>
            <w:tcW w:w="2906" w:type="dxa"/>
            <w:tcBorders>
              <w:top w:val="single" w:color="000000" w:sz="4" w:space="0"/>
              <w:left w:val="single" w:color="000000" w:sz="4" w:space="0"/>
              <w:bottom w:val="single" w:color="000000" w:sz="4" w:space="0"/>
              <w:right w:val="single" w:color="000000" w:sz="4" w:space="0"/>
            </w:tcBorders>
          </w:tcPr>
          <w:p w14:paraId="16164FE5">
            <w:pPr>
              <w:rPr>
                <w:rFonts w:ascii="Times New Roman" w:hAnsi="Times New Roman" w:eastAsia="宋体" w:cs="Times New Roman"/>
                <w:position w:val="0"/>
                <w:sz w:val="24"/>
                <w:szCs w:val="24"/>
                <w:vertAlign w:val="baseline"/>
              </w:rPr>
            </w:pPr>
            <w:r>
              <w:rPr>
                <w:rFonts w:eastAsia="宋体" w:cs="Times New Roman"/>
                <w:sz w:val="24"/>
                <w:szCs w:val="24"/>
              </w:rPr>
              <w:t>Konfliktansprache</w:t>
            </w:r>
          </w:p>
        </w:tc>
        <w:tc>
          <w:tcPr>
            <w:tcW w:w="2907" w:type="dxa"/>
            <w:tcBorders>
              <w:top w:val="single" w:color="000000" w:sz="4" w:space="0"/>
              <w:left w:val="single" w:color="000000" w:sz="4" w:space="0"/>
              <w:bottom w:val="single" w:color="000000" w:sz="4" w:space="0"/>
              <w:right w:val="single" w:color="000000" w:sz="4" w:space="0"/>
            </w:tcBorders>
          </w:tcPr>
          <w:p w14:paraId="690981C6">
            <w:pPr>
              <w:rPr>
                <w:rFonts w:ascii="Times New Roman" w:hAnsi="Times New Roman" w:eastAsia="宋体" w:cs="Times New Roman"/>
                <w:position w:val="0"/>
                <w:sz w:val="24"/>
                <w:szCs w:val="24"/>
                <w:vertAlign w:val="baseline"/>
              </w:rPr>
            </w:pPr>
            <w:r>
              <w:rPr>
                <w:rFonts w:eastAsia="宋体" w:cs="Times New Roman"/>
                <w:sz w:val="24"/>
                <w:szCs w:val="24"/>
              </w:rPr>
              <w:t>Direkt, offen</w:t>
            </w:r>
          </w:p>
        </w:tc>
        <w:tc>
          <w:tcPr>
            <w:tcW w:w="2907" w:type="dxa"/>
            <w:tcBorders>
              <w:top w:val="single" w:color="000000" w:sz="4" w:space="0"/>
              <w:left w:val="single" w:color="000000" w:sz="4" w:space="0"/>
              <w:bottom w:val="single" w:color="000000" w:sz="4" w:space="0"/>
              <w:right w:val="single" w:color="000000" w:sz="4" w:space="0"/>
            </w:tcBorders>
          </w:tcPr>
          <w:p w14:paraId="5707403C">
            <w:pPr>
              <w:rPr>
                <w:rFonts w:ascii="Times New Roman" w:hAnsi="Times New Roman" w:eastAsia="宋体" w:cs="Times New Roman"/>
                <w:position w:val="0"/>
                <w:sz w:val="24"/>
                <w:szCs w:val="24"/>
                <w:vertAlign w:val="baseline"/>
              </w:rPr>
            </w:pPr>
            <w:r>
              <w:rPr>
                <w:rFonts w:eastAsia="宋体" w:cs="Times New Roman"/>
                <w:sz w:val="24"/>
                <w:szCs w:val="24"/>
              </w:rPr>
              <w:t>Indirekt, harmoniewahrend</w:t>
            </w:r>
          </w:p>
        </w:tc>
      </w:tr>
      <w:tr w14:paraId="120650BA">
        <w:tblPrEx>
          <w:tblCellMar>
            <w:top w:w="0" w:type="dxa"/>
            <w:left w:w="108" w:type="dxa"/>
            <w:bottom w:w="0" w:type="dxa"/>
            <w:right w:w="108" w:type="dxa"/>
          </w:tblCellMar>
        </w:tblPrEx>
        <w:tc>
          <w:tcPr>
            <w:tcW w:w="2906" w:type="dxa"/>
            <w:tcBorders>
              <w:top w:val="single" w:color="000000" w:sz="4" w:space="0"/>
              <w:left w:val="single" w:color="000000" w:sz="4" w:space="0"/>
              <w:bottom w:val="single" w:color="000000" w:sz="4" w:space="0"/>
              <w:right w:val="single" w:color="000000" w:sz="4" w:space="0"/>
            </w:tcBorders>
          </w:tcPr>
          <w:p w14:paraId="6EB5AB6E">
            <w:pPr>
              <w:rPr>
                <w:rFonts w:ascii="Times New Roman" w:hAnsi="Times New Roman" w:eastAsia="宋体" w:cs="Times New Roman"/>
                <w:position w:val="0"/>
                <w:sz w:val="24"/>
                <w:szCs w:val="24"/>
                <w:vertAlign w:val="baseline"/>
              </w:rPr>
            </w:pPr>
            <w:r>
              <w:rPr>
                <w:rFonts w:eastAsia="宋体" w:cs="Times New Roman"/>
                <w:sz w:val="24"/>
                <w:szCs w:val="24"/>
              </w:rPr>
              <w:t>Eskalationspräferenz</w:t>
            </w:r>
          </w:p>
        </w:tc>
        <w:tc>
          <w:tcPr>
            <w:tcW w:w="2907" w:type="dxa"/>
            <w:tcBorders>
              <w:top w:val="single" w:color="000000" w:sz="4" w:space="0"/>
              <w:left w:val="single" w:color="000000" w:sz="4" w:space="0"/>
              <w:bottom w:val="single" w:color="000000" w:sz="4" w:space="0"/>
              <w:right w:val="single" w:color="000000" w:sz="4" w:space="0"/>
            </w:tcBorders>
          </w:tcPr>
          <w:p w14:paraId="5B590387">
            <w:pPr>
              <w:rPr>
                <w:rFonts w:ascii="Times New Roman" w:hAnsi="Times New Roman" w:eastAsia="宋体" w:cs="Times New Roman"/>
                <w:position w:val="0"/>
                <w:sz w:val="24"/>
                <w:szCs w:val="24"/>
                <w:vertAlign w:val="baseline"/>
              </w:rPr>
            </w:pPr>
            <w:r>
              <w:rPr>
                <w:rFonts w:eastAsia="宋体" w:cs="Times New Roman"/>
                <w:sz w:val="24"/>
                <w:szCs w:val="24"/>
              </w:rPr>
              <w:t>Formale Gespräche</w:t>
            </w:r>
          </w:p>
        </w:tc>
        <w:tc>
          <w:tcPr>
            <w:tcW w:w="2907" w:type="dxa"/>
            <w:tcBorders>
              <w:top w:val="single" w:color="000000" w:sz="4" w:space="0"/>
              <w:left w:val="single" w:color="000000" w:sz="4" w:space="0"/>
              <w:bottom w:val="single" w:color="000000" w:sz="4" w:space="0"/>
              <w:right w:val="single" w:color="000000" w:sz="4" w:space="0"/>
            </w:tcBorders>
          </w:tcPr>
          <w:p w14:paraId="007547C3">
            <w:pPr>
              <w:rPr>
                <w:rFonts w:ascii="Times New Roman" w:hAnsi="Times New Roman" w:eastAsia="宋体" w:cs="Times New Roman"/>
                <w:position w:val="0"/>
                <w:sz w:val="24"/>
                <w:szCs w:val="24"/>
                <w:vertAlign w:val="baseline"/>
              </w:rPr>
            </w:pPr>
            <w:r>
              <w:rPr>
                <w:rFonts w:eastAsia="宋体" w:cs="Times New Roman"/>
                <w:sz w:val="24"/>
                <w:szCs w:val="24"/>
              </w:rPr>
              <w:t>Informelle Vermittlung</w:t>
            </w:r>
          </w:p>
        </w:tc>
      </w:tr>
      <w:tr w14:paraId="1DC1B1D9">
        <w:tblPrEx>
          <w:tblCellMar>
            <w:top w:w="0" w:type="dxa"/>
            <w:left w:w="108" w:type="dxa"/>
            <w:bottom w:w="0" w:type="dxa"/>
            <w:right w:w="108" w:type="dxa"/>
          </w:tblCellMar>
        </w:tblPrEx>
        <w:tc>
          <w:tcPr>
            <w:tcW w:w="2906" w:type="dxa"/>
            <w:tcBorders>
              <w:top w:val="single" w:color="000000" w:sz="4" w:space="0"/>
              <w:left w:val="single" w:color="000000" w:sz="4" w:space="0"/>
              <w:bottom w:val="single" w:color="000000" w:sz="4" w:space="0"/>
              <w:right w:val="single" w:color="000000" w:sz="4" w:space="0"/>
            </w:tcBorders>
          </w:tcPr>
          <w:p w14:paraId="56083750">
            <w:pPr>
              <w:rPr>
                <w:rFonts w:ascii="Times New Roman" w:hAnsi="Times New Roman" w:eastAsia="宋体" w:cs="Times New Roman"/>
                <w:position w:val="0"/>
                <w:sz w:val="24"/>
                <w:szCs w:val="24"/>
                <w:vertAlign w:val="baseline"/>
              </w:rPr>
            </w:pPr>
            <w:r>
              <w:rPr>
                <w:rFonts w:eastAsia="宋体" w:cs="Times New Roman"/>
                <w:sz w:val="24"/>
                <w:szCs w:val="24"/>
              </w:rPr>
              <w:t>Führungseinfluss</w:t>
            </w:r>
          </w:p>
        </w:tc>
        <w:tc>
          <w:tcPr>
            <w:tcW w:w="2907" w:type="dxa"/>
            <w:tcBorders>
              <w:top w:val="single" w:color="000000" w:sz="4" w:space="0"/>
              <w:left w:val="single" w:color="000000" w:sz="4" w:space="0"/>
              <w:bottom w:val="single" w:color="000000" w:sz="4" w:space="0"/>
              <w:right w:val="single" w:color="000000" w:sz="4" w:space="0"/>
            </w:tcBorders>
          </w:tcPr>
          <w:p w14:paraId="1957792C">
            <w:pPr>
              <w:rPr>
                <w:rFonts w:ascii="Times New Roman" w:hAnsi="Times New Roman" w:eastAsia="宋体" w:cs="Times New Roman"/>
                <w:position w:val="0"/>
                <w:sz w:val="24"/>
                <w:szCs w:val="24"/>
                <w:vertAlign w:val="baseline"/>
              </w:rPr>
            </w:pPr>
            <w:r>
              <w:rPr>
                <w:rFonts w:eastAsia="宋体" w:cs="Times New Roman"/>
                <w:sz w:val="24"/>
                <w:szCs w:val="24"/>
              </w:rPr>
              <w:t>Partizipativ</w:t>
            </w:r>
          </w:p>
        </w:tc>
        <w:tc>
          <w:tcPr>
            <w:tcW w:w="2907" w:type="dxa"/>
            <w:tcBorders>
              <w:top w:val="single" w:color="000000" w:sz="4" w:space="0"/>
              <w:left w:val="single" w:color="000000" w:sz="4" w:space="0"/>
              <w:bottom w:val="single" w:color="000000" w:sz="4" w:space="0"/>
              <w:right w:val="single" w:color="000000" w:sz="4" w:space="0"/>
            </w:tcBorders>
          </w:tcPr>
          <w:p w14:paraId="4DFC3341">
            <w:pPr>
              <w:rPr>
                <w:rFonts w:ascii="Times New Roman" w:hAnsi="Times New Roman" w:eastAsia="宋体" w:cs="Times New Roman"/>
                <w:position w:val="0"/>
                <w:sz w:val="24"/>
                <w:szCs w:val="24"/>
                <w:vertAlign w:val="baseline"/>
              </w:rPr>
            </w:pPr>
            <w:r>
              <w:rPr>
                <w:rFonts w:eastAsia="宋体" w:cs="Times New Roman"/>
                <w:sz w:val="24"/>
                <w:szCs w:val="24"/>
              </w:rPr>
              <w:t>Hierarchieorientiert</w:t>
            </w:r>
          </w:p>
        </w:tc>
      </w:tr>
      <w:tr w14:paraId="1914868B">
        <w:tblPrEx>
          <w:tblCellMar>
            <w:top w:w="0" w:type="dxa"/>
            <w:left w:w="108" w:type="dxa"/>
            <w:bottom w:w="0" w:type="dxa"/>
            <w:right w:w="108" w:type="dxa"/>
          </w:tblCellMar>
        </w:tblPrEx>
        <w:tc>
          <w:tcPr>
            <w:tcW w:w="2906" w:type="dxa"/>
            <w:tcBorders>
              <w:top w:val="single" w:color="000000" w:sz="4" w:space="0"/>
              <w:left w:val="single" w:color="000000" w:sz="4" w:space="0"/>
              <w:bottom w:val="single" w:color="000000" w:sz="4" w:space="0"/>
              <w:right w:val="single" w:color="000000" w:sz="4" w:space="0"/>
            </w:tcBorders>
          </w:tcPr>
          <w:p w14:paraId="1C432312">
            <w:pPr>
              <w:rPr>
                <w:rFonts w:ascii="Times New Roman" w:hAnsi="Times New Roman" w:eastAsia="宋体" w:cs="Times New Roman"/>
                <w:position w:val="0"/>
                <w:sz w:val="24"/>
                <w:szCs w:val="24"/>
                <w:vertAlign w:val="baseline"/>
              </w:rPr>
            </w:pPr>
            <w:r>
              <w:rPr>
                <w:rFonts w:eastAsia="宋体" w:cs="Times New Roman"/>
                <w:sz w:val="24"/>
                <w:szCs w:val="24"/>
              </w:rPr>
              <w:t>Kommunikationsstil</w:t>
            </w:r>
          </w:p>
        </w:tc>
        <w:tc>
          <w:tcPr>
            <w:tcW w:w="2907" w:type="dxa"/>
            <w:tcBorders>
              <w:top w:val="single" w:color="000000" w:sz="4" w:space="0"/>
              <w:left w:val="single" w:color="000000" w:sz="4" w:space="0"/>
              <w:bottom w:val="single" w:color="000000" w:sz="4" w:space="0"/>
              <w:right w:val="single" w:color="000000" w:sz="4" w:space="0"/>
            </w:tcBorders>
          </w:tcPr>
          <w:p w14:paraId="25D05E10">
            <w:pPr>
              <w:rPr>
                <w:rFonts w:ascii="Times New Roman" w:hAnsi="Times New Roman" w:eastAsia="宋体" w:cs="Times New Roman"/>
                <w:position w:val="0"/>
                <w:sz w:val="24"/>
                <w:szCs w:val="24"/>
                <w:vertAlign w:val="baseline"/>
              </w:rPr>
            </w:pPr>
            <w:r>
              <w:rPr>
                <w:rFonts w:eastAsia="宋体" w:cs="Times New Roman"/>
                <w:sz w:val="24"/>
                <w:szCs w:val="24"/>
              </w:rPr>
              <w:t>Explizit</w:t>
            </w:r>
          </w:p>
        </w:tc>
        <w:tc>
          <w:tcPr>
            <w:tcW w:w="2907" w:type="dxa"/>
            <w:tcBorders>
              <w:top w:val="single" w:color="000000" w:sz="4" w:space="0"/>
              <w:left w:val="single" w:color="000000" w:sz="4" w:space="0"/>
              <w:bottom w:val="single" w:color="000000" w:sz="4" w:space="0"/>
              <w:right w:val="single" w:color="000000" w:sz="4" w:space="0"/>
            </w:tcBorders>
          </w:tcPr>
          <w:p w14:paraId="06CAA147">
            <w:pPr>
              <w:rPr>
                <w:rFonts w:ascii="Times New Roman" w:hAnsi="Times New Roman" w:eastAsia="宋体" w:cs="Times New Roman"/>
                <w:position w:val="0"/>
                <w:sz w:val="24"/>
                <w:szCs w:val="24"/>
                <w:vertAlign w:val="baseline"/>
              </w:rPr>
            </w:pPr>
            <w:r>
              <w:rPr>
                <w:rFonts w:eastAsia="宋体" w:cs="Times New Roman"/>
                <w:sz w:val="24"/>
                <w:szCs w:val="24"/>
              </w:rPr>
              <w:t>Implizit, respektbetont</w:t>
            </w:r>
          </w:p>
        </w:tc>
      </w:tr>
      <w:tr w14:paraId="36BE2014">
        <w:tblPrEx>
          <w:tblCellMar>
            <w:top w:w="0" w:type="dxa"/>
            <w:left w:w="108" w:type="dxa"/>
            <w:bottom w:w="0" w:type="dxa"/>
            <w:right w:w="108" w:type="dxa"/>
          </w:tblCellMar>
        </w:tblPrEx>
        <w:trPr>
          <w:trHeight w:val="471" w:hRule="atLeast"/>
        </w:trPr>
        <w:tc>
          <w:tcPr>
            <w:tcW w:w="2906" w:type="dxa"/>
            <w:tcBorders>
              <w:top w:val="single" w:color="000000" w:sz="4" w:space="0"/>
              <w:left w:val="single" w:color="000000" w:sz="4" w:space="0"/>
              <w:bottom w:val="single" w:color="000000" w:sz="4" w:space="0"/>
              <w:right w:val="single" w:color="000000" w:sz="4" w:space="0"/>
            </w:tcBorders>
          </w:tcPr>
          <w:p w14:paraId="7A4719A5">
            <w:pPr>
              <w:rPr>
                <w:rFonts w:ascii="Times New Roman" w:hAnsi="Times New Roman" w:eastAsia="宋体" w:cs="Times New Roman"/>
                <w:position w:val="0"/>
                <w:sz w:val="24"/>
                <w:szCs w:val="24"/>
                <w:vertAlign w:val="baseline"/>
              </w:rPr>
            </w:pPr>
            <w:r>
              <w:rPr>
                <w:rFonts w:eastAsia="宋体" w:cs="Times New Roman"/>
                <w:sz w:val="24"/>
                <w:szCs w:val="24"/>
              </w:rPr>
              <w:t>Zugang zu Systemen</w:t>
            </w:r>
          </w:p>
        </w:tc>
        <w:tc>
          <w:tcPr>
            <w:tcW w:w="2907" w:type="dxa"/>
            <w:tcBorders>
              <w:top w:val="single" w:color="000000" w:sz="4" w:space="0"/>
              <w:left w:val="single" w:color="000000" w:sz="4" w:space="0"/>
              <w:bottom w:val="single" w:color="000000" w:sz="4" w:space="0"/>
              <w:right w:val="single" w:color="000000" w:sz="4" w:space="0"/>
            </w:tcBorders>
          </w:tcPr>
          <w:p w14:paraId="6D579754">
            <w:pPr>
              <w:rPr>
                <w:rFonts w:ascii="Times New Roman" w:hAnsi="Times New Roman" w:eastAsia="宋体" w:cs="Times New Roman"/>
                <w:position w:val="0"/>
                <w:sz w:val="24"/>
                <w:szCs w:val="24"/>
                <w:vertAlign w:val="baseline"/>
              </w:rPr>
            </w:pPr>
            <w:r>
              <w:rPr>
                <w:rFonts w:eastAsia="宋体" w:cs="Times New Roman"/>
                <w:sz w:val="24"/>
                <w:szCs w:val="24"/>
              </w:rPr>
              <w:t>Transparent</w:t>
            </w:r>
          </w:p>
        </w:tc>
        <w:tc>
          <w:tcPr>
            <w:tcW w:w="2907" w:type="dxa"/>
            <w:tcBorders>
              <w:top w:val="single" w:color="000000" w:sz="4" w:space="0"/>
              <w:left w:val="single" w:color="000000" w:sz="4" w:space="0"/>
              <w:bottom w:val="single" w:color="000000" w:sz="4" w:space="0"/>
              <w:right w:val="single" w:color="000000" w:sz="4" w:space="0"/>
            </w:tcBorders>
          </w:tcPr>
          <w:p w14:paraId="5CF5DBDC">
            <w:pPr>
              <w:rPr>
                <w:rFonts w:ascii="Times New Roman" w:hAnsi="Times New Roman" w:eastAsia="宋体" w:cs="Times New Roman"/>
                <w:position w:val="0"/>
                <w:sz w:val="24"/>
                <w:szCs w:val="24"/>
                <w:vertAlign w:val="baseline"/>
              </w:rPr>
            </w:pPr>
            <w:r>
              <w:rPr>
                <w:rFonts w:eastAsia="宋体" w:cs="Times New Roman"/>
                <w:sz w:val="24"/>
                <w:szCs w:val="24"/>
              </w:rPr>
              <w:t>Vertraulich, „face</w:t>
            </w:r>
            <w:r>
              <w:rPr>
                <w:rFonts w:eastAsia="宋体" w:cs="Times New Roman"/>
                <w:sz w:val="24"/>
                <w:szCs w:val="24"/>
              </w:rPr>
              <w:noBreakHyphen/>
            </w:r>
            <w:r>
              <w:rPr>
                <w:rFonts w:eastAsia="宋体" w:cs="Times New Roman"/>
                <w:sz w:val="24"/>
                <w:szCs w:val="24"/>
              </w:rPr>
              <w:t>sensitive“</w:t>
            </w:r>
          </w:p>
        </w:tc>
      </w:tr>
    </w:tbl>
    <w:p w14:paraId="7F0AA752">
      <w:pPr>
        <w:rPr>
          <w:rFonts w:ascii="宋体" w:hAnsi="宋体" w:eastAsia="宋体" w:cs="宋体"/>
          <w:sz w:val="24"/>
          <w:szCs w:val="24"/>
        </w:rPr>
      </w:pPr>
    </w:p>
    <w:p w14:paraId="08DA5D4E">
      <w:pPr>
        <w:pStyle w:val="2"/>
        <w:rPr>
          <w:rFonts w:ascii="Times New Roman" w:hAnsi="Times New Roman" w:eastAsia="宋体" w:cs="Times New Roman"/>
          <w:sz w:val="20"/>
          <w:szCs w:val="20"/>
          <w:lang w:val="en-US" w:eastAsia="zh-CN" w:bidi="ar-SA"/>
        </w:rPr>
      </w:pPr>
      <w:r>
        <w:rPr>
          <w:rFonts w:ascii="Times New Roman" w:hAnsi="Times New Roman" w:eastAsia="宋体" w:cs="Times New Roman"/>
          <w:sz w:val="20"/>
          <w:szCs w:val="20"/>
          <w:lang w:val="en-US" w:eastAsia="zh-CN" w:bidi="ar-SA"/>
        </w:rPr>
        <w:t>Quelle: Eigene Analyse basierend auf interkulturellen Konfliktmodellen und Fachliteratur</w:t>
      </w:r>
    </w:p>
    <w:p w14:paraId="3533DD30">
      <w:pPr>
        <w:pStyle w:val="2"/>
        <w:rPr>
          <w:rFonts w:ascii="宋体" w:hAnsi="宋体" w:eastAsia="宋体" w:cs="宋体"/>
          <w:sz w:val="24"/>
          <w:szCs w:val="24"/>
          <w:lang w:val="en-US" w:eastAsia="zh-CN" w:bidi="ar-SA"/>
        </w:rPr>
      </w:pPr>
    </w:p>
    <w:p w14:paraId="29F838F2">
      <w:pPr>
        <w:pStyle w:val="2"/>
        <w:rPr>
          <w:rFonts w:ascii="宋体" w:hAnsi="宋体" w:eastAsia="宋体" w:cs="宋体"/>
          <w:sz w:val="24"/>
          <w:szCs w:val="24"/>
          <w:lang w:val="en-US" w:eastAsia="zh-CN"/>
        </w:rPr>
      </w:pPr>
    </w:p>
    <w:p w14:paraId="1DC3BA2A">
      <w:pPr>
        <w:pStyle w:val="5"/>
        <w:numPr>
          <w:ilvl w:val="1"/>
          <w:numId w:val="1"/>
        </w:numPr>
        <w:bidi w:val="0"/>
        <w:ind w:left="576" w:leftChars="0" w:hanging="576" w:firstLineChars="0"/>
        <w:rPr>
          <w:lang w:val="de-DE" w:eastAsia="de-DE"/>
        </w:rPr>
      </w:pPr>
      <w:bookmarkStart w:id="43" w:name="_Toc24519"/>
      <w:bookmarkStart w:id="44" w:name="_Toc25559"/>
      <w:r>
        <w:rPr>
          <w:lang w:val="de-DE" w:eastAsia="de-DE"/>
        </w:rPr>
        <w:t>Erfolgsfaktoren und Messgrößen im Konfliktmanagement</w:t>
      </w:r>
      <w:bookmarkEnd w:id="43"/>
      <w:bookmarkEnd w:id="44"/>
    </w:p>
    <w:p w14:paraId="35DC23F3">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Ein effektives Konfliktmanagementsystem muss nicht nur Konflikte lösen, sondern auch zur kontinuierlichen Organisationsentwicklung und Lernprozessen beitragen. Um die Wirksamkeit von Konfliktlösungsinstrumenten zu messen, sollten Messgrößen und Monitoring-Systeme eingeführt werden.</w:t>
      </w:r>
    </w:p>
    <w:p w14:paraId="5657AE0B">
      <w:pPr>
        <w:rPr>
          <w:rFonts w:ascii="Times New Roman" w:hAnsi="Times New Roman" w:eastAsia="宋体" w:cs="Times New Roman"/>
          <w:sz w:val="24"/>
          <w:szCs w:val="24"/>
          <w:lang w:val="de-DE" w:eastAsia="de-DE" w:bidi="ar-SA"/>
        </w:rPr>
      </w:pPr>
    </w:p>
    <w:p w14:paraId="24DE5ED3">
      <w:pPr>
        <w:pStyle w:val="6"/>
        <w:numPr>
          <w:ilvl w:val="2"/>
          <w:numId w:val="1"/>
        </w:numPr>
        <w:bidi w:val="0"/>
        <w:ind w:left="720" w:leftChars="0" w:hanging="720" w:firstLineChars="0"/>
        <w:rPr>
          <w:lang w:val="de-DE" w:eastAsia="de-DE"/>
        </w:rPr>
      </w:pPr>
      <w:bookmarkStart w:id="45" w:name="_Toc16954"/>
      <w:bookmarkStart w:id="46" w:name="_Toc15997"/>
      <w:r>
        <w:rPr>
          <w:lang w:val="de-DE" w:eastAsia="de-DE"/>
        </w:rPr>
        <w:t>Mehrkanaliger Zugang</w:t>
      </w:r>
      <w:bookmarkEnd w:id="45"/>
      <w:bookmarkEnd w:id="46"/>
    </w:p>
    <w:p w14:paraId="767B9D36">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Erfolgreiches Konfliktmanagement zeichnet sich durch mehrere Zugangswege aus, die es den Mitarbeitenden ermöglichen, Konflikte auf unterschiedliche Weise zu melden, je nach dem, wie sie mit den formellen und informellen Wegen vertraut sind. In chinesischen Unternehmen, in denen Face-Wahrung und Hierarchie eine Rolle spielen, ist es besonders wichtig, dass Mitarbeitende die Möglichkeit haben, Konflikte zunächst informell oder anonym zu melden.</w:t>
      </w:r>
    </w:p>
    <w:p w14:paraId="12C0A935">
      <w:pPr>
        <w:keepNext w:val="0"/>
        <w:keepLines w:val="0"/>
        <w:pageBreakBefore w:val="0"/>
        <w:widowControl/>
        <w:kinsoku/>
        <w:overflowPunct/>
        <w:autoSpaceDE/>
        <w:bidi w:val="0"/>
        <w:snapToGrid/>
        <w:spacing w:before="0" w:after="120" w:line="360" w:lineRule="auto"/>
        <w:textAlignment w:val="auto"/>
        <w:rPr>
          <w:rFonts w:ascii="Times New Roman" w:hAnsi="Times New Roman" w:eastAsia="宋体" w:cs="Times New Roman"/>
          <w:sz w:val="24"/>
          <w:szCs w:val="24"/>
          <w:lang w:val="de-DE" w:eastAsia="de-DE" w:bidi="ar-SA"/>
        </w:rPr>
      </w:pPr>
    </w:p>
    <w:p w14:paraId="387C3D34">
      <w:pPr>
        <w:pStyle w:val="6"/>
        <w:numPr>
          <w:ilvl w:val="2"/>
          <w:numId w:val="1"/>
        </w:numPr>
        <w:bidi w:val="0"/>
        <w:ind w:left="720" w:leftChars="0" w:hanging="720" w:firstLineChars="0"/>
      </w:pPr>
      <w:bookmarkStart w:id="47" w:name="_Toc24114"/>
      <w:bookmarkStart w:id="48" w:name="_Toc14892"/>
      <w:r>
        <w:rPr>
          <w:lang w:val="de-DE" w:eastAsia="de-DE"/>
        </w:rPr>
        <w:t>Monitoring und kontinuierliche Verbesserung</w:t>
      </w:r>
      <w:bookmarkEnd w:id="47"/>
      <w:bookmarkEnd w:id="48"/>
    </w:p>
    <w:p w14:paraId="02F596CF">
      <w:pPr>
        <w:keepNext w:val="0"/>
        <w:keepLines w:val="0"/>
        <w:pageBreakBefore w:val="0"/>
        <w:widowControl/>
        <w:numPr>
          <w:ilvl w:val="0"/>
          <w:numId w:val="0"/>
        </w:numPr>
        <w:kinsoku/>
        <w:overflowPunct/>
        <w:autoSpaceDE/>
        <w:bidi w:val="0"/>
        <w:snapToGrid/>
        <w:spacing w:before="0" w:after="120" w:line="360" w:lineRule="auto"/>
        <w:ind w:left="0" w:firstLine="0"/>
        <w:textAlignment w:val="auto"/>
        <w:rPr>
          <w:rFonts w:ascii="Times New Roman" w:hAnsi="Times New Roman" w:eastAsia="宋体" w:cs="Times New Roman"/>
          <w:sz w:val="24"/>
          <w:szCs w:val="24"/>
          <w:lang w:val="de-DE" w:eastAsia="de-DE" w:bidi="ar-SA"/>
        </w:rPr>
      </w:pPr>
      <w:r>
        <w:rPr>
          <w:rFonts w:ascii="Times New Roman" w:hAnsi="Times New Roman" w:eastAsia="宋体" w:cs="Times New Roman"/>
          <w:sz w:val="24"/>
          <w:szCs w:val="24"/>
          <w:lang w:val="de-DE" w:eastAsia="de-DE" w:bidi="ar-SA"/>
        </w:rPr>
        <w:t>Um die Effektivität des Konfliktmanagementsystems sicherzustellen, sollten Daten zu Konflikten, Bearbeitungszeiten, Eskalationsstufen und Beteiligtenfeedback systematisch erfasst werden. Diese Daten können dann genutzt werden, um Prozesse zu optimieren und sicherzustellen, dass Konfliktmanagementsysteme kontinuierlich verbessert werden. Alibaba nutzt beispielsweise Big Data und Analytik, um Konflikte zu überwachen und frühzeitig auf Probleme zu reagieren, bevor sie eskalieren.</w:t>
      </w:r>
    </w:p>
    <w:p w14:paraId="31F6A121">
      <w:pPr>
        <w:pStyle w:val="2"/>
        <w:rPr>
          <w:rFonts w:ascii="Times New Roman" w:hAnsi="Times New Roman" w:eastAsia="宋体" w:cs="Times New Roman"/>
          <w:sz w:val="24"/>
          <w:szCs w:val="24"/>
          <w:lang w:val="de-DE" w:eastAsia="de-DE" w:bidi="ar-SA"/>
        </w:rPr>
      </w:pPr>
    </w:p>
    <w:p w14:paraId="15D328EB">
      <w:pPr>
        <w:pStyle w:val="2"/>
        <w:rPr>
          <w:rFonts w:ascii="Times New Roman" w:hAnsi="Times New Roman" w:eastAsia="宋体" w:cs="Times New Roman"/>
          <w:sz w:val="24"/>
          <w:szCs w:val="24"/>
          <w:lang w:val="de-DE" w:eastAsia="de-DE" w:bidi="ar-SA"/>
        </w:rPr>
      </w:pPr>
    </w:p>
    <w:p w14:paraId="083A4F8D">
      <w:pPr>
        <w:pStyle w:val="2"/>
        <w:rPr>
          <w:rFonts w:ascii="Times New Roman" w:hAnsi="Times New Roman" w:eastAsia="宋体" w:cs="Times New Roman"/>
          <w:sz w:val="24"/>
          <w:szCs w:val="24"/>
          <w:lang w:val="de-DE" w:eastAsia="de-DE" w:bidi="ar-SA"/>
        </w:rPr>
      </w:pPr>
    </w:p>
    <w:p w14:paraId="107F7FEE">
      <w:pPr>
        <w:pStyle w:val="3"/>
        <w:bidi w:val="0"/>
      </w:pPr>
      <w:r>
        <w:t xml:space="preserve"> </w:t>
      </w:r>
      <w:bookmarkStart w:id="49" w:name="_Toc130"/>
      <w:bookmarkStart w:id="50" w:name="_Toc15336"/>
      <w:r>
        <w:t>Beispiele fur betriebliche Konfliktfalle in China</w:t>
      </w:r>
      <w:bookmarkEnd w:id="49"/>
      <w:bookmarkEnd w:id="50"/>
    </w:p>
    <w:p w14:paraId="22119BDD">
      <w:pPr>
        <w:pStyle w:val="2"/>
      </w:pPr>
    </w:p>
    <w:p w14:paraId="6680F66E">
      <w:pPr>
        <w:pStyle w:val="2"/>
      </w:pPr>
    </w:p>
    <w:p w14:paraId="0705B5F1">
      <w:pPr>
        <w:pStyle w:val="5"/>
        <w:numPr>
          <w:ilvl w:val="1"/>
          <w:numId w:val="1"/>
        </w:numPr>
        <w:bidi w:val="0"/>
        <w:ind w:left="576" w:leftChars="0" w:hanging="576" w:firstLineChars="0"/>
      </w:pPr>
      <w:bookmarkStart w:id="51" w:name="_Toc13913"/>
      <w:bookmarkStart w:id="52" w:name="_Toc20809"/>
      <w:r>
        <w:t>Alibaba Group</w:t>
      </w:r>
      <w:bookmarkEnd w:id="51"/>
      <w:bookmarkEnd w:id="52"/>
    </w:p>
    <w:p w14:paraId="7702DA97">
      <w:pPr>
        <w:pStyle w:val="6"/>
        <w:numPr>
          <w:ilvl w:val="2"/>
          <w:numId w:val="1"/>
        </w:numPr>
        <w:bidi w:val="0"/>
        <w:ind w:left="720" w:leftChars="0" w:hanging="720" w:firstLineChars="0"/>
      </w:pPr>
      <w:r>
        <w:t xml:space="preserve"> </w:t>
      </w:r>
      <w:bookmarkStart w:id="53" w:name="_Toc53"/>
      <w:bookmarkStart w:id="54" w:name="_Toc5788"/>
      <w:r>
        <w:t>Hintergrund und Zielsetzung der KM-Ansätze</w:t>
      </w:r>
      <w:bookmarkEnd w:id="53"/>
      <w:bookmarkEnd w:id="54"/>
    </w:p>
    <w:p w14:paraId="03055360"/>
    <w:p w14:paraId="0DC87745">
      <w:pPr>
        <w:pStyle w:val="6"/>
        <w:numPr>
          <w:ilvl w:val="2"/>
          <w:numId w:val="1"/>
        </w:numPr>
        <w:bidi w:val="0"/>
        <w:ind w:left="720" w:leftChars="0" w:hanging="720" w:firstLineChars="0"/>
      </w:pPr>
      <w:bookmarkStart w:id="55" w:name="_Toc23401"/>
      <w:bookmarkStart w:id="56" w:name="_Toc30387"/>
      <w:r>
        <w:t>Mechanismen, Wirkung und Good Practices</w:t>
      </w:r>
      <w:bookmarkEnd w:id="55"/>
      <w:bookmarkEnd w:id="56"/>
    </w:p>
    <w:p w14:paraId="5440F1F0">
      <w:pPr>
        <w:pStyle w:val="2"/>
      </w:pPr>
    </w:p>
    <w:p w14:paraId="38230C02">
      <w:pPr>
        <w:pStyle w:val="5"/>
        <w:numPr>
          <w:ilvl w:val="1"/>
          <w:numId w:val="1"/>
        </w:numPr>
        <w:bidi w:val="0"/>
        <w:ind w:left="576" w:leftChars="0" w:hanging="576" w:firstLineChars="0"/>
      </w:pPr>
      <w:bookmarkStart w:id="57" w:name="_Toc28319"/>
      <w:bookmarkStart w:id="58" w:name="_Toc17646"/>
      <w:r>
        <w:t>JD.Com</w:t>
      </w:r>
      <w:bookmarkEnd w:id="57"/>
      <w:bookmarkEnd w:id="58"/>
    </w:p>
    <w:p w14:paraId="241690AF">
      <w:pPr>
        <w:pStyle w:val="6"/>
        <w:numPr>
          <w:ilvl w:val="2"/>
          <w:numId w:val="1"/>
        </w:numPr>
        <w:bidi w:val="0"/>
        <w:ind w:left="720" w:leftChars="0" w:hanging="720" w:firstLineChars="0"/>
      </w:pPr>
      <w:r>
        <w:t xml:space="preserve"> </w:t>
      </w:r>
      <w:bookmarkStart w:id="59" w:name="_Toc6392"/>
      <w:bookmarkStart w:id="60" w:name="_Toc21162"/>
      <w:r>
        <w:t>Struktur, Konfliktanlässe und Reaktionsmuster</w:t>
      </w:r>
      <w:bookmarkEnd w:id="59"/>
      <w:bookmarkEnd w:id="60"/>
    </w:p>
    <w:p w14:paraId="789EC4BA">
      <w:pPr>
        <w:pStyle w:val="2"/>
      </w:pPr>
    </w:p>
    <w:p w14:paraId="5CB72D43">
      <w:pPr>
        <w:pStyle w:val="2"/>
      </w:pPr>
    </w:p>
    <w:p w14:paraId="52BDB11B">
      <w:pPr>
        <w:pStyle w:val="6"/>
        <w:numPr>
          <w:ilvl w:val="2"/>
          <w:numId w:val="1"/>
        </w:numPr>
        <w:bidi w:val="0"/>
        <w:ind w:left="720" w:leftChars="0" w:hanging="720" w:firstLineChars="0"/>
      </w:pPr>
      <w:r>
        <w:t xml:space="preserve"> </w:t>
      </w:r>
      <w:bookmarkStart w:id="61" w:name="_Toc13999"/>
      <w:bookmarkStart w:id="62" w:name="_Toc13401"/>
      <w:r>
        <w:t>Lernpunkte und Verbesserungsbedarf</w:t>
      </w:r>
      <w:bookmarkEnd w:id="61"/>
      <w:bookmarkEnd w:id="62"/>
    </w:p>
    <w:p w14:paraId="5FC7A82E">
      <w:pPr>
        <w:pStyle w:val="2"/>
      </w:pPr>
    </w:p>
    <w:p w14:paraId="2A82A840">
      <w:pPr>
        <w:pStyle w:val="5"/>
        <w:numPr>
          <w:ilvl w:val="1"/>
          <w:numId w:val="1"/>
        </w:numPr>
        <w:bidi w:val="0"/>
        <w:ind w:left="576" w:leftChars="0" w:hanging="576" w:firstLineChars="0"/>
      </w:pPr>
      <w:bookmarkStart w:id="63" w:name="_Toc27958"/>
      <w:bookmarkStart w:id="64" w:name="_Toc21014"/>
      <w:r>
        <w:t>Dialektische Analyse (Alibaba vs. JD.com)</w:t>
      </w:r>
      <w:bookmarkEnd w:id="63"/>
      <w:bookmarkEnd w:id="64"/>
    </w:p>
    <w:p w14:paraId="0D065E1E">
      <w:r>
        <w:t>Der Vergleich der beiden Fallunternehmen verdeutlicht, dass Konfliktmanagement einerseits stark durch Unternehmensstruktur, Führungskultur und digitale Prozesse geprägt ist, andererseits aber auch vergleichbare Zielgrößen adressiert: Konfliktkosten, Prozessstabilität sowie Reputation bei Mitarbeitenden, Kundschaft und Kapitalmarkt. Tabelle 2 fasst zentrale Vergleichsdimensionen zusammen.</w:t>
      </w:r>
      <w:r>
        <w:rPr>
          <w:vertAlign w:val="superscript"/>
        </w:rPr>
        <w:t>25</w:t>
      </w:r>
    </w:p>
    <w:p w14:paraId="699BF791">
      <w:r>
        <w:rPr>
          <w:b/>
        </w:rPr>
        <w:t>Tabelle 2: Vergleich Alibaba Group vs. JD.com – Konfliktmanagement, Governance und Kommunikationswirkung.</w:t>
      </w:r>
    </w:p>
    <w:tbl>
      <w:tblPr>
        <w:tblStyle w:val="33"/>
        <w:tblW w:w="0" w:type="auto"/>
        <w:tblInd w:w="0" w:type="dxa"/>
        <w:tblLayout w:type="autofit"/>
        <w:tblCellMar>
          <w:top w:w="0" w:type="dxa"/>
          <w:left w:w="10" w:type="dxa"/>
          <w:bottom w:w="0" w:type="dxa"/>
          <w:right w:w="10" w:type="dxa"/>
        </w:tblCellMar>
      </w:tblPr>
      <w:tblGrid>
        <w:gridCol w:w="1801"/>
        <w:gridCol w:w="2367"/>
        <w:gridCol w:w="2311"/>
        <w:gridCol w:w="2045"/>
      </w:tblGrid>
      <w:tr w14:paraId="3F7F7E84">
        <w:tblPrEx>
          <w:tblCellMar>
            <w:top w:w="0" w:type="dxa"/>
            <w:left w:w="10" w:type="dxa"/>
            <w:bottom w:w="0" w:type="dxa"/>
            <w:right w:w="10" w:type="dxa"/>
          </w:tblCellMar>
        </w:tblPrEx>
        <w:tc>
          <w:tcPr>
            <w:tcW w:w="2126" w:type="dxa"/>
          </w:tcPr>
          <w:p w14:paraId="6D30304A">
            <w:r>
              <w:t>Dimension</w:t>
            </w:r>
          </w:p>
        </w:tc>
        <w:tc>
          <w:tcPr>
            <w:tcW w:w="2126" w:type="dxa"/>
          </w:tcPr>
          <w:p w14:paraId="52EDB056">
            <w:r>
              <w:t>Alibaba</w:t>
            </w:r>
          </w:p>
        </w:tc>
        <w:tc>
          <w:tcPr>
            <w:tcW w:w="2126" w:type="dxa"/>
          </w:tcPr>
          <w:p w14:paraId="75D6BA77">
            <w:r>
              <w:t>JD.com</w:t>
            </w:r>
          </w:p>
        </w:tc>
        <w:tc>
          <w:tcPr>
            <w:tcW w:w="2126" w:type="dxa"/>
          </w:tcPr>
          <w:p w14:paraId="4E0080F2">
            <w:r>
              <w:t>Bewertungs-/Marketing-Implikation</w:t>
            </w:r>
          </w:p>
        </w:tc>
      </w:tr>
      <w:tr w14:paraId="656046AE">
        <w:tblPrEx>
          <w:tblCellMar>
            <w:top w:w="0" w:type="dxa"/>
            <w:left w:w="10" w:type="dxa"/>
            <w:bottom w:w="0" w:type="dxa"/>
            <w:right w:w="10" w:type="dxa"/>
          </w:tblCellMar>
        </w:tblPrEx>
        <w:tc>
          <w:tcPr>
            <w:tcW w:w="2126" w:type="dxa"/>
          </w:tcPr>
          <w:p w14:paraId="5F20936E">
            <w:r>
              <w:t>Struktur/Koordination</w:t>
            </w:r>
          </w:p>
        </w:tc>
        <w:tc>
          <w:tcPr>
            <w:tcW w:w="2126" w:type="dxa"/>
          </w:tcPr>
          <w:p w14:paraId="7604950B">
            <w:r>
              <w:t>Ökosystem/Plattform, hohe Komplexität</w:t>
            </w:r>
          </w:p>
        </w:tc>
        <w:tc>
          <w:tcPr>
            <w:tcW w:w="2126" w:type="dxa"/>
          </w:tcPr>
          <w:p w14:paraId="5AD36BD5">
            <w:r>
              <w:t>E‑Commerce/Logistik, prozessgetrieben</w:t>
            </w:r>
          </w:p>
        </w:tc>
        <w:tc>
          <w:tcPr>
            <w:tcW w:w="2126" w:type="dxa"/>
          </w:tcPr>
          <w:p w14:paraId="70CA779C">
            <w:r>
              <w:t>Komplexität beeinflusst Risiko- und Governance‑Bewertung</w:t>
            </w:r>
          </w:p>
        </w:tc>
      </w:tr>
      <w:tr w14:paraId="109227A3">
        <w:tblPrEx>
          <w:tblCellMar>
            <w:top w:w="0" w:type="dxa"/>
            <w:left w:w="10" w:type="dxa"/>
            <w:bottom w:w="0" w:type="dxa"/>
            <w:right w:w="10" w:type="dxa"/>
          </w:tblCellMar>
        </w:tblPrEx>
        <w:tc>
          <w:tcPr>
            <w:tcW w:w="2126" w:type="dxa"/>
          </w:tcPr>
          <w:p w14:paraId="231C375C">
            <w:r>
              <w:t>Frühwarnsysteme</w:t>
            </w:r>
          </w:p>
        </w:tc>
        <w:tc>
          <w:tcPr>
            <w:tcW w:w="2126" w:type="dxa"/>
          </w:tcPr>
          <w:p w14:paraId="7998D05F">
            <w:r>
              <w:t>Digitale Meldesysteme &amp; Analytics‑Nutzung</w:t>
            </w:r>
          </w:p>
        </w:tc>
        <w:tc>
          <w:tcPr>
            <w:tcW w:w="2126" w:type="dxa"/>
          </w:tcPr>
          <w:p w14:paraId="325372C2">
            <w:r>
              <w:t>Stärker hierarchische Eskalation, Compliance‑Fokus</w:t>
            </w:r>
          </w:p>
        </w:tc>
        <w:tc>
          <w:tcPr>
            <w:tcW w:w="2126" w:type="dxa"/>
          </w:tcPr>
          <w:p w14:paraId="48508D8A">
            <w:r>
              <w:t>Transparenz reduziert Unsicherheit in Analyse/Kommunikation</w:t>
            </w:r>
          </w:p>
        </w:tc>
      </w:tr>
      <w:tr w14:paraId="41B732B4">
        <w:tblPrEx>
          <w:tblCellMar>
            <w:top w:w="0" w:type="dxa"/>
            <w:left w:w="10" w:type="dxa"/>
            <w:bottom w:w="0" w:type="dxa"/>
            <w:right w:w="10" w:type="dxa"/>
          </w:tblCellMar>
        </w:tblPrEx>
        <w:tc>
          <w:tcPr>
            <w:tcW w:w="2126" w:type="dxa"/>
          </w:tcPr>
          <w:p w14:paraId="24EF3EA7">
            <w:r>
              <w:t>Konfliktbearbeitung</w:t>
            </w:r>
          </w:p>
        </w:tc>
        <w:tc>
          <w:tcPr>
            <w:tcW w:w="2126" w:type="dxa"/>
          </w:tcPr>
          <w:p w14:paraId="13D67E08">
            <w:r>
              <w:t>Mediation/Ombuds‑ähnliche Kanäle, schnelle De‑Eskalation</w:t>
            </w:r>
          </w:p>
        </w:tc>
        <w:tc>
          <w:tcPr>
            <w:tcW w:w="2126" w:type="dxa"/>
          </w:tcPr>
          <w:p w14:paraId="4B0AD880">
            <w:r>
              <w:t>Formalisierte Regeln und Kontrollmechanismen</w:t>
            </w:r>
          </w:p>
        </w:tc>
        <w:tc>
          <w:tcPr>
            <w:tcW w:w="2126" w:type="dxa"/>
          </w:tcPr>
          <w:p w14:paraId="203C1A7A">
            <w:r>
              <w:t>Schnelligkeit beeinflusst Reputationsschäden in digitalen Kanälen</w:t>
            </w:r>
          </w:p>
        </w:tc>
      </w:tr>
      <w:tr w14:paraId="3CCBCD7C">
        <w:tblPrEx>
          <w:tblCellMar>
            <w:top w:w="0" w:type="dxa"/>
            <w:left w:w="10" w:type="dxa"/>
            <w:bottom w:w="0" w:type="dxa"/>
            <w:right w:w="10" w:type="dxa"/>
          </w:tblCellMar>
        </w:tblPrEx>
        <w:tc>
          <w:tcPr>
            <w:tcW w:w="2126" w:type="dxa"/>
          </w:tcPr>
          <w:p w14:paraId="096A3E30">
            <w:r>
              <w:t>Externe Wahrnehmung</w:t>
            </w:r>
          </w:p>
        </w:tc>
        <w:tc>
          <w:tcPr>
            <w:tcW w:w="2126" w:type="dxa"/>
          </w:tcPr>
          <w:p w14:paraId="1C39FA58">
            <w:r>
              <w:t>Hohe Medien- und Kapitalmarktaufmerksamkeit</w:t>
            </w:r>
          </w:p>
        </w:tc>
        <w:tc>
          <w:tcPr>
            <w:tcW w:w="2126" w:type="dxa"/>
          </w:tcPr>
          <w:p w14:paraId="52EE888D">
            <w:r>
              <w:t>Stärker operativ/lieferkettenbezogen</w:t>
            </w:r>
          </w:p>
        </w:tc>
        <w:tc>
          <w:tcPr>
            <w:tcW w:w="2126" w:type="dxa"/>
          </w:tcPr>
          <w:p w14:paraId="2045AEAD">
            <w:r>
              <w:t>Online‑Kommunikation verstärkt positive/negative Signale</w:t>
            </w:r>
          </w:p>
        </w:tc>
      </w:tr>
    </w:tbl>
    <w:p w14:paraId="5EB3DF43">
      <w:pPr>
        <w:pStyle w:val="2"/>
      </w:pPr>
    </w:p>
    <w:p w14:paraId="0D2DF719">
      <w:pPr>
        <w:pStyle w:val="2"/>
      </w:pPr>
      <w:r>
        <w:br w:type="page"/>
      </w:r>
    </w:p>
    <w:p w14:paraId="0CDEB6E8">
      <w:pPr>
        <w:pStyle w:val="3"/>
        <w:bidi w:val="0"/>
      </w:pPr>
      <w:bookmarkStart w:id="65" w:name="_Toc10440"/>
      <w:bookmarkStart w:id="66" w:name="_Toc17970"/>
      <w:r>
        <w:rPr>
          <w:lang w:val="de-DE"/>
        </w:rPr>
        <w:t>Zusammenfassung/</w:t>
      </w:r>
      <w:r>
        <w:t>Fazit</w:t>
      </w:r>
      <w:bookmarkEnd w:id="65"/>
      <w:bookmarkEnd w:id="66"/>
    </w:p>
    <w:p w14:paraId="44F21AB5">
      <w:pPr>
        <w:pStyle w:val="2"/>
        <w:rPr>
          <w:lang w:val="en-US"/>
        </w:rPr>
      </w:pPr>
    </w:p>
    <w:p w14:paraId="15970BDF">
      <w:pPr>
        <w:pStyle w:val="2"/>
        <w:rPr>
          <w:lang w:val="en-US"/>
        </w:rPr>
      </w:pPr>
    </w:p>
    <w:p w14:paraId="175F1326">
      <w:pPr>
        <w:pStyle w:val="2"/>
        <w:rPr>
          <w:lang w:val="en-US"/>
        </w:rPr>
      </w:pPr>
    </w:p>
    <w:p w14:paraId="4B22A83C">
      <w:pPr>
        <w:pStyle w:val="2"/>
        <w:rPr>
          <w:lang w:val="en-US"/>
        </w:rPr>
      </w:pPr>
    </w:p>
    <w:p w14:paraId="7CC6D7FB">
      <w:pPr>
        <w:pStyle w:val="2"/>
        <w:rPr>
          <w:lang w:val="en-US"/>
        </w:rPr>
      </w:pPr>
    </w:p>
    <w:p w14:paraId="556C4530">
      <w:pPr>
        <w:pStyle w:val="2"/>
        <w:rPr>
          <w:lang w:val="en-US"/>
        </w:rPr>
      </w:pPr>
    </w:p>
    <w:p w14:paraId="28844E1F">
      <w:pPr>
        <w:pStyle w:val="2"/>
        <w:rPr>
          <w:lang w:val="en-US"/>
        </w:rPr>
      </w:pPr>
    </w:p>
    <w:p w14:paraId="250A8533">
      <w:pPr>
        <w:pStyle w:val="2"/>
        <w:rPr>
          <w:lang w:val="en-US"/>
        </w:rPr>
      </w:pPr>
    </w:p>
    <w:p w14:paraId="27493E1F">
      <w:pPr>
        <w:pStyle w:val="2"/>
        <w:rPr>
          <w:lang w:val="en-US"/>
        </w:rPr>
      </w:pPr>
    </w:p>
    <w:p w14:paraId="0CE37A52">
      <w:pPr>
        <w:pStyle w:val="2"/>
        <w:rPr>
          <w:lang w:val="en-US"/>
        </w:rPr>
      </w:pPr>
    </w:p>
    <w:p w14:paraId="17D7D933">
      <w:pPr>
        <w:pStyle w:val="2"/>
        <w:rPr>
          <w:lang w:val="en-US"/>
        </w:rPr>
      </w:pPr>
    </w:p>
    <w:p w14:paraId="77157BAF">
      <w:pPr>
        <w:pStyle w:val="2"/>
        <w:rPr>
          <w:lang w:val="en-US"/>
        </w:rPr>
      </w:pPr>
    </w:p>
    <w:p w14:paraId="62FD34A2">
      <w:pPr>
        <w:pStyle w:val="2"/>
        <w:rPr>
          <w:lang w:val="en-US"/>
        </w:rPr>
      </w:pPr>
    </w:p>
    <w:p w14:paraId="6AD0CEF8">
      <w:pPr>
        <w:pStyle w:val="2"/>
        <w:rPr>
          <w:lang w:val="en-US"/>
        </w:rPr>
      </w:pPr>
    </w:p>
    <w:p w14:paraId="50B010EC">
      <w:pPr>
        <w:pStyle w:val="2"/>
        <w:rPr>
          <w:lang w:val="en-US"/>
        </w:rPr>
      </w:pPr>
    </w:p>
    <w:p w14:paraId="32931029">
      <w:pPr>
        <w:pStyle w:val="2"/>
        <w:outlineLvl w:val="9"/>
      </w:pPr>
      <w:r>
        <w:br w:type="page"/>
      </w:r>
    </w:p>
    <w:p w14:paraId="7DE31F52">
      <w:pPr>
        <w:pStyle w:val="3"/>
        <w:numPr>
          <w:ilvl w:val="0"/>
          <w:numId w:val="0"/>
        </w:numPr>
        <w:ind w:left="0" w:firstLine="0"/>
        <w:jc w:val="left"/>
      </w:pPr>
      <w:bookmarkStart w:id="67" w:name="_Toc28175"/>
      <w:bookmarkStart w:id="68" w:name="_Toc212"/>
      <w:r>
        <w:t>Literaturverzeichnis</w:t>
      </w:r>
      <w:bookmarkEnd w:id="67"/>
      <w:bookmarkEnd w:id="68"/>
    </w:p>
    <w:p w14:paraId="3E42A238">
      <w:pPr>
        <w:pStyle w:val="2"/>
      </w:pPr>
      <w:r>
        <w:t>Bücher und Sammelbände (SpringerLink, 2015–2025):</w:t>
      </w:r>
    </w:p>
    <w:p w14:paraId="35D3FD68">
      <w:pPr>
        <w:pStyle w:val="101"/>
      </w:pPr>
      <w:r>
        <w:t>Felden, Birgit; Graffius, Michael (2024): Grundlagen der Unternehmensbewertung. In: Unternehmensbewertung von KMU. Springer Gabler, Wiesbaden. DOI: 10.1007/978-3-658-45509-5_2.</w:t>
      </w:r>
    </w:p>
    <w:p w14:paraId="4B45A745">
      <w:pPr>
        <w:pStyle w:val="101"/>
      </w:pPr>
      <w:r>
        <w:t>Behringer, Stefan; Follert, Florian (Hrsg.) (2023): Unternehmensbewertung und ökonomische Analyse: Interdisziplinäre Aspekte zwischen Theorie und Praxis. Springer Gabler, Wiesbaden. DOI: 10.1007/978-3-658-40235-8.</w:t>
      </w:r>
    </w:p>
    <w:p w14:paraId="64E6FA27">
      <w:pPr>
        <w:pStyle w:val="101"/>
      </w:pPr>
      <w:r>
        <w:t>Kreutzer, Ralf T.; Rumler, Andrea; Wille‑Baumkauff, Benjamin (2020): Einführung. In: B2B‑Online‑Marketing und Social Media. Springer Gabler, Wiesbaden. DOI: 10.1007/978-3-658-27675-1_1.</w:t>
      </w:r>
    </w:p>
    <w:p w14:paraId="3DFC9909">
      <w:pPr>
        <w:pStyle w:val="2"/>
      </w:pPr>
      <w:r>
        <w:t>Zeitschriftenartikel (SpringerLink, 2015–2025):</w:t>
      </w:r>
    </w:p>
    <w:p w14:paraId="4B27314E">
      <w:pPr>
        <w:pStyle w:val="101"/>
      </w:pPr>
      <w:r>
        <w:t>Spann, Martin; Skiera, Bernd (2020): Dynamische Preisgestaltung in der digitalisierten Welt. Schmalenbachs Zeitschrift für betriebswirtschaftliche Forschung 72, 321–342. DOI: 10.1007/s41471-020-00095-0.</w:t>
      </w:r>
    </w:p>
    <w:p w14:paraId="5147257A">
      <w:pPr>
        <w:pStyle w:val="101"/>
      </w:pPr>
      <w:r>
        <w:t>Leibfried, Peter; Jaklitsch, Hans Georg (2021): Unternehmensanalyse und -bewertung als Grundlage der Investor Relations und Finanzkommunikation. In: Handbuch Investor Relations und Finanzkommunikation. Springer Gabler, Wiesbaden, pp. 1–23. DOI: 10.1007/978-3-658-23389-1_8-1.</w:t>
      </w:r>
    </w:p>
    <w:p w14:paraId="76BF1C85">
      <w:pPr>
        <w:pStyle w:val="101"/>
      </w:pPr>
    </w:p>
    <w:p w14:paraId="2A05CE2D">
      <w:pPr>
        <w:pStyle w:val="101"/>
      </w:pPr>
    </w:p>
    <w:p w14:paraId="397E3667">
      <w:pPr>
        <w:pStyle w:val="101"/>
      </w:pPr>
    </w:p>
    <w:p w14:paraId="34763AE7">
      <w:pPr>
        <w:pStyle w:val="101"/>
      </w:pPr>
    </w:p>
    <w:p w14:paraId="08C8824D">
      <w:pPr>
        <w:pStyle w:val="101"/>
      </w:pPr>
    </w:p>
    <w:p w14:paraId="195EB782">
      <w:pPr>
        <w:pStyle w:val="101"/>
      </w:pPr>
    </w:p>
    <w:p w14:paraId="620519DF">
      <w:pPr>
        <w:pStyle w:val="101"/>
      </w:pPr>
    </w:p>
    <w:p w14:paraId="5A80AF80">
      <w:pPr>
        <w:pStyle w:val="101"/>
      </w:pPr>
    </w:p>
    <w:p w14:paraId="57E07A03">
      <w:pPr>
        <w:pStyle w:val="101"/>
      </w:pPr>
    </w:p>
    <w:p w14:paraId="34507DEA">
      <w:pPr>
        <w:pStyle w:val="101"/>
      </w:pPr>
    </w:p>
    <w:p w14:paraId="63096AD5">
      <w:pPr>
        <w:pStyle w:val="101"/>
      </w:pPr>
    </w:p>
    <w:p w14:paraId="25C8AA48">
      <w:pPr>
        <w:pStyle w:val="101"/>
      </w:pPr>
    </w:p>
    <w:p w14:paraId="09F2CAF4">
      <w:pPr>
        <w:pStyle w:val="101"/>
      </w:pPr>
    </w:p>
    <w:p w14:paraId="12C2CD19">
      <w:pPr>
        <w:pStyle w:val="101"/>
      </w:pPr>
    </w:p>
    <w:p w14:paraId="6CB34925">
      <w:pPr>
        <w:pStyle w:val="101"/>
      </w:pPr>
    </w:p>
    <w:p w14:paraId="6ABFEE3D">
      <w:pPr>
        <w:pStyle w:val="101"/>
      </w:pPr>
    </w:p>
    <w:p w14:paraId="106591AC">
      <w:pPr>
        <w:pStyle w:val="101"/>
      </w:pPr>
    </w:p>
    <w:p w14:paraId="4EADD511">
      <w:pPr>
        <w:pStyle w:val="101"/>
      </w:pPr>
    </w:p>
    <w:p w14:paraId="4D927E5A">
      <w:pPr>
        <w:pStyle w:val="101"/>
      </w:pPr>
    </w:p>
    <w:p w14:paraId="070F51AE">
      <w:pPr>
        <w:pStyle w:val="101"/>
      </w:pPr>
    </w:p>
    <w:p w14:paraId="435E5D09">
      <w:pPr>
        <w:pStyle w:val="101"/>
      </w:pPr>
    </w:p>
    <w:p w14:paraId="77DFFDD0">
      <w:pPr>
        <w:pStyle w:val="101"/>
      </w:pPr>
    </w:p>
    <w:p w14:paraId="29600F4E">
      <w:pPr>
        <w:pStyle w:val="101"/>
      </w:pPr>
    </w:p>
    <w:p w14:paraId="737F582F">
      <w:pPr>
        <w:pStyle w:val="101"/>
      </w:pPr>
    </w:p>
    <w:p w14:paraId="413370F9">
      <w:pPr>
        <w:pStyle w:val="101"/>
      </w:pPr>
    </w:p>
    <w:p w14:paraId="6DDF3065">
      <w:pPr>
        <w:pStyle w:val="101"/>
      </w:pPr>
    </w:p>
    <w:p w14:paraId="05C3D784">
      <w:pPr>
        <w:pStyle w:val="101"/>
      </w:pPr>
    </w:p>
    <w:p w14:paraId="043E5FFA">
      <w:pPr>
        <w:pStyle w:val="101"/>
      </w:pPr>
    </w:p>
    <w:p w14:paraId="2626C59E">
      <w:pPr>
        <w:autoSpaceDE w:val="0"/>
        <w:spacing w:line="360" w:lineRule="auto"/>
        <w:rPr>
          <w:b/>
          <w:bCs/>
          <w:u w:val="single"/>
        </w:rPr>
      </w:pPr>
      <w:r>
        <w:rPr>
          <w:b/>
          <w:bCs/>
          <w:u w:val="single"/>
        </w:rPr>
        <w:t>Eigenständigkeitserklärung</w:t>
      </w:r>
    </w:p>
    <w:p w14:paraId="1D748D33">
      <w:pPr>
        <w:autoSpaceDE w:val="0"/>
        <w:spacing w:line="360" w:lineRule="auto"/>
        <w:rPr>
          <w:b/>
          <w:bCs/>
          <w:u w:val="single"/>
        </w:rPr>
      </w:pPr>
    </w:p>
    <w:p w14:paraId="7DAF2A4A">
      <w:pPr>
        <w:autoSpaceDE w:val="0"/>
        <w:spacing w:line="360" w:lineRule="auto"/>
        <w:rPr>
          <w:color w:val="000000"/>
        </w:rPr>
      </w:pPr>
      <w:r>
        <w:rPr>
          <w:color w:val="000000"/>
        </w:rPr>
        <w:t xml:space="preserve">Hiermit versichere ich, dass ich die angemeldete Prüfungsleistung in allen Teilen ei-genständig ohne Hilfe von Dritten anfertigen und keine anderen als die in der Prüfungs-leistung angegebenen Quellen und zugelassenen Hilfsmittel verwenden werde. Sämt-liche wörtlichen und sinngemäßen Übernahmen inklusive KI-generierter Inhalte werde ich kenntlich machen. </w:t>
      </w:r>
    </w:p>
    <w:p w14:paraId="45C217E1">
      <w:pPr>
        <w:autoSpaceDE w:val="0"/>
        <w:spacing w:line="360" w:lineRule="auto"/>
        <w:rPr>
          <w:color w:val="000000"/>
        </w:rPr>
      </w:pPr>
      <w:r>
        <w:rPr>
          <w:color w:val="000000"/>
        </w:rPr>
        <w:t xml:space="preserve">Diese Prüfungsleistung hat zum Zeitpunkt der Abgabe weder in gleicher noch in ähn-licher Form, auch nicht auszugsweise, bereits einer Prüfungsbehörde zur Prüfung vor-gelegen; hiervon ausgenommen sind Prüfungsleistungen, für die in der Modulbeschrei-bung ausdrücklich andere Regelungen festgelegt sind. </w:t>
      </w:r>
    </w:p>
    <w:p w14:paraId="653EBBF8">
      <w:pPr>
        <w:autoSpaceDE w:val="0"/>
        <w:spacing w:line="360" w:lineRule="auto"/>
        <w:rPr>
          <w:color w:val="000000"/>
        </w:rPr>
      </w:pPr>
      <w:r>
        <w:rPr>
          <w:color w:val="000000"/>
        </w:rPr>
        <w:t xml:space="preserve">Mir ist bekannt, dass die Zuwiderhandlung gegen den Inhalt dieser Erklärung einen </w:t>
      </w:r>
    </w:p>
    <w:p w14:paraId="4360D059">
      <w:pPr>
        <w:autoSpaceDE w:val="0"/>
        <w:spacing w:line="360" w:lineRule="auto"/>
        <w:rPr>
          <w:color w:val="000000"/>
        </w:rPr>
      </w:pPr>
      <w:r>
        <w:rPr>
          <w:color w:val="000000"/>
        </w:rPr>
        <w:t xml:space="preserve">Täuschungsversuch darstellt, der das Nichtbestehen der Prüfung zur Folge hat und da-neben strafrechtlich gem. § 156 StGB verfolgt werden kann. Darüber hinaus ist mir bekannt, dass ich bei schwerwiegender Täuschung exmatrikuliert und mit einer Geld-buße bis zu 50.000 EUR nach der für mich gültigen Rahmenprüfungsordnung belegt werden kann. </w:t>
      </w:r>
    </w:p>
    <w:p w14:paraId="526CBF0C">
      <w:pPr>
        <w:autoSpaceDE w:val="0"/>
        <w:spacing w:line="360" w:lineRule="auto"/>
        <w:rPr>
          <w:bCs/>
          <w:color w:val="000000"/>
        </w:rPr>
      </w:pPr>
      <w:r>
        <w:rPr>
          <w:color w:val="000000"/>
        </w:rPr>
        <w:t xml:space="preserve">Ich erkläre mich damit einverstanden, dass diese Prüfungsleistung zwecks Plagiatsprü-fung auf die Server externer Anbieter hochgeladen werden darf. Die Plagiatsprüfung stellt keine Zurverfügungstellung für die Öffentlichkeit dar. </w:t>
      </w:r>
    </w:p>
    <w:p w14:paraId="6EE09D67">
      <w:pPr>
        <w:autoSpaceDE w:val="0"/>
        <w:spacing w:line="360" w:lineRule="auto"/>
        <w:rPr>
          <w:bCs/>
          <w:color w:val="000000"/>
        </w:rPr>
      </w:pPr>
    </w:p>
    <w:p w14:paraId="7173063D">
      <w:pPr>
        <w:autoSpaceDE w:val="0"/>
        <w:spacing w:line="360" w:lineRule="auto"/>
        <w:rPr>
          <w:bCs/>
        </w:rPr>
      </w:pPr>
    </w:p>
    <w:p w14:paraId="27DA4694">
      <w:pPr>
        <w:autoSpaceDE w:val="0"/>
        <w:spacing w:line="360" w:lineRule="auto"/>
        <w:rPr>
          <w:color w:val="1F497D"/>
        </w:rPr>
      </w:pPr>
      <w:r>
        <w:rPr>
          <w:color w:val="1F497D"/>
        </w:rPr>
        <w:t>________________________________________________________________</w:t>
      </w:r>
    </w:p>
    <w:p w14:paraId="4AFFD04A">
      <w:pPr>
        <w:autoSpaceDE w:val="0"/>
        <w:spacing w:line="360" w:lineRule="auto"/>
        <w:rPr>
          <w:bCs/>
        </w:rPr>
      </w:pPr>
      <w:r>
        <w:rPr>
          <w:bCs/>
        </w:rPr>
        <w:t>(Ort, Datum) (Eigenhändige Unterschrift)</w:t>
      </w:r>
    </w:p>
    <w:p w14:paraId="539D65AB">
      <w:pPr>
        <w:rPr>
          <w:bCs/>
        </w:rPr>
      </w:pPr>
    </w:p>
    <w:p w14:paraId="322894B5">
      <w:pPr>
        <w:pStyle w:val="2"/>
        <w:rPr>
          <w:sz w:val="32"/>
        </w:rPr>
      </w:pPr>
    </w:p>
    <w:sectPr>
      <w:headerReference r:id="rId12" w:type="first"/>
      <w:footerReference r:id="rId14" w:type="first"/>
      <w:headerReference r:id="rId11" w:type="default"/>
      <w:footerReference r:id="rId13" w:type="default"/>
      <w:footnotePr>
        <w:numFmt w:val="decimal"/>
      </w:footnotePr>
      <w:pgSz w:w="11906" w:h="16838"/>
      <w:pgMar w:top="1701" w:right="1134" w:bottom="1134" w:left="2268" w:header="709" w:footer="709" w:gutter="0"/>
      <w:pgNumType w:fmt="decimal"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EFF" w:usb1="C000785B" w:usb2="00000009" w:usb3="00000000" w:csb0="400001FF" w:csb1="FFFF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DejaVu Sans">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45D92">
    <w:pPr>
      <w:pStyle w:val="20"/>
      <w:jc w:val="right"/>
    </w:pPr>
  </w:p>
  <w:p w14:paraId="3D54AD54">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D014C">
    <w:pPr>
      <w:pStyle w:val="20"/>
      <w:jc w:val="right"/>
    </w:pPr>
  </w:p>
  <w:p w14:paraId="63A4C906">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E47CB"/>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ABC427">
    <w:pPr>
      <w:pStyle w:val="20"/>
      <w:jc w:val="right"/>
    </w:pPr>
  </w:p>
  <w:p w14:paraId="5A412239">
    <w:pPr>
      <w:pStyle w:val="2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7DC07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0">
    <w:p>
      <w:r>
        <w:separator/>
      </w:r>
    </w:p>
  </w:footnote>
  <w:footnote w:type="continuationSeparator" w:id="141">
    <w:p>
      <w:r>
        <w:continuationSeparator/>
      </w:r>
    </w:p>
  </w:footnote>
  <w:footnote w:id="0">
    <w:p w14:paraId="6AC6B5BC">
      <w:pPr>
        <w:pStyle w:val="27"/>
      </w:pPr>
      <w:r>
        <w:rPr>
          <w:rStyle w:val="42"/>
        </w:rPr>
        <w:footnoteRef/>
      </w:r>
      <w:r>
        <w:t xml:space="preserve"> Vgl.</w:t>
      </w:r>
      <w:r>
        <w:rPr>
          <w:i/>
          <w:iCs/>
        </w:rPr>
        <w:t xml:space="preserve"> Knobloch, Thomas</w:t>
      </w:r>
      <w:r>
        <w:t>, Strategisches Konfliktmanagement, 2025.</w:t>
      </w:r>
    </w:p>
  </w:footnote>
  <w:footnote w:id="1">
    <w:p w14:paraId="7462B800">
      <w:pPr>
        <w:pStyle w:val="27"/>
      </w:pPr>
      <w:r>
        <w:rPr>
          <w:rStyle w:val="42"/>
        </w:rPr>
        <w:footnoteRef/>
      </w:r>
      <w:r>
        <w:t xml:space="preserve"> Vgl. </w:t>
      </w:r>
      <w:r>
        <w:rPr>
          <w:i/>
          <w:iCs/>
        </w:rPr>
        <w:t>Knobloch, Thomas</w:t>
      </w:r>
      <w:r>
        <w:t>, Strategisches Konfliktmanagement und Konzeption dieses Buches, 2025.</w:t>
      </w:r>
    </w:p>
  </w:footnote>
  <w:footnote w:id="2">
    <w:p w14:paraId="6FD627E3">
      <w:pPr>
        <w:pStyle w:val="27"/>
      </w:pPr>
      <w:r>
        <w:rPr>
          <w:rStyle w:val="42"/>
        </w:rPr>
        <w:footnoteRef/>
      </w:r>
      <w:r>
        <w:rPr>
          <w:rFonts w:hint="eastAsia"/>
          <w:lang w:val="en-US" w:eastAsia="zh-CN"/>
        </w:rPr>
        <w:t xml:space="preserve"> </w:t>
      </w:r>
      <w:r>
        <w:t xml:space="preserve">Vgl. </w:t>
      </w:r>
      <w:r>
        <w:rPr>
          <w:i/>
          <w:iCs/>
        </w:rPr>
        <w:t>Knobloch, Thomas</w:t>
      </w:r>
      <w:r>
        <w:t>, Rahmensetzungen und Befunde, 2025.</w:t>
      </w:r>
    </w:p>
  </w:footnote>
  <w:footnote w:id="3">
    <w:p w14:paraId="74FC4052">
      <w:pPr>
        <w:pStyle w:val="27"/>
      </w:pPr>
      <w:r>
        <w:rPr>
          <w:rStyle w:val="42"/>
        </w:rPr>
        <w:footnoteRef/>
      </w:r>
      <w:r>
        <w:t xml:space="preserve"> Vgl. </w:t>
      </w:r>
      <w:r>
        <w:rPr>
          <w:i/>
          <w:iCs/>
        </w:rPr>
        <w:t>Knobloch, Thomas,</w:t>
      </w:r>
      <w:r>
        <w:t xml:space="preserve"> Verantwortungsvolle Unternehmensführung, 2025.</w:t>
      </w:r>
    </w:p>
  </w:footnote>
  <w:footnote w:id="4">
    <w:p w14:paraId="2AF7FA02">
      <w:pPr>
        <w:pStyle w:val="27"/>
      </w:pPr>
      <w:r>
        <w:rPr>
          <w:rStyle w:val="42"/>
        </w:rPr>
        <w:footnoteRef/>
      </w:r>
      <w:r>
        <w:t xml:space="preserve"> Vgl. </w:t>
      </w:r>
      <w:r>
        <w:rPr>
          <w:i/>
          <w:iCs/>
        </w:rPr>
        <w:t>Knobloch, Thomas</w:t>
      </w:r>
      <w:r>
        <w:t>, Entwicklungsstufen und Basisstrukturen, 2025.</w:t>
      </w:r>
    </w:p>
  </w:footnote>
  <w:footnote w:id="5">
    <w:p w14:paraId="7043C59C">
      <w:pPr>
        <w:pStyle w:val="27"/>
      </w:pPr>
      <w:r>
        <w:rPr>
          <w:rStyle w:val="42"/>
        </w:rPr>
        <w:footnoteRef/>
      </w:r>
      <w:r>
        <w:t xml:space="preserve"> Vgl. </w:t>
      </w:r>
      <w:r>
        <w:rPr>
          <w:i/>
          <w:iCs/>
        </w:rPr>
        <w:t>Knobloch, Thomas</w:t>
      </w:r>
      <w:r>
        <w:t>, Zusammenführung von Konflikt- und Risikomanagementsystemen, 2025.</w:t>
      </w:r>
    </w:p>
  </w:footnote>
  <w:footnote w:id="6">
    <w:p w14:paraId="68AA63CC">
      <w:pPr>
        <w:pStyle w:val="27"/>
      </w:pPr>
      <w:r>
        <w:rPr>
          <w:rStyle w:val="42"/>
        </w:rPr>
        <w:footnoteRef/>
      </w:r>
      <w:r>
        <w:t xml:space="preserve"> Vgl. </w:t>
      </w:r>
      <w:r>
        <w:rPr>
          <w:i/>
          <w:iCs/>
        </w:rPr>
        <w:t>Bachmann u. a</w:t>
      </w:r>
      <w:r>
        <w:t>., Effiziente Krisenkommunikation – transparent und authentisch, 2021.</w:t>
      </w:r>
    </w:p>
  </w:footnote>
  <w:footnote w:id="7">
    <w:p w14:paraId="1F6FB0A6">
      <w:pPr>
        <w:pStyle w:val="27"/>
      </w:pPr>
      <w:r>
        <w:rPr>
          <w:rStyle w:val="42"/>
        </w:rPr>
        <w:footnoteRef/>
      </w:r>
      <w:r>
        <w:t xml:space="preserve"> Vgl. </w:t>
      </w:r>
      <w:r>
        <w:rPr>
          <w:i/>
          <w:iCs/>
        </w:rPr>
        <w:t>Knobloch, Thomas</w:t>
      </w:r>
      <w:r>
        <w:t>, Aktuelle Strategiethemen für ein integriertes Konfliktmanagement, 2025.</w:t>
      </w:r>
    </w:p>
  </w:footnote>
  <w:footnote w:id="8">
    <w:p w14:paraId="39672C27">
      <w:pPr>
        <w:pStyle w:val="27"/>
      </w:pPr>
      <w:r>
        <w:rPr>
          <w:rStyle w:val="42"/>
        </w:rPr>
        <w:footnoteRef/>
      </w:r>
      <w:r>
        <w:t xml:space="preserve"> Vgl. </w:t>
      </w:r>
      <w:r>
        <w:rPr>
          <w:i/>
          <w:iCs/>
        </w:rPr>
        <w:t>Knobloch, Thomas</w:t>
      </w:r>
      <w:r>
        <w:t>, Zusammenfassung und Perspektiven, 2025.</w:t>
      </w:r>
    </w:p>
  </w:footnote>
  <w:footnote w:id="9">
    <w:p w14:paraId="28783C56">
      <w:pPr>
        <w:pStyle w:val="27"/>
      </w:pPr>
      <w:r>
        <w:rPr>
          <w:rStyle w:val="42"/>
        </w:rPr>
        <w:footnoteRef/>
      </w:r>
      <w:r>
        <w:t xml:space="preserve"> Vgl. </w:t>
      </w:r>
      <w:r>
        <w:rPr>
          <w:i/>
          <w:iCs/>
        </w:rPr>
        <w:t>Knobloch, Thomas</w:t>
      </w:r>
      <w:r>
        <w:t>, Anhang, 2025.</w:t>
      </w:r>
    </w:p>
  </w:footnote>
  <w:footnote w:id="10">
    <w:p w14:paraId="7EA838E2">
      <w:pPr>
        <w:pStyle w:val="27"/>
      </w:pPr>
      <w:r>
        <w:rPr>
          <w:rStyle w:val="42"/>
        </w:rPr>
        <w:footnoteRef/>
      </w:r>
      <w:r>
        <w:t xml:space="preserve"> Vgl. </w:t>
      </w:r>
      <w:r>
        <w:rPr>
          <w:i/>
          <w:iCs/>
        </w:rPr>
        <w:t>Proksch, Stephan, Mediation</w:t>
      </w:r>
      <w:r>
        <w:t xml:space="preserve"> – Die Kunst der professionellen Konfliktlösung, 2018.</w:t>
      </w:r>
    </w:p>
  </w:footnote>
  <w:footnote w:id="11">
    <w:p w14:paraId="651CCD18">
      <w:pPr>
        <w:pStyle w:val="27"/>
      </w:pPr>
      <w:r>
        <w:rPr>
          <w:rStyle w:val="42"/>
        </w:rPr>
        <w:footnoteRef/>
      </w:r>
      <w:r>
        <w:t xml:space="preserve"> Vgl.</w:t>
      </w:r>
      <w:r>
        <w:rPr>
          <w:i/>
          <w:iCs/>
        </w:rPr>
        <w:t xml:space="preserve"> Rabe u. a</w:t>
      </w:r>
      <w:r>
        <w:t>., Mediation – Grundlagen, Methoden, rechtlicher Rahmen (2, 2020.</w:t>
      </w:r>
    </w:p>
  </w:footnote>
  <w:footnote w:id="12">
    <w:p w14:paraId="1EFCEA11">
      <w:pPr>
        <w:pStyle w:val="27"/>
      </w:pPr>
      <w:r>
        <w:rPr>
          <w:rStyle w:val="42"/>
        </w:rPr>
        <w:footnoteRef/>
      </w:r>
      <w:r>
        <w:t xml:space="preserve"> Vgl.</w:t>
      </w:r>
      <w:r>
        <w:rPr>
          <w:i/>
          <w:iCs/>
        </w:rPr>
        <w:t xml:space="preserve"> Kolodej, Christa</w:t>
      </w:r>
      <w:r>
        <w:t>, Strukturaufstellungen für Konflikte, Mobbing und Mediation (2, 2019.</w:t>
      </w:r>
    </w:p>
  </w:footnote>
  <w:footnote w:id="13">
    <w:p w14:paraId="6F1570F5">
      <w:pPr>
        <w:pStyle w:val="27"/>
      </w:pPr>
      <w:r>
        <w:rPr>
          <w:rStyle w:val="42"/>
        </w:rPr>
        <w:footnoteRef/>
      </w:r>
      <w:r>
        <w:t xml:space="preserve"> Vgl. </w:t>
      </w:r>
      <w:r>
        <w:rPr>
          <w:i/>
          <w:iCs/>
        </w:rPr>
        <w:t>Hartmann-Piraudeau, Andrea</w:t>
      </w:r>
      <w:r>
        <w:t>, Psychological Effects in Mediation , 2022.</w:t>
      </w:r>
    </w:p>
  </w:footnote>
  <w:footnote w:id="14">
    <w:p w14:paraId="6BF1FF2C">
      <w:pPr>
        <w:pStyle w:val="27"/>
      </w:pPr>
      <w:r>
        <w:rPr>
          <w:rStyle w:val="42"/>
        </w:rPr>
        <w:footnoteRef/>
      </w:r>
      <w:r>
        <w:t xml:space="preserve"> Vgl. </w:t>
      </w:r>
      <w:r>
        <w:rPr>
          <w:i/>
          <w:iCs/>
        </w:rPr>
        <w:t>Durst u. a</w:t>
      </w:r>
      <w:r>
        <w:t>., Umdenken beim Verkauf von Business-to-Business-Lösungen, 2024.</w:t>
      </w:r>
    </w:p>
  </w:footnote>
  <w:footnote w:id="15">
    <w:p w14:paraId="301FEA1E">
      <w:pPr>
        <w:pStyle w:val="27"/>
      </w:pPr>
      <w:r>
        <w:rPr>
          <w:rStyle w:val="42"/>
        </w:rPr>
        <w:footnoteRef/>
      </w:r>
      <w:r>
        <w:t xml:space="preserve"> Vgl. </w:t>
      </w:r>
      <w:r>
        <w:rPr>
          <w:i/>
          <w:iCs/>
        </w:rPr>
        <w:t>Jansen u. a</w:t>
      </w:r>
      <w:r>
        <w:t>., KI-basierte Textkreation im Content Marketing, 2024.</w:t>
      </w:r>
    </w:p>
  </w:footnote>
  <w:footnote w:id="16">
    <w:p w14:paraId="2BB6B8D1">
      <w:pPr>
        <w:pStyle w:val="27"/>
      </w:pPr>
      <w:r>
        <w:rPr>
          <w:rStyle w:val="42"/>
        </w:rPr>
        <w:footnoteRef/>
      </w:r>
      <w:r>
        <w:t xml:space="preserve"> Vgl. </w:t>
      </w:r>
      <w:r>
        <w:rPr>
          <w:i/>
          <w:iCs/>
        </w:rPr>
        <w:t>Puschmann, Thomas u. a</w:t>
      </w:r>
      <w:r>
        <w:t>., Empirische Untersuchung der Nutzerakzeptanz, 2024.</w:t>
      </w:r>
    </w:p>
  </w:footnote>
  <w:footnote w:id="17">
    <w:p w14:paraId="1ED23C40">
      <w:pPr>
        <w:pStyle w:val="27"/>
      </w:pPr>
      <w:r>
        <w:rPr>
          <w:rStyle w:val="42"/>
        </w:rPr>
        <w:footnoteRef/>
      </w:r>
      <w:r>
        <w:t xml:space="preserve"> Vgl. </w:t>
      </w:r>
      <w:r>
        <w:rPr>
          <w:i/>
          <w:iCs/>
        </w:rPr>
        <w:t>Engelhardt, Kristin</w:t>
      </w:r>
      <w:r>
        <w:t>, Interne Kommunikation mit digitalen Medien, 2020.</w:t>
      </w:r>
    </w:p>
  </w:footnote>
  <w:footnote w:id="18">
    <w:p w14:paraId="0A930CD7">
      <w:pPr>
        <w:pStyle w:val="27"/>
      </w:pPr>
      <w:r>
        <w:rPr>
          <w:rStyle w:val="42"/>
        </w:rPr>
        <w:footnoteRef/>
      </w:r>
      <w:r>
        <w:t xml:space="preserve"> Vgl. </w:t>
      </w:r>
      <w:r>
        <w:rPr>
          <w:i/>
          <w:iCs/>
        </w:rPr>
        <w:t>Bachmann u. a</w:t>
      </w:r>
      <w:r>
        <w:t>., Effiziente Krisenkommunikation – transparent und authentisch, 2021.</w:t>
      </w:r>
    </w:p>
  </w:footnote>
  <w:footnote w:id="19">
    <w:p w14:paraId="5B3E1E64">
      <w:pPr>
        <w:pStyle w:val="27"/>
      </w:pPr>
      <w:r>
        <w:rPr>
          <w:rStyle w:val="42"/>
        </w:rPr>
        <w:footnoteRef/>
      </w:r>
      <w:r>
        <w:t xml:space="preserve"> Vgl. </w:t>
      </w:r>
      <w:r>
        <w:rPr>
          <w:i/>
          <w:iCs/>
        </w:rPr>
        <w:t>Immerschitt, Wolfgang,</w:t>
      </w:r>
      <w:r>
        <w:t xml:space="preserve"> Aktive Krisenkommunikation , 2015.</w:t>
      </w:r>
    </w:p>
  </w:footnote>
  <w:footnote w:id="20">
    <w:p w14:paraId="54EF2A59">
      <w:pPr>
        <w:pStyle w:val="27"/>
      </w:pPr>
      <w:r>
        <w:rPr>
          <w:rStyle w:val="42"/>
        </w:rPr>
        <w:footnoteRef/>
      </w:r>
      <w:r>
        <w:t xml:space="preserve"> Vgl. </w:t>
      </w:r>
      <w:r>
        <w:rPr>
          <w:i/>
          <w:iCs/>
        </w:rPr>
        <w:t>Hillmann, Martin</w:t>
      </w:r>
      <w:r>
        <w:t>, Krisenkommunikation: Nach der Krise ist vor der Krise, 2025.</w:t>
      </w:r>
    </w:p>
  </w:footnote>
  <w:footnote w:id="21">
    <w:p w14:paraId="15AF7B1F">
      <w:pPr>
        <w:pStyle w:val="27"/>
      </w:pPr>
      <w:r>
        <w:rPr>
          <w:rStyle w:val="42"/>
        </w:rPr>
        <w:footnoteRef/>
      </w:r>
      <w:r>
        <w:t xml:space="preserve"> Vgl. </w:t>
      </w:r>
      <w:r>
        <w:rPr>
          <w:i/>
          <w:iCs/>
        </w:rPr>
        <w:t>Trujillo-Torres</w:t>
      </w:r>
      <w:r>
        <w:t>, L. et al., Access-based customer journeys, 2024.</w:t>
      </w:r>
    </w:p>
  </w:footnote>
  <w:footnote w:id="22">
    <w:p w14:paraId="55A4E890">
      <w:pPr>
        <w:pStyle w:val="27"/>
      </w:pPr>
      <w:r>
        <w:rPr>
          <w:rStyle w:val="42"/>
        </w:rPr>
        <w:footnoteRef/>
      </w:r>
      <w:r>
        <w:t xml:space="preserve"> Vgl. </w:t>
      </w:r>
      <w:r>
        <w:rPr>
          <w:i/>
          <w:iCs/>
        </w:rPr>
        <w:t>Granstedt, A</w:t>
      </w:r>
      <w:r>
        <w:t>., The past, present, and future of social media marketing ethics, 2024.</w:t>
      </w:r>
    </w:p>
  </w:footnote>
  <w:footnote w:id="23">
    <w:p w14:paraId="30C97A1B">
      <w:pPr>
        <w:pStyle w:val="27"/>
      </w:pPr>
      <w:r>
        <w:rPr>
          <w:rStyle w:val="42"/>
        </w:rPr>
        <w:footnoteRef/>
      </w:r>
      <w:r>
        <w:t xml:space="preserve"> Vgl. </w:t>
      </w:r>
      <w:r>
        <w:rPr>
          <w:i/>
          <w:iCs/>
        </w:rPr>
        <w:t>Marín-Carrillo</w:t>
      </w:r>
      <w:r>
        <w:t>,</w:t>
      </w:r>
      <w:r>
        <w:rPr>
          <w:i/>
          <w:iCs/>
        </w:rPr>
        <w:t xml:space="preserve"> M. B. et al</w:t>
      </w:r>
      <w:r>
        <w:t>., Consumer research domains in the sharing economy, 2025.</w:t>
      </w:r>
    </w:p>
  </w:footnote>
  <w:footnote w:id="24">
    <w:p w14:paraId="649A275F">
      <w:pPr>
        <w:pStyle w:val="27"/>
      </w:pPr>
      <w:r>
        <w:rPr>
          <w:rStyle w:val="42"/>
        </w:rPr>
        <w:footnoteRef/>
      </w:r>
      <w:r>
        <w:t xml:space="preserve"> Vgl. </w:t>
      </w:r>
      <w:r>
        <w:rPr>
          <w:i/>
          <w:iCs/>
        </w:rPr>
        <w:t>Drefke, Stefan</w:t>
      </w:r>
      <w:r>
        <w:t>, Grundlagen der Unternehmensbewertung, 2016.</w:t>
      </w:r>
    </w:p>
  </w:footnote>
  <w:footnote w:id="25">
    <w:p w14:paraId="31041AF1">
      <w:pPr>
        <w:pStyle w:val="27"/>
      </w:pPr>
      <w:r>
        <w:rPr>
          <w:rStyle w:val="42"/>
        </w:rPr>
        <w:footnoteRef/>
      </w:r>
      <w:r>
        <w:t xml:space="preserve"> Vgl. </w:t>
      </w:r>
      <w:r>
        <w:rPr>
          <w:i/>
          <w:iCs/>
        </w:rPr>
        <w:t>Nestler, Sebastian</w:t>
      </w:r>
      <w:r>
        <w:t>, Zusammenfassung, 2019.</w:t>
      </w:r>
    </w:p>
  </w:footnote>
  <w:footnote w:id="26">
    <w:p w14:paraId="01AAD301">
      <w:pPr>
        <w:pStyle w:val="27"/>
      </w:pPr>
      <w:r>
        <w:rPr>
          <w:rStyle w:val="42"/>
        </w:rPr>
        <w:footnoteRef/>
      </w:r>
      <w:r>
        <w:t xml:space="preserve"> Vgl. </w:t>
      </w:r>
      <w:r>
        <w:rPr>
          <w:i/>
          <w:iCs/>
        </w:rPr>
        <w:t>Smeets, Mario</w:t>
      </w:r>
      <w:r>
        <w:t>, Besonderheiten bei der Bewertung junger Unternehmen, 2018.</w:t>
      </w:r>
    </w:p>
  </w:footnote>
  <w:footnote w:id="27">
    <w:p w14:paraId="5F2FEFE8">
      <w:pPr>
        <w:pStyle w:val="27"/>
      </w:pPr>
      <w:r>
        <w:rPr>
          <w:rStyle w:val="42"/>
        </w:rPr>
        <w:footnoteRef/>
      </w:r>
      <w:r>
        <w:t xml:space="preserve"> Vgl.</w:t>
      </w:r>
      <w:r>
        <w:rPr>
          <w:i/>
          <w:iCs/>
        </w:rPr>
        <w:t xml:space="preserve"> Schütte-Biastoch, Susanne</w:t>
      </w:r>
      <w:r>
        <w:t>, Anpassung der ZEW-Verfahren an die Besonderheiten bei KMU, .</w:t>
      </w:r>
    </w:p>
  </w:footnote>
  <w:footnote w:id="28">
    <w:p w14:paraId="7210660F">
      <w:pPr>
        <w:pStyle w:val="27"/>
      </w:pPr>
      <w:r>
        <w:rPr>
          <w:rStyle w:val="42"/>
        </w:rPr>
        <w:footnoteRef/>
      </w:r>
      <w:r>
        <w:t xml:space="preserve"> Vgl. </w:t>
      </w:r>
      <w:r>
        <w:rPr>
          <w:i/>
          <w:iCs/>
        </w:rPr>
        <w:t>Hahn, Christopher (Hrsg.)</w:t>
      </w:r>
      <w:r>
        <w:t>, Finanzierung und Bewertung von Start-up-Unternehmen (3, 2021.</w:t>
      </w:r>
    </w:p>
  </w:footnote>
  <w:footnote w:id="29">
    <w:p w14:paraId="787541D8">
      <w:pPr>
        <w:pStyle w:val="27"/>
      </w:pPr>
      <w:r>
        <w:rPr>
          <w:rStyle w:val="42"/>
        </w:rPr>
        <w:footnoteRef/>
      </w:r>
      <w:r>
        <w:t xml:space="preserve"> Vgl. </w:t>
      </w:r>
      <w:r>
        <w:rPr>
          <w:i/>
          <w:iCs/>
        </w:rPr>
        <w:t>Zerres, Christopher,</w:t>
      </w:r>
      <w:r>
        <w:t xml:space="preserve"> Social-Media-Marketing, 2024.</w:t>
      </w:r>
    </w:p>
  </w:footnote>
  <w:footnote w:id="30">
    <w:p w14:paraId="6DAFEF23">
      <w:pPr>
        <w:pStyle w:val="27"/>
      </w:pPr>
      <w:r>
        <w:rPr>
          <w:rStyle w:val="42"/>
        </w:rPr>
        <w:footnoteRef/>
      </w:r>
      <w:r>
        <w:t xml:space="preserve"> Vgl. </w:t>
      </w:r>
      <w:r>
        <w:rPr>
          <w:i/>
          <w:iCs/>
        </w:rPr>
        <w:t>Solmecke, Christian</w:t>
      </w:r>
      <w:r>
        <w:t>, Rechtliche Rahmenbedingungen von Social Media, 2024.</w:t>
      </w:r>
    </w:p>
  </w:footnote>
  <w:footnote w:id="31">
    <w:p w14:paraId="17290E5E">
      <w:pPr>
        <w:pStyle w:val="27"/>
      </w:pPr>
      <w:r>
        <w:rPr>
          <w:rStyle w:val="42"/>
        </w:rPr>
        <w:footnoteRef/>
      </w:r>
      <w:r>
        <w:t xml:space="preserve"> Vgl.</w:t>
      </w:r>
      <w:r>
        <w:rPr>
          <w:i/>
          <w:iCs/>
        </w:rPr>
        <w:t xml:space="preserve"> Bär u. a</w:t>
      </w:r>
      <w:r>
        <w:t>., Social-Media-Monitoring, 2024.</w:t>
      </w:r>
    </w:p>
  </w:footnote>
  <w:footnote w:id="32">
    <w:p w14:paraId="722CADD9">
      <w:pPr>
        <w:pStyle w:val="27"/>
      </w:pPr>
      <w:r>
        <w:rPr>
          <w:rStyle w:val="42"/>
        </w:rPr>
        <w:footnoteRef/>
      </w:r>
      <w:r>
        <w:t xml:space="preserve"> Vgl. </w:t>
      </w:r>
      <w:r>
        <w:rPr>
          <w:i/>
          <w:iCs/>
        </w:rPr>
        <w:t>Immerschitt, Wolfgang</w:t>
      </w:r>
      <w:r>
        <w:t>, Aktive Krisenkommunikation , 2015.</w:t>
      </w:r>
    </w:p>
  </w:footnote>
  <w:footnote w:id="33">
    <w:p w14:paraId="04F53D0F">
      <w:pPr>
        <w:pStyle w:val="27"/>
      </w:pPr>
      <w:r>
        <w:rPr>
          <w:rStyle w:val="42"/>
        </w:rPr>
        <w:footnoteRef/>
      </w:r>
      <w:r>
        <w:t xml:space="preserve"> Vgl. </w:t>
      </w:r>
      <w:r>
        <w:rPr>
          <w:i/>
          <w:iCs/>
        </w:rPr>
        <w:t>Schmidt, Jan-Hinrik,</w:t>
      </w:r>
      <w:r>
        <w:t xml:space="preserve"> Praktiken und Strukturen , 2024.</w:t>
      </w:r>
    </w:p>
  </w:footnote>
  <w:footnote w:id="34">
    <w:p w14:paraId="11B0C98F">
      <w:pPr>
        <w:pStyle w:val="27"/>
      </w:pPr>
      <w:r>
        <w:rPr>
          <w:rStyle w:val="42"/>
        </w:rPr>
        <w:footnoteRef/>
      </w:r>
      <w:r>
        <w:t xml:space="preserve"> Vgl. </w:t>
      </w:r>
      <w:r>
        <w:rPr>
          <w:i/>
          <w:iCs/>
        </w:rPr>
        <w:t>Witzenleiter, Michael</w:t>
      </w:r>
      <w:r>
        <w:t>, Social Media und KI, 2024.</w:t>
      </w:r>
    </w:p>
  </w:footnote>
  <w:footnote w:id="35">
    <w:p w14:paraId="4CE49D07">
      <w:pPr>
        <w:pStyle w:val="27"/>
      </w:pPr>
      <w:r>
        <w:rPr>
          <w:rStyle w:val="42"/>
        </w:rPr>
        <w:footnoteRef/>
      </w:r>
      <w:r>
        <w:t xml:space="preserve"> Vgl. </w:t>
      </w:r>
      <w:r>
        <w:rPr>
          <w:i/>
          <w:iCs/>
        </w:rPr>
        <w:t>Zerres, Christopher</w:t>
      </w:r>
      <w:r>
        <w:t>, Die dunkle Seite von Social Media, 2024.</w:t>
      </w:r>
    </w:p>
  </w:footnote>
  <w:footnote w:id="36">
    <w:p w14:paraId="38C4B471">
      <w:pPr>
        <w:pStyle w:val="27"/>
      </w:pPr>
      <w:r>
        <w:rPr>
          <w:rStyle w:val="42"/>
        </w:rPr>
        <w:footnoteRef/>
      </w:r>
      <w:r>
        <w:t xml:space="preserve"> Vgl. </w:t>
      </w:r>
      <w:r>
        <w:rPr>
          <w:i/>
          <w:iCs/>
        </w:rPr>
        <w:t>Drechsler</w:t>
      </w:r>
      <w:r>
        <w:t>, Dirk, Data Analytics für Social Media, 2024.</w:t>
      </w:r>
    </w:p>
  </w:footnote>
  <w:footnote w:id="37">
    <w:p w14:paraId="228E96ED">
      <w:pPr>
        <w:pStyle w:val="27"/>
      </w:pPr>
      <w:r>
        <w:rPr>
          <w:rStyle w:val="42"/>
        </w:rPr>
        <w:footnoteRef/>
      </w:r>
      <w:r>
        <w:t xml:space="preserve"> Vgl. </w:t>
      </w:r>
      <w:r>
        <w:rPr>
          <w:i/>
          <w:iCs/>
        </w:rPr>
        <w:t>Drechsler, Dir</w:t>
      </w:r>
      <w:r>
        <w:t>k, Risikomanagement für Social Media, 2024.</w:t>
      </w:r>
    </w:p>
  </w:footnote>
  <w:footnote w:id="38">
    <w:p w14:paraId="1EF34CB3">
      <w:pPr>
        <w:pStyle w:val="27"/>
      </w:pPr>
      <w:r>
        <w:rPr>
          <w:rStyle w:val="42"/>
        </w:rPr>
        <w:footnoteRef/>
      </w:r>
      <w:r>
        <w:t xml:space="preserve"> Vgl. </w:t>
      </w:r>
      <w:r>
        <w:rPr>
          <w:i/>
          <w:iCs/>
        </w:rPr>
        <w:t>Decker</w:t>
      </w:r>
      <w:r>
        <w:t>, Alexander, Der Social-Media-Zyklus als strategischer Ansatz, 2024.</w:t>
      </w:r>
    </w:p>
  </w:footnote>
  <w:footnote w:id="39">
    <w:p w14:paraId="50153D58">
      <w:pPr>
        <w:pStyle w:val="27"/>
      </w:pPr>
      <w:r>
        <w:rPr>
          <w:rStyle w:val="42"/>
        </w:rPr>
        <w:footnoteRef/>
      </w:r>
      <w:r>
        <w:t xml:space="preserve"> Vgl. </w:t>
      </w:r>
      <w:r>
        <w:rPr>
          <w:i/>
          <w:iCs/>
        </w:rPr>
        <w:t>Pahrmann, Corina</w:t>
      </w:r>
      <w:r>
        <w:t>, Ziele und Zielgruppen in Social Media, 2024.</w:t>
      </w:r>
    </w:p>
  </w:footnote>
  <w:footnote w:id="40">
    <w:p w14:paraId="6A84E3E1">
      <w:pPr>
        <w:pStyle w:val="27"/>
      </w:pPr>
      <w:r>
        <w:rPr>
          <w:rStyle w:val="42"/>
        </w:rPr>
        <w:footnoteRef/>
      </w:r>
      <w:r>
        <w:t xml:space="preserve"> Vgl. </w:t>
      </w:r>
      <w:r>
        <w:rPr>
          <w:i/>
          <w:iCs/>
        </w:rPr>
        <w:t>Gust, Benjamin</w:t>
      </w:r>
      <w:r>
        <w:t>, Zielgruppenorientierte Kommunikation in Social Media, 2024.</w:t>
      </w:r>
    </w:p>
  </w:footnote>
  <w:footnote w:id="41">
    <w:p w14:paraId="476FE646">
      <w:pPr>
        <w:pStyle w:val="27"/>
      </w:pPr>
      <w:r>
        <w:rPr>
          <w:rStyle w:val="42"/>
        </w:rPr>
        <w:footnoteRef/>
      </w:r>
      <w:r>
        <w:t xml:space="preserve"> Vgl. </w:t>
      </w:r>
      <w:r>
        <w:rPr>
          <w:i/>
          <w:iCs/>
        </w:rPr>
        <w:t>Knoop u. a</w:t>
      </w:r>
      <w:r>
        <w:t>., Social-Media-Agenturbriefing, 2024.</w:t>
      </w:r>
    </w:p>
  </w:footnote>
  <w:footnote w:id="42">
    <w:p w14:paraId="46D7EE9F">
      <w:pPr>
        <w:pStyle w:val="27"/>
      </w:pPr>
      <w:r>
        <w:rPr>
          <w:rStyle w:val="42"/>
        </w:rPr>
        <w:footnoteRef/>
      </w:r>
      <w:r>
        <w:t xml:space="preserve"> Vgl. </w:t>
      </w:r>
      <w:r>
        <w:rPr>
          <w:i/>
          <w:iCs/>
        </w:rPr>
        <w:t>Kreutzer, Ralf T</w:t>
      </w:r>
      <w:r>
        <w:t>., Content-Marketing, 2024.</w:t>
      </w:r>
    </w:p>
  </w:footnote>
  <w:footnote w:id="43">
    <w:p w14:paraId="1F78495B">
      <w:pPr>
        <w:pStyle w:val="27"/>
      </w:pPr>
      <w:r>
        <w:rPr>
          <w:rStyle w:val="42"/>
        </w:rPr>
        <w:footnoteRef/>
      </w:r>
      <w:r>
        <w:t xml:space="preserve"> Vgl. </w:t>
      </w:r>
      <w:r>
        <w:rPr>
          <w:i/>
          <w:iCs/>
        </w:rPr>
        <w:t>Zerres, Christopher</w:t>
      </w:r>
      <w:r>
        <w:t>, Controlling von Social-Media-Marketing, 2024.</w:t>
      </w:r>
    </w:p>
  </w:footnote>
  <w:footnote w:id="44">
    <w:p w14:paraId="3EBBA085">
      <w:pPr>
        <w:pStyle w:val="27"/>
      </w:pPr>
      <w:r>
        <w:rPr>
          <w:rStyle w:val="42"/>
        </w:rPr>
        <w:footnoteRef/>
      </w:r>
      <w:r>
        <w:t xml:space="preserve"> Vgl. </w:t>
      </w:r>
      <w:r>
        <w:rPr>
          <w:i/>
          <w:iCs/>
        </w:rPr>
        <w:t>Frese u. a</w:t>
      </w:r>
      <w:r>
        <w:t>., Virtuelle Influencer und echte Bindungen, 2024.</w:t>
      </w:r>
    </w:p>
  </w:footnote>
  <w:footnote w:id="45">
    <w:p w14:paraId="6EE883AA">
      <w:pPr>
        <w:pStyle w:val="27"/>
      </w:pPr>
      <w:r>
        <w:rPr>
          <w:rStyle w:val="42"/>
        </w:rPr>
        <w:footnoteRef/>
      </w:r>
      <w:r>
        <w:t xml:space="preserve"> Vgl. </w:t>
      </w:r>
      <w:r>
        <w:rPr>
          <w:i/>
          <w:iCs/>
        </w:rPr>
        <w:t>Mähner u. a</w:t>
      </w:r>
      <w:r>
        <w:t>., Die Dualität des Neids im Kontext des Influencer-Marketings, 2024.</w:t>
      </w:r>
    </w:p>
  </w:footnote>
  <w:footnote w:id="46">
    <w:p w14:paraId="3552422D">
      <w:pPr>
        <w:pStyle w:val="27"/>
      </w:pPr>
      <w:r>
        <w:rPr>
          <w:rStyle w:val="42"/>
        </w:rPr>
        <w:footnoteRef/>
      </w:r>
      <w:r>
        <w:t xml:space="preserve"> Vgl. </w:t>
      </w:r>
      <w:r>
        <w:rPr>
          <w:i/>
          <w:iCs/>
        </w:rPr>
        <w:t>Mann u. a</w:t>
      </w:r>
      <w:r>
        <w:t>., Community-Marketing, 2024.</w:t>
      </w:r>
    </w:p>
  </w:footnote>
  <w:footnote w:id="47">
    <w:p w14:paraId="47CD2DE2">
      <w:pPr>
        <w:pStyle w:val="27"/>
      </w:pPr>
      <w:r>
        <w:rPr>
          <w:rStyle w:val="42"/>
        </w:rPr>
        <w:footnoteRef/>
      </w:r>
      <w:r>
        <w:t xml:space="preserve"> Vgl. </w:t>
      </w:r>
      <w:r>
        <w:rPr>
          <w:i/>
          <w:iCs/>
        </w:rPr>
        <w:t>Felden</w:t>
      </w:r>
      <w:r>
        <w:t>, Carsten (Hrsg.), Strategie, Architektur und Anwendung von Data Analytics, 2024.</w:t>
      </w:r>
    </w:p>
  </w:footnote>
  <w:footnote w:id="48">
    <w:p w14:paraId="78CDE33E">
      <w:pPr>
        <w:pStyle w:val="27"/>
      </w:pPr>
      <w:r>
        <w:rPr>
          <w:rStyle w:val="42"/>
        </w:rPr>
        <w:footnoteRef/>
      </w:r>
      <w:r>
        <w:t xml:space="preserve"> Vgl. </w:t>
      </w:r>
      <w:r>
        <w:rPr>
          <w:i/>
          <w:iCs/>
        </w:rPr>
        <w:t>Merdian, Angelika</w:t>
      </w:r>
      <w:r>
        <w:t>, Das Beispiel Unternehmensbewertung, 2017.</w:t>
      </w:r>
    </w:p>
  </w:footnote>
  <w:footnote w:id="49">
    <w:p w14:paraId="182601C3">
      <w:pPr>
        <w:pStyle w:val="27"/>
      </w:pPr>
      <w:r>
        <w:rPr>
          <w:rStyle w:val="42"/>
        </w:rPr>
        <w:footnoteRef/>
      </w:r>
      <w:r>
        <w:t xml:space="preserve"> Vgl. </w:t>
      </w:r>
      <w:r>
        <w:rPr>
          <w:i/>
          <w:iCs/>
        </w:rPr>
        <w:t>Biffl, Gudrun</w:t>
      </w:r>
      <w:r>
        <w:t>, Unternehmensbewertung und Unternehmensanalyse, 2018.</w:t>
      </w:r>
    </w:p>
  </w:footnote>
  <w:footnote w:id="50">
    <w:p w14:paraId="5E780EB9">
      <w:pPr>
        <w:pStyle w:val="27"/>
      </w:pPr>
      <w:r>
        <w:rPr>
          <w:rStyle w:val="42"/>
        </w:rPr>
        <w:footnoteRef/>
      </w:r>
      <w:r>
        <w:t xml:space="preserve"> Vgl. </w:t>
      </w:r>
      <w:r>
        <w:rPr>
          <w:i/>
          <w:iCs/>
        </w:rPr>
        <w:t>Schüler, Andreas</w:t>
      </w:r>
      <w:r>
        <w:t>, Unternehmensbewertung – Herausforderungen und Implikationen für die Praxis, 2020.</w:t>
      </w:r>
    </w:p>
  </w:footnote>
  <w:footnote w:id="51">
    <w:p w14:paraId="1C022F51">
      <w:pPr>
        <w:pStyle w:val="27"/>
      </w:pPr>
      <w:r>
        <w:rPr>
          <w:rStyle w:val="42"/>
        </w:rPr>
        <w:footnoteRef/>
      </w:r>
      <w:r>
        <w:t xml:space="preserve"> Vgl. </w:t>
      </w:r>
      <w:r>
        <w:rPr>
          <w:i/>
          <w:iCs/>
        </w:rPr>
        <w:t>Nestler, Sebastian</w:t>
      </w:r>
      <w:r>
        <w:t>, Zusammenfassung, 2019.</w:t>
      </w:r>
    </w:p>
  </w:footnote>
  <w:footnote w:id="52">
    <w:p w14:paraId="019A4927">
      <w:pPr>
        <w:pStyle w:val="27"/>
      </w:pPr>
      <w:r>
        <w:rPr>
          <w:rStyle w:val="42"/>
        </w:rPr>
        <w:footnoteRef/>
      </w:r>
      <w:r>
        <w:t xml:space="preserve"> Vgl. </w:t>
      </w:r>
      <w:r>
        <w:rPr>
          <w:i/>
          <w:iCs/>
        </w:rPr>
        <w:t>Knobloch, Thomas</w:t>
      </w:r>
      <w:r>
        <w:t>, Strategisches Konfliktmanagement, 2025.</w:t>
      </w:r>
    </w:p>
  </w:footnote>
  <w:footnote w:id="53">
    <w:p w14:paraId="456CF689">
      <w:pPr>
        <w:pStyle w:val="27"/>
      </w:pPr>
      <w:r>
        <w:rPr>
          <w:rStyle w:val="42"/>
        </w:rPr>
        <w:footnoteRef/>
      </w:r>
      <w:r>
        <w:t xml:space="preserve"> Vgl. </w:t>
      </w:r>
      <w:r>
        <w:rPr>
          <w:i/>
          <w:iCs/>
        </w:rPr>
        <w:t>Knobloch, Thomas</w:t>
      </w:r>
      <w:r>
        <w:t>, Strategisches Konfliktmanagement und Konzeption dieses Buches, 2025.</w:t>
      </w:r>
    </w:p>
  </w:footnote>
  <w:footnote w:id="54">
    <w:p w14:paraId="2A426879">
      <w:pPr>
        <w:pStyle w:val="27"/>
      </w:pPr>
      <w:r>
        <w:rPr>
          <w:rStyle w:val="42"/>
        </w:rPr>
        <w:footnoteRef/>
      </w:r>
      <w:r>
        <w:t xml:space="preserve"> Vgl. </w:t>
      </w:r>
      <w:r>
        <w:rPr>
          <w:i/>
          <w:iCs/>
        </w:rPr>
        <w:t>Knobloch, Thomas</w:t>
      </w:r>
      <w:r>
        <w:t>, Rahmensetzungen und Befunde , 2025.</w:t>
      </w:r>
    </w:p>
  </w:footnote>
  <w:footnote w:id="55">
    <w:p w14:paraId="65D69E8D">
      <w:pPr>
        <w:pStyle w:val="27"/>
      </w:pPr>
      <w:r>
        <w:rPr>
          <w:rStyle w:val="42"/>
        </w:rPr>
        <w:footnoteRef/>
      </w:r>
      <w:r>
        <w:t xml:space="preserve"> Vgl. </w:t>
      </w:r>
      <w:r>
        <w:rPr>
          <w:i/>
          <w:iCs/>
        </w:rPr>
        <w:t>Knobloch, Thomas</w:t>
      </w:r>
      <w:r>
        <w:t>, Verantwortungsvolle Unternehmensführung , 2025.</w:t>
      </w:r>
    </w:p>
  </w:footnote>
  <w:footnote w:id="56">
    <w:p w14:paraId="60F1BDE4">
      <w:pPr>
        <w:pStyle w:val="27"/>
      </w:pPr>
      <w:r>
        <w:rPr>
          <w:rStyle w:val="42"/>
        </w:rPr>
        <w:footnoteRef/>
      </w:r>
      <w:r>
        <w:t xml:space="preserve"> Vgl. </w:t>
      </w:r>
      <w:r>
        <w:rPr>
          <w:i/>
          <w:iCs/>
        </w:rPr>
        <w:t>Knobloch, Thomas</w:t>
      </w:r>
      <w:r>
        <w:t>, Entwicklungsstufen und Basisstrukturen, 2025.</w:t>
      </w:r>
    </w:p>
  </w:footnote>
  <w:footnote w:id="57">
    <w:p w14:paraId="5E2AAA9B">
      <w:pPr>
        <w:pStyle w:val="27"/>
      </w:pPr>
      <w:r>
        <w:rPr>
          <w:rStyle w:val="42"/>
        </w:rPr>
        <w:footnoteRef/>
      </w:r>
      <w:r>
        <w:t xml:space="preserve"> Vgl.</w:t>
      </w:r>
      <w:r>
        <w:rPr>
          <w:i/>
          <w:iCs/>
        </w:rPr>
        <w:t xml:space="preserve"> Knobloch, Thomas</w:t>
      </w:r>
      <w:r>
        <w:t>, Zusammenführung von Konflikt- und Risikomanagementsystemen, 2025.</w:t>
      </w:r>
    </w:p>
  </w:footnote>
  <w:footnote w:id="58">
    <w:p w14:paraId="461A4C73">
      <w:pPr>
        <w:pStyle w:val="27"/>
      </w:pPr>
      <w:r>
        <w:rPr>
          <w:rStyle w:val="42"/>
        </w:rPr>
        <w:footnoteRef/>
      </w:r>
      <w:r>
        <w:t xml:space="preserve"> Vgl.</w:t>
      </w:r>
      <w:r>
        <w:rPr>
          <w:i/>
          <w:iCs/>
        </w:rPr>
        <w:t xml:space="preserve"> Knobloch, Thomas</w:t>
      </w:r>
      <w:r>
        <w:t>, Aktuelle Strategiethemen für ein integriertes Konfliktmanagement, 2025.</w:t>
      </w:r>
    </w:p>
  </w:footnote>
  <w:footnote w:id="59">
    <w:p w14:paraId="4F6C52EC">
      <w:pPr>
        <w:pStyle w:val="27"/>
      </w:pPr>
      <w:r>
        <w:rPr>
          <w:rStyle w:val="42"/>
        </w:rPr>
        <w:footnoteRef/>
      </w:r>
      <w:r>
        <w:t xml:space="preserve"> Vgl.</w:t>
      </w:r>
      <w:r>
        <w:rPr>
          <w:i/>
          <w:iCs/>
        </w:rPr>
        <w:t xml:space="preserve"> Knobloch, Thomas</w:t>
      </w:r>
      <w:r>
        <w:t>, Zusammenfassung und Perspektiven, 2025.</w:t>
      </w:r>
    </w:p>
  </w:footnote>
  <w:footnote w:id="60">
    <w:p w14:paraId="64688DAF">
      <w:pPr>
        <w:pStyle w:val="27"/>
      </w:pPr>
      <w:r>
        <w:rPr>
          <w:rStyle w:val="42"/>
        </w:rPr>
        <w:footnoteRef/>
      </w:r>
      <w:r>
        <w:t xml:space="preserve"> Vgl. </w:t>
      </w:r>
      <w:r>
        <w:rPr>
          <w:i/>
          <w:iCs/>
        </w:rPr>
        <w:t>Knobloch, Thomas</w:t>
      </w:r>
      <w:r>
        <w:t>, Anhang, 2025.</w:t>
      </w:r>
    </w:p>
  </w:footnote>
  <w:footnote w:id="61">
    <w:p w14:paraId="785F574A">
      <w:pPr>
        <w:pStyle w:val="27"/>
      </w:pPr>
      <w:r>
        <w:rPr>
          <w:rStyle w:val="42"/>
        </w:rPr>
        <w:footnoteRef/>
      </w:r>
      <w:r>
        <w:t xml:space="preserve"> Vgl. </w:t>
      </w:r>
      <w:r>
        <w:rPr>
          <w:i/>
          <w:iCs/>
        </w:rPr>
        <w:t>Proksch, Stephan</w:t>
      </w:r>
      <w:r>
        <w:t>, Mediation – Die Kunst der professionellen Konfliktlösung, 2018.</w:t>
      </w:r>
    </w:p>
  </w:footnote>
  <w:footnote w:id="62">
    <w:p w14:paraId="1C483A67">
      <w:pPr>
        <w:pStyle w:val="27"/>
      </w:pPr>
      <w:r>
        <w:rPr>
          <w:rStyle w:val="42"/>
        </w:rPr>
        <w:footnoteRef/>
      </w:r>
      <w:r>
        <w:t xml:space="preserve"> Vgl. </w:t>
      </w:r>
      <w:r>
        <w:rPr>
          <w:i/>
          <w:iCs/>
        </w:rPr>
        <w:t>Rabe u. a.</w:t>
      </w:r>
      <w:r>
        <w:t>, Mediation – Grundlagen, Methoden, rechtlicher Rahmen (2, 2020.</w:t>
      </w:r>
    </w:p>
  </w:footnote>
  <w:footnote w:id="63">
    <w:p w14:paraId="4B846BDA">
      <w:pPr>
        <w:pStyle w:val="27"/>
      </w:pPr>
      <w:r>
        <w:rPr>
          <w:rStyle w:val="42"/>
        </w:rPr>
        <w:footnoteRef/>
      </w:r>
      <w:r>
        <w:t xml:space="preserve"> Vgl. </w:t>
      </w:r>
      <w:r>
        <w:rPr>
          <w:i/>
          <w:iCs/>
        </w:rPr>
        <w:t>Hillmann, Martin</w:t>
      </w:r>
      <w:r>
        <w:t>, Krisenkommunikation: Nach der Krise ist vor der Krise, 2025.</w:t>
      </w:r>
    </w:p>
  </w:footnote>
  <w:footnote w:id="64">
    <w:p w14:paraId="27A3AA44">
      <w:pPr>
        <w:pStyle w:val="27"/>
      </w:pPr>
      <w:r>
        <w:rPr>
          <w:rStyle w:val="42"/>
        </w:rPr>
        <w:footnoteRef/>
      </w:r>
      <w:r>
        <w:t xml:space="preserve"> Vgl. </w:t>
      </w:r>
      <w:r>
        <w:rPr>
          <w:i/>
          <w:iCs/>
        </w:rPr>
        <w:t>Kolodej, Christa</w:t>
      </w:r>
      <w:r>
        <w:t>, Strukturaufstellungen für Konflikte, Mobbing und Mediation (2, 2019.</w:t>
      </w:r>
    </w:p>
  </w:footnote>
  <w:footnote w:id="65">
    <w:p w14:paraId="35D2B66E">
      <w:pPr>
        <w:pStyle w:val="27"/>
      </w:pPr>
      <w:r>
        <w:rPr>
          <w:rStyle w:val="42"/>
        </w:rPr>
        <w:footnoteRef/>
      </w:r>
      <w:r>
        <w:t xml:space="preserve"> Vgl. </w:t>
      </w:r>
      <w:r>
        <w:rPr>
          <w:i/>
          <w:iCs/>
        </w:rPr>
        <w:t>Hartmann-Piraudeau</w:t>
      </w:r>
      <w:r>
        <w:rPr>
          <w:b w:val="0"/>
          <w:bCs w:val="0"/>
          <w:i/>
          <w:iCs/>
        </w:rPr>
        <w:t>, Andrea</w:t>
      </w:r>
      <w:r>
        <w:t>, Psychological Effects in Mediation, 2022.</w:t>
      </w:r>
    </w:p>
  </w:footnote>
  <w:footnote w:id="66">
    <w:p w14:paraId="5CFD74F1">
      <w:pPr>
        <w:pStyle w:val="27"/>
      </w:pPr>
      <w:r>
        <w:rPr>
          <w:rStyle w:val="42"/>
        </w:rPr>
        <w:footnoteRef/>
      </w:r>
      <w:r>
        <w:t xml:space="preserve"> Vgl. </w:t>
      </w:r>
      <w:r>
        <w:rPr>
          <w:i/>
          <w:iCs/>
        </w:rPr>
        <w:t>Durst u. a</w:t>
      </w:r>
      <w:r>
        <w:t>., Umdenken beim Verkauf von Business-to-Business-Lösungen, 2024.</w:t>
      </w:r>
    </w:p>
  </w:footnote>
  <w:footnote w:id="67">
    <w:p w14:paraId="54BB00FF">
      <w:pPr>
        <w:pStyle w:val="27"/>
      </w:pPr>
      <w:r>
        <w:rPr>
          <w:rStyle w:val="42"/>
        </w:rPr>
        <w:footnoteRef/>
      </w:r>
      <w:r>
        <w:t xml:space="preserve"> Vgl. </w:t>
      </w:r>
      <w:r>
        <w:rPr>
          <w:i/>
          <w:iCs/>
        </w:rPr>
        <w:t>Jansen u. a</w:t>
      </w:r>
      <w:r>
        <w:t>., KI-basierte Textkreation im Content Marketing, 2024.</w:t>
      </w:r>
    </w:p>
  </w:footnote>
  <w:footnote w:id="68">
    <w:p w14:paraId="414310D7">
      <w:pPr>
        <w:pStyle w:val="27"/>
      </w:pPr>
      <w:r>
        <w:rPr>
          <w:rStyle w:val="42"/>
        </w:rPr>
        <w:footnoteRef/>
      </w:r>
      <w:r>
        <w:t xml:space="preserve"> Vgl. </w:t>
      </w:r>
      <w:r>
        <w:rPr>
          <w:i/>
          <w:iCs/>
        </w:rPr>
        <w:t>Puschmann, Thomas u. a</w:t>
      </w:r>
      <w:r>
        <w:t>., Empirische Untersuchung der Nutzerakzeptanz, 2024.</w:t>
      </w:r>
    </w:p>
  </w:footnote>
  <w:footnote w:id="69">
    <w:p w14:paraId="66030B9D">
      <w:pPr>
        <w:pStyle w:val="27"/>
      </w:pPr>
      <w:r>
        <w:rPr>
          <w:rStyle w:val="42"/>
        </w:rPr>
        <w:footnoteRef/>
      </w:r>
      <w:r>
        <w:t xml:space="preserve"> Vgl. </w:t>
      </w:r>
      <w:r>
        <w:rPr>
          <w:i/>
          <w:iCs/>
        </w:rPr>
        <w:t>Engelhardt, Kristin</w:t>
      </w:r>
      <w:r>
        <w:t>, Interne Kommunikation mit digitalen Medien</w:t>
      </w:r>
      <w:r>
        <w:rPr>
          <w:rFonts w:hint="eastAsia"/>
          <w:lang w:val="en-US" w:eastAsia="zh-CN"/>
        </w:rPr>
        <w:t>,,</w:t>
      </w:r>
      <w:r>
        <w:t xml:space="preserve"> 2020.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944B5">
    <w:pPr>
      <w:pStyle w:val="21"/>
      <w:jc w:val="right"/>
    </w:pPr>
    <w:r>
      <w:rPr>
        <w:sz w:val="24"/>
      </w:rPr>
      <w:pict>
        <v:shape id="_x0000_s2049" o:spid="_x0000_s2049" o:spt="202" type="#_x0000_t202" style="position:absolute;left:0pt;margin-top:0pt;height:144pt;width:144pt;mso-position-horizontal:right;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062D7142">
                <w:pPr>
                  <w:pStyle w:val="21"/>
                  <w:jc w:val="right"/>
                </w:pPr>
                <w:r>
                  <w:fldChar w:fldCharType="begin"/>
                </w:r>
                <w:r>
                  <w:instrText xml:space="preserve"> PAGE </w:instrText>
                </w:r>
                <w:r>
                  <w:fldChar w:fldCharType="separate"/>
                </w:r>
                <w:r>
                  <w:t>0</w:t>
                </w:r>
                <w:r>
                  <w:fldChar w:fldCharType="end"/>
                </w:r>
              </w:p>
            </w:txbxContent>
          </v:textbox>
        </v:shape>
      </w:pict>
    </w:r>
  </w:p>
  <w:p w14:paraId="6AC4F7F2">
    <w:pPr>
      <w:pStyle w:val="21"/>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F1AEC">
    <w:pPr>
      <w:pStyle w:val="21"/>
    </w:pPr>
    <w:r>
      <w:rPr>
        <w:sz w:val="24"/>
      </w:rPr>
      <w:pict>
        <v:shape id="_x0000_s2050" o:spid="_x0000_s2050" o:spt="202" type="#_x0000_t202" style="position:absolute;left:0pt;margin-top:0pt;height:144pt;width:144pt;mso-position-horizontal:right;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14:paraId="79206A59">
                <w:pPr>
                  <w:pStyle w:val="21"/>
                </w:pPr>
                <w:r>
                  <w:fldChar w:fldCharType="begin"/>
                </w:r>
                <w:r>
                  <w:instrText xml:space="preserve"> PAGE  \* MERGEFORMAT </w:instrText>
                </w:r>
                <w:r>
                  <w:fldChar w:fldCharType="separate"/>
                </w:r>
                <w:r>
                  <w:t>1</w:t>
                </w:r>
                <w:r>
                  <w:fldChar w:fldCharType="end"/>
                </w:r>
              </w:p>
            </w:txbxContent>
          </v:textbox>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D1B05">
    <w:pPr>
      <w:pStyle w:val="21"/>
      <w:jc w:val="right"/>
    </w:pPr>
    <w:r>
      <w:rPr>
        <w:sz w:val="24"/>
      </w:rPr>
      <w:pict>
        <v:shape id="_x0000_s2051" o:spid="_x0000_s2051" o:spt="202" type="#_x0000_t202" style="position:absolute;left:0pt;margin-top:0pt;height:144pt;width:144pt;mso-position-horizontal:right;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14:paraId="638C1C6F">
                <w:pPr>
                  <w:pStyle w:val="21"/>
                  <w:jc w:val="right"/>
                </w:pPr>
                <w:r>
                  <w:fldChar w:fldCharType="begin"/>
                </w:r>
                <w:r>
                  <w:instrText xml:space="preserve"> PAGE </w:instrText>
                </w:r>
                <w:r>
                  <w:fldChar w:fldCharType="separate"/>
                </w:r>
                <w:r>
                  <w:t>III</w:t>
                </w:r>
                <w:r>
                  <w:fldChar w:fldCharType="end"/>
                </w:r>
              </w:p>
            </w:txbxContent>
          </v:textbox>
        </v:shape>
      </w:pict>
    </w:r>
  </w:p>
  <w:p w14:paraId="0E566B52">
    <w:pPr>
      <w:pStyle w:val="21"/>
    </w:pPr>
    <w:r>
      <w:tab/>
    </w:r>
  </w:p>
  <w:p w14:paraId="2D9DA6A3">
    <w:pPr>
      <w:pStyle w:val="2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F0B11"/>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F83D2">
    <w:pPr>
      <w:pStyle w:val="21"/>
      <w:jc w:val="right"/>
    </w:pPr>
    <w:r>
      <w:rPr>
        <w:sz w:val="24"/>
      </w:rPr>
      <w:pict>
        <v:shape id="_x0000_s2052" o:spid="_x0000_s2052" o:spt="202" type="#_x0000_t202" style="position:absolute;left:0pt;margin-top:0pt;height:144pt;width:144pt;mso-position-horizontal:right;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14:paraId="7E4C6E1D">
                <w:pPr>
                  <w:pStyle w:val="21"/>
                </w:pPr>
                <w:r>
                  <w:fldChar w:fldCharType="begin"/>
                </w:r>
                <w:r>
                  <w:instrText xml:space="preserve"> PAGE  \* MERGEFORMAT </w:instrText>
                </w:r>
                <w:r>
                  <w:fldChar w:fldCharType="separate"/>
                </w:r>
                <w:r>
                  <w:t>0</w:t>
                </w:r>
                <w:r>
                  <w:fldChar w:fldCharType="end"/>
                </w:r>
              </w:p>
            </w:txbxContent>
          </v:textbox>
        </v:shape>
      </w:pict>
    </w:r>
  </w:p>
  <w:p w14:paraId="1D8CC80A">
    <w:pPr>
      <w:pStyle w:val="21"/>
      <w:rPr>
        <w:highlight w:val="yellow"/>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FD98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33315"/>
    <w:multiLevelType w:val="multilevel"/>
    <w:tmpl w:val="81233315"/>
    <w:lvl w:ilvl="0" w:tentative="0">
      <w:start w:val="1"/>
      <w:numFmt w:val="decimal"/>
      <w:pStyle w:val="92"/>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suff w:val="space"/>
      <w:lvlText w:val="%1.%2.%3"/>
      <w:lvlJc w:val="left"/>
      <w:pPr>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abstractNum w:abstractNumId="1">
    <w:nsid w:val="0053208E"/>
    <w:multiLevelType w:val="multilevel"/>
    <w:tmpl w:val="0053208E"/>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1644"/>
  <w:autoHyphenation/>
  <w:hyphenationZone w:val="0"/>
  <w:hdrShapeDefaults>
    <o:shapelayout v:ext="edit">
      <o:idmap v:ext="edit" data="2"/>
    </o:shapelayout>
  </w:hdrShapeDefaults>
  <w:footnotePr>
    <w:footnote w:id="140"/>
    <w:footnote w:id="141"/>
  </w:footnotePr>
  <w:compat>
    <w:doNotExpandShiftReturn/>
    <w:doNotBreakWrappedTables/>
    <w:useFELayout/>
    <w:compatSetting w:name="compatibilityMode" w:uri="http://schemas.microsoft.com/office/word" w:val="11"/>
  </w:compat>
  <w:docVars>
    <w:docVar w:name="commondata" w:val="eyJoZGlkIjoiZTUyMGEzMDE3YTk1ZWNlYjhhOGFiMWRmNjc2NDA3YTIifQ=="/>
  </w:docVars>
  <w:rsids>
    <w:rsidRoot w:val="00000000"/>
    <w:rsid w:val="054348FA"/>
    <w:rsid w:val="11A55C1D"/>
    <w:rsid w:val="373736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Lohit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suppressAutoHyphens/>
      <w:bidi w:val="0"/>
      <w:jc w:val="both"/>
    </w:pPr>
    <w:rPr>
      <w:rFonts w:ascii="Times New Roman" w:hAnsi="Times New Roman" w:eastAsia="宋体" w:cs="Times New Roman"/>
      <w:color w:val="auto"/>
      <w:sz w:val="24"/>
      <w:szCs w:val="24"/>
      <w:lang w:val="de-DE" w:eastAsia="de-DE" w:bidi="ar-SA"/>
    </w:rPr>
  </w:style>
  <w:style w:type="paragraph" w:styleId="3">
    <w:name w:val="heading 1"/>
    <w:basedOn w:val="4"/>
    <w:next w:val="2"/>
    <w:qFormat/>
    <w:uiPriority w:val="0"/>
    <w:pPr>
      <w:keepNext/>
      <w:numPr>
        <w:ilvl w:val="0"/>
        <w:numId w:val="1"/>
      </w:numPr>
      <w:spacing w:before="0" w:after="240" w:line="360" w:lineRule="auto"/>
      <w:ind w:left="431" w:right="0" w:hanging="431"/>
      <w:outlineLvl w:val="0"/>
    </w:pPr>
    <w:rPr>
      <w:b/>
      <w:sz w:val="28"/>
    </w:rPr>
  </w:style>
  <w:style w:type="paragraph" w:styleId="5">
    <w:name w:val="heading 2"/>
    <w:basedOn w:val="4"/>
    <w:next w:val="1"/>
    <w:qFormat/>
    <w:uiPriority w:val="0"/>
    <w:pPr>
      <w:numPr>
        <w:ilvl w:val="0"/>
        <w:numId w:val="1"/>
      </w:numPr>
      <w:spacing w:before="0" w:after="240"/>
      <w:ind w:left="578" w:right="0" w:hanging="578"/>
      <w:outlineLvl w:val="1"/>
    </w:pPr>
    <w:rPr>
      <w:b/>
      <w:color w:val="000000"/>
    </w:rPr>
  </w:style>
  <w:style w:type="paragraph" w:styleId="6">
    <w:name w:val="heading 3"/>
    <w:basedOn w:val="1"/>
    <w:next w:val="1"/>
    <w:qFormat/>
    <w:uiPriority w:val="0"/>
    <w:pPr>
      <w:keepNext/>
      <w:numPr>
        <w:ilvl w:val="0"/>
        <w:numId w:val="1"/>
      </w:numPr>
      <w:spacing w:before="0" w:after="240" w:line="360" w:lineRule="auto"/>
      <w:outlineLvl w:val="2"/>
    </w:pPr>
    <w:rPr>
      <w:b/>
    </w:rPr>
  </w:style>
  <w:style w:type="paragraph" w:styleId="7">
    <w:name w:val="heading 4"/>
    <w:basedOn w:val="6"/>
    <w:next w:val="1"/>
    <w:qFormat/>
    <w:uiPriority w:val="0"/>
    <w:pPr>
      <w:numPr>
        <w:ilvl w:val="0"/>
        <w:numId w:val="1"/>
      </w:numPr>
      <w:outlineLvl w:val="3"/>
    </w:pPr>
  </w:style>
  <w:style w:type="paragraph" w:styleId="8">
    <w:name w:val="heading 5"/>
    <w:basedOn w:val="1"/>
    <w:next w:val="1"/>
    <w:qFormat/>
    <w:uiPriority w:val="0"/>
    <w:pPr>
      <w:keepNext/>
      <w:numPr>
        <w:ilvl w:val="0"/>
        <w:numId w:val="1"/>
      </w:numPr>
      <w:jc w:val="center"/>
      <w:outlineLvl w:val="4"/>
    </w:pPr>
    <w:rPr>
      <w:b/>
      <w:bCs/>
      <w:sz w:val="28"/>
    </w:rPr>
  </w:style>
  <w:style w:type="paragraph" w:styleId="9">
    <w:name w:val="heading 6"/>
    <w:basedOn w:val="1"/>
    <w:next w:val="1"/>
    <w:qFormat/>
    <w:uiPriority w:val="0"/>
    <w:pPr>
      <w:numPr>
        <w:ilvl w:val="0"/>
        <w:numId w:val="1"/>
      </w:numPr>
      <w:spacing w:before="240" w:after="60"/>
      <w:outlineLvl w:val="5"/>
    </w:pPr>
    <w:rPr>
      <w:rFonts w:ascii="Calibri" w:hAnsi="Calibri" w:eastAsia="Times New Roman" w:cs="Times New Roman"/>
      <w:b/>
      <w:bCs/>
      <w:sz w:val="22"/>
      <w:szCs w:val="22"/>
    </w:rPr>
  </w:style>
  <w:style w:type="paragraph" w:styleId="10">
    <w:name w:val="heading 7"/>
    <w:basedOn w:val="1"/>
    <w:next w:val="1"/>
    <w:qFormat/>
    <w:uiPriority w:val="0"/>
    <w:pPr>
      <w:numPr>
        <w:ilvl w:val="0"/>
        <w:numId w:val="1"/>
      </w:numPr>
      <w:spacing w:before="240" w:after="60"/>
      <w:outlineLvl w:val="6"/>
    </w:pPr>
    <w:rPr>
      <w:rFonts w:ascii="Calibri" w:hAnsi="Calibri" w:eastAsia="Times New Roman" w:cs="Times New Roman"/>
    </w:rPr>
  </w:style>
  <w:style w:type="paragraph" w:styleId="11">
    <w:name w:val="heading 8"/>
    <w:basedOn w:val="1"/>
    <w:next w:val="1"/>
    <w:qFormat/>
    <w:uiPriority w:val="0"/>
    <w:pPr>
      <w:numPr>
        <w:ilvl w:val="0"/>
        <w:numId w:val="1"/>
      </w:numPr>
      <w:spacing w:before="240" w:after="60"/>
      <w:outlineLvl w:val="7"/>
    </w:pPr>
    <w:rPr>
      <w:rFonts w:ascii="Calibri" w:hAnsi="Calibri" w:eastAsia="Times New Roman" w:cs="Times New Roman"/>
      <w:i/>
      <w:iCs/>
    </w:rPr>
  </w:style>
  <w:style w:type="paragraph" w:styleId="12">
    <w:name w:val="heading 9"/>
    <w:basedOn w:val="1"/>
    <w:next w:val="1"/>
    <w:qFormat/>
    <w:uiPriority w:val="0"/>
    <w:pPr>
      <w:numPr>
        <w:ilvl w:val="0"/>
        <w:numId w:val="1"/>
      </w:numPr>
      <w:spacing w:before="240" w:after="60"/>
      <w:outlineLvl w:val="8"/>
    </w:pPr>
    <w:rPr>
      <w:rFonts w:ascii="Cambria" w:hAnsi="Cambria" w:eastAsia="Times New Roman" w:cs="Times New Roman"/>
      <w:sz w:val="22"/>
      <w:szCs w:val="22"/>
    </w:rPr>
  </w:style>
  <w:style w:type="character" w:default="1" w:styleId="34">
    <w:name w:val="Default Paragraph Font"/>
    <w:semiHidden/>
    <w:uiPriority w:val="0"/>
  </w:style>
  <w:style w:type="table" w:default="1" w:styleId="3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line="360" w:lineRule="auto"/>
      <w:jc w:val="both"/>
    </w:pPr>
  </w:style>
  <w:style w:type="paragraph" w:customStyle="1" w:styleId="4">
    <w:name w:val="_Style 4"/>
    <w:basedOn w:val="1"/>
    <w:next w:val="1"/>
    <w:qFormat/>
    <w:uiPriority w:val="0"/>
  </w:style>
  <w:style w:type="paragraph" w:styleId="13">
    <w:name w:val="toc 7"/>
    <w:basedOn w:val="1"/>
    <w:next w:val="1"/>
    <w:qFormat/>
    <w:uiPriority w:val="0"/>
    <w:pPr>
      <w:ind w:left="1440" w:right="0" w:firstLine="0"/>
    </w:pPr>
  </w:style>
  <w:style w:type="paragraph" w:styleId="14">
    <w:name w:val="caption"/>
    <w:basedOn w:val="1"/>
    <w:qFormat/>
    <w:uiPriority w:val="0"/>
    <w:pPr>
      <w:suppressLineNumbers/>
      <w:spacing w:before="120" w:after="120"/>
    </w:pPr>
    <w:rPr>
      <w:rFonts w:cs="Lohit Devanagari"/>
      <w:i/>
      <w:iCs/>
      <w:sz w:val="24"/>
      <w:szCs w:val="24"/>
    </w:rPr>
  </w:style>
  <w:style w:type="paragraph" w:styleId="15">
    <w:name w:val="Body Text Indent"/>
    <w:basedOn w:val="1"/>
    <w:uiPriority w:val="0"/>
    <w:pPr>
      <w:spacing w:line="360" w:lineRule="auto"/>
      <w:ind w:left="705" w:right="0" w:firstLine="0"/>
    </w:pPr>
  </w:style>
  <w:style w:type="paragraph" w:styleId="16">
    <w:name w:val="toc 5"/>
    <w:basedOn w:val="1"/>
    <w:next w:val="1"/>
    <w:qFormat/>
    <w:uiPriority w:val="0"/>
    <w:pPr>
      <w:ind w:left="960" w:right="0" w:firstLine="0"/>
    </w:pPr>
  </w:style>
  <w:style w:type="paragraph" w:styleId="17">
    <w:name w:val="toc 3"/>
    <w:basedOn w:val="1"/>
    <w:next w:val="1"/>
    <w:uiPriority w:val="0"/>
    <w:pPr>
      <w:tabs>
        <w:tab w:val="left" w:pos="1320"/>
        <w:tab w:val="left" w:pos="1701"/>
        <w:tab w:val="right" w:leader="dot" w:pos="8494"/>
      </w:tabs>
      <w:spacing w:before="0" w:after="60"/>
      <w:ind w:left="454" w:right="0" w:firstLine="0"/>
    </w:pPr>
    <w:rPr>
      <w:lang w:val="en-US" w:eastAsia="en-US"/>
    </w:rPr>
  </w:style>
  <w:style w:type="paragraph" w:styleId="18">
    <w:name w:val="toc 8"/>
    <w:basedOn w:val="1"/>
    <w:next w:val="1"/>
    <w:qFormat/>
    <w:uiPriority w:val="0"/>
    <w:pPr>
      <w:ind w:left="1680" w:right="0" w:firstLine="0"/>
    </w:pPr>
  </w:style>
  <w:style w:type="paragraph" w:styleId="19">
    <w:name w:val="index 3"/>
    <w:basedOn w:val="1"/>
    <w:next w:val="1"/>
    <w:qFormat/>
    <w:uiPriority w:val="0"/>
    <w:pPr>
      <w:ind w:left="720" w:right="0" w:hanging="240"/>
    </w:pPr>
  </w:style>
  <w:style w:type="paragraph" w:styleId="20">
    <w:name w:val="footer"/>
    <w:basedOn w:val="1"/>
    <w:qFormat/>
    <w:uiPriority w:val="0"/>
    <w:pPr>
      <w:tabs>
        <w:tab w:val="center" w:pos="4536"/>
        <w:tab w:val="right" w:pos="9072"/>
      </w:tabs>
    </w:pPr>
  </w:style>
  <w:style w:type="paragraph" w:styleId="21">
    <w:name w:val="header"/>
    <w:basedOn w:val="1"/>
    <w:qFormat/>
    <w:uiPriority w:val="0"/>
    <w:pPr>
      <w:tabs>
        <w:tab w:val="center" w:pos="4536"/>
        <w:tab w:val="right" w:pos="9072"/>
      </w:tabs>
    </w:pPr>
  </w:style>
  <w:style w:type="paragraph" w:styleId="22">
    <w:name w:val="toc 1"/>
    <w:basedOn w:val="1"/>
    <w:next w:val="1"/>
    <w:qFormat/>
    <w:uiPriority w:val="0"/>
    <w:pPr>
      <w:tabs>
        <w:tab w:val="left" w:pos="440"/>
        <w:tab w:val="right" w:leader="dot" w:pos="8494"/>
      </w:tabs>
      <w:spacing w:before="200" w:after="120"/>
    </w:pPr>
    <w:rPr>
      <w:b/>
      <w:lang w:val="en-US" w:eastAsia="en-US"/>
    </w:rPr>
  </w:style>
  <w:style w:type="paragraph" w:styleId="23">
    <w:name w:val="toc 4"/>
    <w:basedOn w:val="1"/>
    <w:next w:val="1"/>
    <w:uiPriority w:val="0"/>
    <w:pPr>
      <w:tabs>
        <w:tab w:val="left" w:pos="1680"/>
        <w:tab w:val="left" w:pos="2071"/>
        <w:tab w:val="right" w:leader="dot" w:pos="8494"/>
      </w:tabs>
      <w:ind w:left="680" w:right="0" w:firstLine="0"/>
    </w:pPr>
  </w:style>
  <w:style w:type="paragraph" w:styleId="24">
    <w:name w:val="index heading"/>
    <w:basedOn w:val="1"/>
    <w:next w:val="25"/>
    <w:qFormat/>
    <w:uiPriority w:val="0"/>
  </w:style>
  <w:style w:type="paragraph" w:styleId="25">
    <w:name w:val="index 1"/>
    <w:basedOn w:val="1"/>
    <w:next w:val="1"/>
    <w:uiPriority w:val="0"/>
    <w:pPr>
      <w:ind w:left="240" w:right="0" w:hanging="240"/>
    </w:pPr>
  </w:style>
  <w:style w:type="paragraph" w:styleId="26">
    <w:name w:val="List"/>
    <w:basedOn w:val="2"/>
    <w:qFormat/>
    <w:uiPriority w:val="0"/>
    <w:rPr>
      <w:rFonts w:cs="Lohit Devanagari"/>
    </w:rPr>
  </w:style>
  <w:style w:type="paragraph" w:styleId="27">
    <w:name w:val="footnote text"/>
    <w:basedOn w:val="1"/>
    <w:qFormat/>
    <w:uiPriority w:val="0"/>
    <w:rPr>
      <w:sz w:val="20"/>
      <w:szCs w:val="20"/>
    </w:rPr>
  </w:style>
  <w:style w:type="paragraph" w:styleId="28">
    <w:name w:val="toc 6"/>
    <w:basedOn w:val="1"/>
    <w:next w:val="1"/>
    <w:uiPriority w:val="0"/>
    <w:pPr>
      <w:ind w:left="1200" w:right="0" w:firstLine="0"/>
    </w:pPr>
  </w:style>
  <w:style w:type="paragraph" w:styleId="29">
    <w:name w:val="table of figures"/>
    <w:basedOn w:val="1"/>
    <w:next w:val="1"/>
    <w:uiPriority w:val="0"/>
    <w:pPr>
      <w:ind w:leftChars="200" w:hanging="200" w:hangingChars="200"/>
    </w:pPr>
  </w:style>
  <w:style w:type="paragraph" w:styleId="30">
    <w:name w:val="toc 2"/>
    <w:basedOn w:val="1"/>
    <w:next w:val="1"/>
    <w:qFormat/>
    <w:uiPriority w:val="0"/>
    <w:pPr>
      <w:tabs>
        <w:tab w:val="left" w:pos="880"/>
        <w:tab w:val="left" w:pos="1200"/>
        <w:tab w:val="right" w:leader="dot" w:pos="8494"/>
      </w:tabs>
      <w:spacing w:before="60" w:after="60"/>
      <w:ind w:left="227" w:right="0" w:firstLine="0"/>
    </w:pPr>
    <w:rPr>
      <w:lang w:val="en-US" w:eastAsia="en-US"/>
    </w:rPr>
  </w:style>
  <w:style w:type="paragraph" w:styleId="31">
    <w:name w:val="toc 9"/>
    <w:basedOn w:val="1"/>
    <w:next w:val="1"/>
    <w:qFormat/>
    <w:uiPriority w:val="0"/>
    <w:pPr>
      <w:ind w:left="1920" w:right="0" w:firstLine="0"/>
    </w:pPr>
  </w:style>
  <w:style w:type="paragraph" w:styleId="32">
    <w:name w:val="index 2"/>
    <w:basedOn w:val="1"/>
    <w:next w:val="1"/>
    <w:qFormat/>
    <w:uiPriority w:val="0"/>
    <w:pPr>
      <w:ind w:left="480" w:right="0" w:hanging="240"/>
    </w:pPr>
  </w:style>
  <w:style w:type="character" w:styleId="35">
    <w:name w:val="Strong"/>
    <w:basedOn w:val="36"/>
    <w:qFormat/>
    <w:uiPriority w:val="0"/>
    <w:rPr>
      <w:b/>
    </w:rPr>
  </w:style>
  <w:style w:type="character" w:customStyle="1" w:styleId="36">
    <w:name w:val="默认段落字体1"/>
    <w:qFormat/>
    <w:uiPriority w:val="0"/>
  </w:style>
  <w:style w:type="character" w:styleId="37">
    <w:name w:val="endnote reference"/>
    <w:qFormat/>
    <w:uiPriority w:val="0"/>
    <w:rPr>
      <w:vertAlign w:val="superscript"/>
    </w:rPr>
  </w:style>
  <w:style w:type="character" w:styleId="38">
    <w:name w:val="page number"/>
    <w:basedOn w:val="36"/>
    <w:qFormat/>
    <w:uiPriority w:val="0"/>
  </w:style>
  <w:style w:type="character" w:styleId="39">
    <w:name w:val="FollowedHyperlink"/>
    <w:qFormat/>
    <w:uiPriority w:val="0"/>
    <w:rPr>
      <w:color w:val="800080"/>
      <w:u w:val="single"/>
    </w:rPr>
  </w:style>
  <w:style w:type="character" w:styleId="40">
    <w:name w:val="Emphasis"/>
    <w:basedOn w:val="36"/>
    <w:qFormat/>
    <w:uiPriority w:val="0"/>
    <w:rPr>
      <w:i/>
    </w:rPr>
  </w:style>
  <w:style w:type="character" w:styleId="41">
    <w:name w:val="Hyperlink"/>
    <w:qFormat/>
    <w:uiPriority w:val="0"/>
    <w:rPr>
      <w:color w:val="0000FF"/>
      <w:u w:val="single"/>
    </w:rPr>
  </w:style>
  <w:style w:type="character" w:styleId="42">
    <w:name w:val="footnote reference"/>
    <w:qFormat/>
    <w:uiPriority w:val="0"/>
    <w:rPr>
      <w:vertAlign w:val="superscript"/>
    </w:rPr>
  </w:style>
  <w:style w:type="character" w:customStyle="1" w:styleId="43">
    <w:name w:val="WW8Num1z0"/>
    <w:qFormat/>
    <w:uiPriority w:val="0"/>
  </w:style>
  <w:style w:type="character" w:customStyle="1" w:styleId="44">
    <w:name w:val="WW8Num1z1"/>
    <w:qFormat/>
    <w:uiPriority w:val="0"/>
  </w:style>
  <w:style w:type="character" w:customStyle="1" w:styleId="45">
    <w:name w:val="Überschrift 6 Zchn"/>
    <w:qFormat/>
    <w:uiPriority w:val="0"/>
    <w:rPr>
      <w:rFonts w:ascii="Calibri" w:hAnsi="Calibri" w:eastAsia="Times New Roman" w:cs="Times New Roman"/>
      <w:b/>
      <w:bCs/>
      <w:sz w:val="22"/>
      <w:szCs w:val="22"/>
    </w:rPr>
  </w:style>
  <w:style w:type="character" w:customStyle="1" w:styleId="46">
    <w:name w:val="Überschrift 7 Zchn"/>
    <w:qFormat/>
    <w:uiPriority w:val="0"/>
    <w:rPr>
      <w:rFonts w:ascii="Calibri" w:hAnsi="Calibri" w:eastAsia="Times New Roman" w:cs="Times New Roman"/>
      <w:sz w:val="24"/>
      <w:szCs w:val="24"/>
    </w:rPr>
  </w:style>
  <w:style w:type="character" w:customStyle="1" w:styleId="47">
    <w:name w:val="Überschrift 8 Zchn"/>
    <w:qFormat/>
    <w:uiPriority w:val="0"/>
    <w:rPr>
      <w:rFonts w:ascii="Calibri" w:hAnsi="Calibri" w:eastAsia="Times New Roman" w:cs="Times New Roman"/>
      <w:i/>
      <w:iCs/>
      <w:sz w:val="24"/>
      <w:szCs w:val="24"/>
    </w:rPr>
  </w:style>
  <w:style w:type="character" w:customStyle="1" w:styleId="48">
    <w:name w:val="Überschrift 9 Zchn"/>
    <w:qFormat/>
    <w:uiPriority w:val="0"/>
    <w:rPr>
      <w:rFonts w:ascii="Cambria" w:hAnsi="Cambria" w:eastAsia="Times New Roman" w:cs="Times New Roman"/>
      <w:sz w:val="22"/>
      <w:szCs w:val="22"/>
    </w:rPr>
  </w:style>
  <w:style w:type="character" w:customStyle="1" w:styleId="49">
    <w:name w:val="Footnote Characters"/>
    <w:qFormat/>
    <w:uiPriority w:val="0"/>
    <w:rPr>
      <w:vertAlign w:val="superscript"/>
    </w:rPr>
  </w:style>
  <w:style w:type="character" w:customStyle="1" w:styleId="50">
    <w:name w:val="Fußnotentext Zchn"/>
    <w:qFormat/>
    <w:uiPriority w:val="0"/>
    <w:rPr>
      <w:lang w:eastAsia="de-DE"/>
    </w:rPr>
  </w:style>
  <w:style w:type="character" w:customStyle="1" w:styleId="51">
    <w:name w:val="Kopfzeile Zchn"/>
    <w:qFormat/>
    <w:uiPriority w:val="0"/>
    <w:rPr>
      <w:sz w:val="24"/>
      <w:szCs w:val="24"/>
      <w:lang w:eastAsia="de-DE"/>
    </w:rPr>
  </w:style>
  <w:style w:type="character" w:customStyle="1" w:styleId="52">
    <w:name w:val="Fußzeile Zchn"/>
    <w:qFormat/>
    <w:uiPriority w:val="0"/>
    <w:rPr>
      <w:sz w:val="24"/>
      <w:szCs w:val="24"/>
      <w:lang w:eastAsia="de-DE"/>
    </w:rPr>
  </w:style>
  <w:style w:type="character" w:customStyle="1" w:styleId="53">
    <w:name w:val="Dokumentstruktur Zchn"/>
    <w:qFormat/>
    <w:uiPriority w:val="0"/>
    <w:rPr>
      <w:rFonts w:ascii="Tahoma" w:hAnsi="Tahoma" w:cs="Tahoma"/>
      <w:sz w:val="16"/>
      <w:szCs w:val="16"/>
      <w:lang w:eastAsia="de-DE"/>
    </w:rPr>
  </w:style>
  <w:style w:type="character" w:customStyle="1" w:styleId="54">
    <w:name w:val="Literaturverzeichnis Zchn"/>
    <w:qFormat/>
    <w:uiPriority w:val="0"/>
    <w:rPr>
      <w:sz w:val="24"/>
      <w:szCs w:val="24"/>
      <w:lang w:eastAsia="de-DE"/>
    </w:rPr>
  </w:style>
  <w:style w:type="character" w:customStyle="1" w:styleId="55">
    <w:name w:val="Überschrift 1 Zchn"/>
    <w:qFormat/>
    <w:uiPriority w:val="0"/>
    <w:rPr>
      <w:b/>
      <w:sz w:val="28"/>
      <w:szCs w:val="24"/>
      <w:lang w:eastAsia="de-DE"/>
    </w:rPr>
  </w:style>
  <w:style w:type="character" w:customStyle="1" w:styleId="56">
    <w:name w:val="Text 4 Zchn"/>
    <w:basedOn w:val="55"/>
    <w:qFormat/>
    <w:uiPriority w:val="0"/>
  </w:style>
  <w:style w:type="character" w:customStyle="1" w:styleId="57">
    <w:name w:val="Text 3 Zchn"/>
    <w:qFormat/>
    <w:uiPriority w:val="0"/>
    <w:rPr>
      <w:sz w:val="32"/>
      <w:szCs w:val="32"/>
      <w:lang w:eastAsia="de-DE"/>
    </w:rPr>
  </w:style>
  <w:style w:type="character" w:customStyle="1" w:styleId="58">
    <w:name w:val="Inhaltsverzeichnisüberschrift Zchn"/>
    <w:qFormat/>
    <w:uiPriority w:val="0"/>
    <w:rPr>
      <w:rFonts w:ascii="Cambria" w:hAnsi="Cambria" w:eastAsia="宋体" w:cs="Times New Roman"/>
      <w:b/>
      <w:bCs/>
      <w:color w:val="365F91"/>
      <w:sz w:val="28"/>
      <w:szCs w:val="28"/>
      <w:lang w:eastAsia="de-DE"/>
    </w:rPr>
  </w:style>
  <w:style w:type="character" w:customStyle="1" w:styleId="59">
    <w:name w:val="Überschrift 2 Zchn"/>
    <w:qFormat/>
    <w:uiPriority w:val="0"/>
    <w:rPr>
      <w:rFonts w:ascii="Cambria" w:hAnsi="Cambria" w:eastAsia="宋体" w:cs="Times New Roman"/>
      <w:bCs/>
      <w:color w:val="365F91"/>
      <w:sz w:val="24"/>
      <w:szCs w:val="28"/>
      <w:lang w:eastAsia="de-DE"/>
    </w:rPr>
  </w:style>
  <w:style w:type="character" w:customStyle="1" w:styleId="60">
    <w:name w:val="Text 2 Zchn"/>
    <w:basedOn w:val="59"/>
    <w:qFormat/>
    <w:uiPriority w:val="0"/>
  </w:style>
  <w:style w:type="character" w:customStyle="1" w:styleId="61">
    <w:name w:val="Sprechblasentext Zchn"/>
    <w:qFormat/>
    <w:uiPriority w:val="0"/>
    <w:rPr>
      <w:rFonts w:ascii="Tahoma" w:hAnsi="Tahoma" w:cs="Tahoma"/>
      <w:sz w:val="16"/>
      <w:szCs w:val="16"/>
      <w:lang w:eastAsia="de-DE"/>
    </w:rPr>
  </w:style>
  <w:style w:type="character" w:customStyle="1" w:styleId="62">
    <w:name w:val="Nur Text Zchn"/>
    <w:qFormat/>
    <w:uiPriority w:val="0"/>
    <w:rPr>
      <w:rFonts w:ascii="Arial" w:hAnsi="Arial" w:eastAsia="Times New Roman" w:cs="Arial"/>
      <w:sz w:val="24"/>
      <w:szCs w:val="21"/>
    </w:rPr>
  </w:style>
  <w:style w:type="character" w:customStyle="1" w:styleId="63">
    <w:name w:val="gen"/>
    <w:basedOn w:val="36"/>
    <w:qFormat/>
    <w:uiPriority w:val="0"/>
  </w:style>
  <w:style w:type="character" w:customStyle="1" w:styleId="64">
    <w:name w:val="Anhang Char"/>
    <w:qFormat/>
    <w:uiPriority w:val="0"/>
    <w:rPr>
      <w:rFonts w:eastAsia="宋体"/>
      <w:b/>
      <w:bCs/>
      <w:sz w:val="24"/>
      <w:szCs w:val="24"/>
      <w:lang w:val="de-DE" w:eastAsia="de-DE" w:bidi="ar-SA"/>
    </w:rPr>
  </w:style>
  <w:style w:type="character" w:customStyle="1" w:styleId="65">
    <w:name w:val="Tabellen Zchn"/>
    <w:qFormat/>
    <w:uiPriority w:val="0"/>
    <w:rPr>
      <w:b/>
      <w:sz w:val="24"/>
      <w:szCs w:val="24"/>
      <w:lang w:eastAsia="de-DE"/>
    </w:rPr>
  </w:style>
  <w:style w:type="character" w:customStyle="1" w:styleId="66">
    <w:name w:val="Tabelle Zchn"/>
    <w:basedOn w:val="65"/>
    <w:qFormat/>
    <w:uiPriority w:val="0"/>
  </w:style>
  <w:style w:type="character" w:customStyle="1" w:styleId="67">
    <w:name w:val="mw-headline"/>
    <w:basedOn w:val="36"/>
    <w:qFormat/>
    <w:uiPriority w:val="0"/>
  </w:style>
  <w:style w:type="character" w:customStyle="1" w:styleId="68">
    <w:name w:val="editsection"/>
    <w:basedOn w:val="36"/>
    <w:qFormat/>
    <w:uiPriority w:val="0"/>
  </w:style>
  <w:style w:type="character" w:customStyle="1" w:styleId="69">
    <w:name w:val="Index Link"/>
    <w:qFormat/>
    <w:uiPriority w:val="0"/>
  </w:style>
  <w:style w:type="character" w:customStyle="1" w:styleId="70">
    <w:name w:val="Endnote Characters"/>
    <w:qFormat/>
    <w:uiPriority w:val="0"/>
  </w:style>
  <w:style w:type="paragraph" w:customStyle="1" w:styleId="71">
    <w:name w:val="Heading"/>
    <w:basedOn w:val="1"/>
    <w:next w:val="2"/>
    <w:qFormat/>
    <w:uiPriority w:val="0"/>
    <w:pPr>
      <w:keepNext/>
      <w:spacing w:before="240" w:after="120"/>
    </w:pPr>
    <w:rPr>
      <w:rFonts w:ascii="Liberation Sans" w:hAnsi="Liberation Sans" w:eastAsia="Noto Sans CJK SC" w:cs="Lohit Devanagari"/>
      <w:sz w:val="28"/>
      <w:szCs w:val="28"/>
    </w:rPr>
  </w:style>
  <w:style w:type="paragraph" w:customStyle="1" w:styleId="72">
    <w:name w:val="Index"/>
    <w:basedOn w:val="1"/>
    <w:qFormat/>
    <w:uiPriority w:val="0"/>
    <w:pPr>
      <w:suppressLineNumbers/>
    </w:pPr>
    <w:rPr>
      <w:rFonts w:cs="Lohit Devanagari"/>
    </w:rPr>
  </w:style>
  <w:style w:type="paragraph" w:customStyle="1" w:styleId="73">
    <w:name w:val="_Style 2"/>
    <w:basedOn w:val="1"/>
    <w:next w:val="1"/>
    <w:qFormat/>
    <w:uiPriority w:val="0"/>
  </w:style>
  <w:style w:type="paragraph" w:customStyle="1" w:styleId="74">
    <w:name w:val="_Style 3"/>
    <w:basedOn w:val="3"/>
    <w:next w:val="1"/>
    <w:qFormat/>
    <w:uiPriority w:val="0"/>
    <w:pPr>
      <w:keepLines/>
      <w:numPr>
        <w:ilvl w:val="0"/>
        <w:numId w:val="1"/>
      </w:numPr>
      <w:spacing w:before="480" w:after="240"/>
      <w:outlineLvl w:val="9"/>
    </w:pPr>
    <w:rPr>
      <w:rFonts w:ascii="Cambria" w:hAnsi="Cambria" w:cs="Cambria"/>
      <w:b w:val="0"/>
      <w:bCs/>
      <w:color w:val="365F91"/>
      <w:szCs w:val="28"/>
    </w:rPr>
  </w:style>
  <w:style w:type="paragraph" w:customStyle="1" w:styleId="75">
    <w:name w:val="索引 81"/>
    <w:basedOn w:val="1"/>
    <w:next w:val="1"/>
    <w:qFormat/>
    <w:uiPriority w:val="0"/>
    <w:pPr>
      <w:ind w:left="1920" w:right="0" w:hanging="240"/>
    </w:pPr>
  </w:style>
  <w:style w:type="paragraph" w:customStyle="1" w:styleId="76">
    <w:name w:val="题注1"/>
    <w:basedOn w:val="1"/>
    <w:next w:val="1"/>
    <w:qFormat/>
    <w:uiPriority w:val="0"/>
    <w:rPr>
      <w:b/>
      <w:bCs/>
      <w:sz w:val="20"/>
      <w:szCs w:val="20"/>
    </w:rPr>
  </w:style>
  <w:style w:type="paragraph" w:customStyle="1" w:styleId="77">
    <w:name w:val="索引 51"/>
    <w:basedOn w:val="1"/>
    <w:next w:val="1"/>
    <w:qFormat/>
    <w:uiPriority w:val="0"/>
    <w:pPr>
      <w:ind w:left="1200" w:right="0" w:hanging="240"/>
    </w:pPr>
  </w:style>
  <w:style w:type="paragraph" w:customStyle="1" w:styleId="78">
    <w:name w:val="文档结构图1"/>
    <w:basedOn w:val="1"/>
    <w:qFormat/>
    <w:uiPriority w:val="0"/>
    <w:rPr>
      <w:rFonts w:ascii="Tahoma" w:hAnsi="Tahoma" w:cs="Tahoma"/>
      <w:sz w:val="16"/>
      <w:szCs w:val="16"/>
    </w:rPr>
  </w:style>
  <w:style w:type="paragraph" w:customStyle="1" w:styleId="79">
    <w:name w:val="索引 61"/>
    <w:basedOn w:val="1"/>
    <w:next w:val="1"/>
    <w:qFormat/>
    <w:uiPriority w:val="0"/>
    <w:pPr>
      <w:ind w:left="1440" w:right="0" w:hanging="240"/>
    </w:pPr>
  </w:style>
  <w:style w:type="paragraph" w:customStyle="1" w:styleId="80">
    <w:name w:val="索引 41"/>
    <w:basedOn w:val="1"/>
    <w:next w:val="1"/>
    <w:qFormat/>
    <w:uiPriority w:val="0"/>
    <w:pPr>
      <w:ind w:left="960" w:right="0" w:hanging="240"/>
    </w:pPr>
  </w:style>
  <w:style w:type="paragraph" w:customStyle="1" w:styleId="81">
    <w:name w:val="纯文本1"/>
    <w:basedOn w:val="1"/>
    <w:qFormat/>
    <w:uiPriority w:val="0"/>
    <w:rPr>
      <w:rFonts w:ascii="Arial" w:hAnsi="Arial" w:eastAsia="Times New Roman" w:cs="Arial"/>
      <w:szCs w:val="21"/>
      <w:lang w:eastAsia="zh-CN"/>
    </w:rPr>
  </w:style>
  <w:style w:type="paragraph" w:customStyle="1" w:styleId="82">
    <w:name w:val="正文文本缩进 21"/>
    <w:basedOn w:val="1"/>
    <w:qFormat/>
    <w:uiPriority w:val="0"/>
    <w:pPr>
      <w:ind w:left="340" w:right="0" w:hanging="340"/>
    </w:pPr>
    <w:rPr>
      <w:color w:val="FF0000"/>
    </w:rPr>
  </w:style>
  <w:style w:type="paragraph" w:customStyle="1" w:styleId="83">
    <w:name w:val="批注框文本1"/>
    <w:basedOn w:val="1"/>
    <w:qFormat/>
    <w:uiPriority w:val="0"/>
    <w:rPr>
      <w:rFonts w:ascii="Tahoma" w:hAnsi="Tahoma" w:cs="Tahoma"/>
      <w:sz w:val="16"/>
      <w:szCs w:val="16"/>
    </w:rPr>
  </w:style>
  <w:style w:type="paragraph" w:customStyle="1" w:styleId="84">
    <w:name w:val="Header and Footer"/>
    <w:basedOn w:val="1"/>
    <w:qFormat/>
    <w:uiPriority w:val="0"/>
    <w:pPr>
      <w:suppressLineNumbers/>
      <w:tabs>
        <w:tab w:val="center" w:pos="4819"/>
        <w:tab w:val="right" w:pos="9638"/>
      </w:tabs>
    </w:pPr>
  </w:style>
  <w:style w:type="paragraph" w:customStyle="1" w:styleId="85">
    <w:name w:val="索引 71"/>
    <w:basedOn w:val="1"/>
    <w:next w:val="1"/>
    <w:qFormat/>
    <w:uiPriority w:val="0"/>
    <w:pPr>
      <w:ind w:left="1680" w:right="0" w:hanging="240"/>
    </w:pPr>
  </w:style>
  <w:style w:type="paragraph" w:customStyle="1" w:styleId="86">
    <w:name w:val="索引 91"/>
    <w:basedOn w:val="1"/>
    <w:next w:val="1"/>
    <w:qFormat/>
    <w:uiPriority w:val="0"/>
    <w:pPr>
      <w:ind w:left="2160" w:right="0" w:hanging="240"/>
    </w:pPr>
  </w:style>
  <w:style w:type="paragraph" w:customStyle="1" w:styleId="87">
    <w:name w:val="图表目录1"/>
    <w:basedOn w:val="1"/>
    <w:next w:val="1"/>
    <w:qFormat/>
    <w:uiPriority w:val="0"/>
    <w:pPr>
      <w:spacing w:before="60" w:after="60"/>
    </w:pPr>
  </w:style>
  <w:style w:type="paragraph" w:customStyle="1" w:styleId="88">
    <w:name w:val="普通(网站)1"/>
    <w:basedOn w:val="1"/>
    <w:qFormat/>
    <w:uiPriority w:val="0"/>
    <w:pPr>
      <w:spacing w:before="100" w:after="100"/>
      <w:jc w:val="left"/>
    </w:pPr>
    <w:rPr>
      <w:rFonts w:eastAsia="Times New Roman"/>
      <w:lang w:eastAsia="zh-CN"/>
    </w:rPr>
  </w:style>
  <w:style w:type="paragraph" w:customStyle="1" w:styleId="89">
    <w:name w:val="Inhaltsverzeichnisüberschrift"/>
    <w:basedOn w:val="3"/>
    <w:next w:val="1"/>
    <w:qFormat/>
    <w:uiPriority w:val="0"/>
    <w:pPr>
      <w:keepLines/>
      <w:numPr>
        <w:ilvl w:val="0"/>
        <w:numId w:val="1"/>
      </w:numPr>
      <w:spacing w:before="480" w:after="240"/>
      <w:outlineLvl w:val="9"/>
    </w:pPr>
    <w:rPr>
      <w:rFonts w:ascii="Cambria" w:hAnsi="Cambria" w:cs="Cambria"/>
      <w:b w:val="0"/>
      <w:bCs/>
      <w:color w:val="365F91"/>
      <w:szCs w:val="28"/>
    </w:rPr>
  </w:style>
  <w:style w:type="paragraph" w:customStyle="1" w:styleId="90">
    <w:name w:val="Literaturverzeichnis"/>
    <w:basedOn w:val="1"/>
    <w:next w:val="1"/>
    <w:qFormat/>
    <w:uiPriority w:val="0"/>
  </w:style>
  <w:style w:type="paragraph" w:customStyle="1" w:styleId="91">
    <w:name w:val="Listenabsatz"/>
    <w:basedOn w:val="1"/>
    <w:qFormat/>
    <w:uiPriority w:val="0"/>
    <w:pPr>
      <w:spacing w:before="0" w:after="0"/>
      <w:ind w:left="720" w:right="0" w:firstLine="0"/>
      <w:contextualSpacing/>
    </w:pPr>
  </w:style>
  <w:style w:type="paragraph" w:customStyle="1" w:styleId="92">
    <w:name w:val="Text 4"/>
    <w:basedOn w:val="3"/>
    <w:qFormat/>
    <w:uiPriority w:val="0"/>
    <w:pPr>
      <w:numPr>
        <w:ilvl w:val="0"/>
        <w:numId w:val="2"/>
      </w:numPr>
      <w:jc w:val="center"/>
    </w:pPr>
    <w:rPr>
      <w:b w:val="0"/>
      <w:sz w:val="36"/>
      <w:szCs w:val="36"/>
    </w:rPr>
  </w:style>
  <w:style w:type="paragraph" w:customStyle="1" w:styleId="93">
    <w:name w:val="Text 3"/>
    <w:basedOn w:val="1"/>
    <w:qFormat/>
    <w:uiPriority w:val="0"/>
    <w:pPr>
      <w:spacing w:line="480" w:lineRule="auto"/>
      <w:jc w:val="center"/>
    </w:pPr>
    <w:rPr>
      <w:sz w:val="32"/>
      <w:szCs w:val="32"/>
    </w:rPr>
  </w:style>
  <w:style w:type="paragraph" w:customStyle="1" w:styleId="94">
    <w:name w:val="Text 2"/>
    <w:basedOn w:val="5"/>
    <w:qFormat/>
    <w:uiPriority w:val="0"/>
    <w:pPr>
      <w:numPr>
        <w:ilvl w:val="0"/>
        <w:numId w:val="1"/>
      </w:numPr>
      <w:jc w:val="center"/>
    </w:pPr>
    <w:rPr>
      <w:sz w:val="32"/>
      <w:szCs w:val="32"/>
    </w:rPr>
  </w:style>
  <w:style w:type="paragraph" w:customStyle="1" w:styleId="95">
    <w:name w:val="Tabellen"/>
    <w:basedOn w:val="1"/>
    <w:qFormat/>
    <w:uiPriority w:val="0"/>
    <w:rPr>
      <w:b/>
    </w:rPr>
  </w:style>
  <w:style w:type="paragraph" w:customStyle="1" w:styleId="96">
    <w:name w:val="Abbildungen"/>
    <w:basedOn w:val="1"/>
    <w:qFormat/>
    <w:uiPriority w:val="0"/>
    <w:pPr>
      <w:spacing w:before="120" w:after="240"/>
    </w:pPr>
    <w:rPr>
      <w:b/>
    </w:rPr>
  </w:style>
  <w:style w:type="paragraph" w:customStyle="1" w:styleId="97">
    <w:name w:val="Anhang"/>
    <w:basedOn w:val="1"/>
    <w:qFormat/>
    <w:uiPriority w:val="0"/>
    <w:rPr>
      <w:b/>
      <w:bCs/>
    </w:rPr>
  </w:style>
  <w:style w:type="paragraph" w:customStyle="1" w:styleId="98">
    <w:name w:val="Tabelle"/>
    <w:basedOn w:val="1"/>
    <w:qFormat/>
    <w:uiPriority w:val="0"/>
    <w:rPr>
      <w:b/>
    </w:rPr>
  </w:style>
  <w:style w:type="paragraph" w:customStyle="1" w:styleId="99">
    <w:name w:val="Tabellenverzeichnis"/>
    <w:basedOn w:val="87"/>
    <w:qFormat/>
    <w:uiPriority w:val="0"/>
    <w:pPr>
      <w:tabs>
        <w:tab w:val="right" w:leader="dot" w:pos="8494"/>
      </w:tabs>
      <w:spacing w:before="200" w:after="120"/>
    </w:pPr>
    <w:rPr>
      <w:lang w:val="en-US" w:eastAsia="en-US"/>
    </w:rPr>
  </w:style>
  <w:style w:type="paragraph" w:customStyle="1" w:styleId="100">
    <w:name w:val="Überarbeitung"/>
    <w:qFormat/>
    <w:uiPriority w:val="0"/>
    <w:pPr>
      <w:widowControl/>
      <w:suppressAutoHyphens/>
      <w:bidi w:val="0"/>
    </w:pPr>
    <w:rPr>
      <w:rFonts w:ascii="Times New Roman" w:hAnsi="Times New Roman" w:eastAsia="宋体" w:cs="Times New Roman"/>
      <w:color w:val="auto"/>
      <w:sz w:val="24"/>
      <w:szCs w:val="24"/>
      <w:lang w:val="de-DE" w:eastAsia="de-DE" w:bidi="ar-SA"/>
    </w:rPr>
  </w:style>
  <w:style w:type="paragraph" w:customStyle="1" w:styleId="101">
    <w:name w:val="Default"/>
    <w:qFormat/>
    <w:uiPriority w:val="0"/>
    <w:pPr>
      <w:widowControl/>
      <w:suppressAutoHyphens/>
      <w:autoSpaceDE w:val="0"/>
      <w:bidi w:val="0"/>
    </w:pPr>
    <w:rPr>
      <w:rFonts w:ascii="Times New Roman" w:hAnsi="Times New Roman" w:eastAsia="宋体" w:cs="Times New Roman"/>
      <w:color w:val="000000"/>
      <w:sz w:val="24"/>
      <w:szCs w:val="24"/>
      <w:lang w:val="de-DE" w:eastAsia="de-DE" w:bidi="ar-SA"/>
    </w:rPr>
  </w:style>
  <w:style w:type="paragraph" w:customStyle="1" w:styleId="102">
    <w:name w:val="Frame Contents"/>
    <w:basedOn w:val="1"/>
    <w:qFormat/>
    <w:uiPriority w:val="0"/>
  </w:style>
  <w:style w:type="paragraph" w:customStyle="1" w:styleId="103">
    <w:name w:val="Table Contents"/>
    <w:basedOn w:val="1"/>
    <w:qFormat/>
    <w:uiPriority w:val="0"/>
    <w:pPr>
      <w:widowControl w:val="0"/>
      <w:suppressLineNumbers/>
    </w:pPr>
  </w:style>
  <w:style w:type="paragraph" w:customStyle="1" w:styleId="104">
    <w:name w:val="Table Heading"/>
    <w:basedOn w:val="10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2050" textRotate="1"/>
    <customShpInfo spid="_x0000_s2051" textRotate="1"/>
    <customShpInfo spid="_x0000_s2052"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32</Pages>
  <Words>5660</Words>
  <Characters>46340</Characters>
  <TotalTime>0</TotalTime>
  <ScaleCrop>false</ScaleCrop>
  <LinksUpToDate>false</LinksUpToDate>
  <CharactersWithSpaces>51825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2023-01-17T12:11:00Z</dcterms:created>
  <dc:creator>Dozent</dc:creator>
  <cp:lastModifiedBy>tiamo</cp:lastModifiedBy>
  <cp:lastPrinted>2017-12-18T18:49:00Z</cp:lastPrinted>
  <dcterms:modified xsi:type="dcterms:W3CDTF">2026-02-09T09:01:08Z</dcterms:modified>
  <dc:title>FOM Fachhochschule für Ökonomie &amp; Management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DCF88229CFE34C6385791098301A611D_13</vt:lpwstr>
  </property>
  <property fmtid="{D5CDD505-2E9C-101B-9397-08002B2CF9AE}" pid="3" name="KSOProductBuildVer">
    <vt:lpwstr>2052-12.1.0.25225</vt:lpwstr>
  </property>
  <property fmtid="{D5CDD505-2E9C-101B-9397-08002B2CF9AE}" pid="4" name="KSOTemplateDocerSaveRecord">
    <vt:lpwstr>eyJoZGlkIjoiMmRkNGQzODk5Yzk3NTJiNWNiZTYwZTkwNDliMDE2YTciLCJ1c2VySWQiOiIyODAxNTE3NDEifQ==</vt:lpwstr>
  </property>
</Properties>
</file>