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9412F">
      <w:pPr>
        <w:pStyle w:val="2"/>
        <w:rPr>
          <w:rFonts w:hint="default" w:ascii="Times New Roman" w:hAnsi="Times New Roman" w:cs="Times New Roman"/>
        </w:rPr>
      </w:pPr>
      <w:bookmarkStart w:id="75" w:name="_GoBack"/>
      <w:bookmarkEnd w:id="75"/>
    </w:p>
    <w:p w14:paraId="493079AC">
      <w:pPr>
        <w:pStyle w:val="2"/>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394960" cy="7298055"/>
            <wp:effectExtent l="0" t="0" r="2540" b="444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4"/>
                    <a:stretch>
                      <a:fillRect/>
                    </a:stretch>
                  </pic:blipFill>
                  <pic:spPr>
                    <a:xfrm>
                      <a:off x="0" y="0"/>
                      <a:ext cx="5394960" cy="7298055"/>
                    </a:xfrm>
                    <a:prstGeom prst="rect">
                      <a:avLst/>
                    </a:prstGeom>
                    <a:noFill/>
                    <a:ln>
                      <a:noFill/>
                    </a:ln>
                  </pic:spPr>
                </pic:pic>
              </a:graphicData>
            </a:graphic>
          </wp:inline>
        </w:drawing>
      </w:r>
    </w:p>
    <w:p w14:paraId="36BC01D4">
      <w:pPr>
        <w:pStyle w:val="2"/>
        <w:rPr>
          <w:rFonts w:hint="default" w:ascii="Times New Roman" w:hAnsi="Times New Roman" w:cs="Times New Roman"/>
          <w:i/>
        </w:rPr>
      </w:pPr>
    </w:p>
    <w:p w14:paraId="4CFB4211">
      <w:pPr>
        <w:rPr>
          <w:rFonts w:hint="default" w:ascii="Times New Roman" w:hAnsi="Times New Roman" w:cs="Times New Roman"/>
          <w:b/>
          <w:sz w:val="28"/>
          <w:szCs w:val="28"/>
        </w:rPr>
        <w:sectPr>
          <w:headerReference r:id="rId4" w:type="default"/>
          <w:footerReference r:id="rId6" w:type="default"/>
          <w:headerReference r:id="rId5" w:type="even"/>
          <w:pgSz w:w="11906" w:h="16838"/>
          <w:pgMar w:top="1701" w:right="1134" w:bottom="1134" w:left="2268" w:header="709" w:footer="709" w:gutter="0"/>
          <w:pgNumType w:fmt="upperRoman" w:start="1"/>
          <w:cols w:space="720" w:num="1"/>
          <w:titlePg/>
          <w:docGrid w:linePitch="360" w:charSpace="0"/>
        </w:sectPr>
      </w:pPr>
    </w:p>
    <w:p w14:paraId="33C830B8">
      <w:pPr>
        <w:rPr>
          <w:rFonts w:hint="default" w:ascii="Times New Roman" w:hAnsi="Times New Roman" w:cs="Times New Roman"/>
          <w:b/>
        </w:rPr>
      </w:pPr>
      <w:r>
        <w:rPr>
          <w:rFonts w:hint="default" w:ascii="Times New Roman" w:hAnsi="Times New Roman" w:cs="Times New Roman"/>
          <w:b/>
          <w:sz w:val="28"/>
        </w:rPr>
        <w:t>Inhaltsverzeichnis</w:t>
      </w:r>
    </w:p>
    <w:p w14:paraId="2102C3F6">
      <w:pPr>
        <w:pStyle w:val="31"/>
        <w:tabs>
          <w:tab w:val="right" w:leader="dot" w:pos="8504"/>
          <w:tab w:val="clear" w:pos="440"/>
          <w:tab w:val="clear" w:pos="8494"/>
        </w:tabs>
      </w:pPr>
      <w:r>
        <w:rPr>
          <w:rFonts w:hint="default" w:ascii="Times New Roman" w:hAnsi="Times New Roman" w:cs="Times New Roman"/>
          <w:b w:val="0"/>
        </w:rPr>
        <w:fldChar w:fldCharType="begin"/>
      </w:r>
      <w:r>
        <w:rPr>
          <w:rFonts w:hint="default" w:ascii="Times New Roman" w:hAnsi="Times New Roman" w:cs="Times New Roman"/>
          <w:b w:val="0"/>
        </w:rPr>
        <w:instrText xml:space="preserve"> TOC \o "1-4" \h \z \u </w:instrText>
      </w:r>
      <w:r>
        <w:rPr>
          <w:rFonts w:hint="default" w:ascii="Times New Roman" w:hAnsi="Times New Roman" w:cs="Times New Roman"/>
          <w:b w:val="0"/>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_Toc29060 </w:instrText>
      </w:r>
      <w:r>
        <w:rPr>
          <w:rFonts w:hint="default" w:ascii="Times New Roman" w:hAnsi="Times New Roman" w:cs="Times New Roman"/>
        </w:rPr>
        <w:fldChar w:fldCharType="separate"/>
      </w:r>
      <w:r>
        <w:rPr>
          <w:rFonts w:hint="default" w:ascii="Times New Roman" w:hAnsi="Times New Roman" w:cs="Times New Roman"/>
        </w:rPr>
        <w:t>Abbildungsverzeichnis</w:t>
      </w:r>
      <w:r>
        <w:tab/>
      </w:r>
      <w:r>
        <w:fldChar w:fldCharType="begin"/>
      </w:r>
      <w:r>
        <w:instrText xml:space="preserve"> PAGEREF _Toc29060 \h </w:instrText>
      </w:r>
      <w:r>
        <w:fldChar w:fldCharType="separate"/>
      </w:r>
      <w:r>
        <w:t>IV</w:t>
      </w:r>
      <w:r>
        <w:fldChar w:fldCharType="end"/>
      </w:r>
      <w:r>
        <w:rPr>
          <w:rFonts w:hint="default" w:ascii="Times New Roman" w:hAnsi="Times New Roman" w:cs="Times New Roman"/>
        </w:rPr>
        <w:fldChar w:fldCharType="end"/>
      </w:r>
    </w:p>
    <w:p w14:paraId="489A46B8">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_Toc24336 </w:instrText>
      </w:r>
      <w:r>
        <w:rPr>
          <w:rFonts w:hint="default" w:ascii="Times New Roman" w:hAnsi="Times New Roman" w:cs="Times New Roman"/>
          <w:lang/>
        </w:rPr>
        <w:fldChar w:fldCharType="separate"/>
      </w:r>
      <w:r>
        <w:t>Tabellenverzeichnis</w:t>
      </w:r>
      <w:r>
        <w:tab/>
      </w:r>
      <w:r>
        <w:fldChar w:fldCharType="begin"/>
      </w:r>
      <w:r>
        <w:instrText xml:space="preserve"> PAGEREF _Toc24336 \h </w:instrText>
      </w:r>
      <w:r>
        <w:fldChar w:fldCharType="separate"/>
      </w:r>
      <w:r>
        <w:t>IV</w:t>
      </w:r>
      <w:r>
        <w:fldChar w:fldCharType="end"/>
      </w:r>
      <w:r>
        <w:rPr>
          <w:rFonts w:hint="default" w:ascii="Times New Roman" w:hAnsi="Times New Roman" w:cs="Times New Roman"/>
          <w:lang/>
        </w:rPr>
        <w:fldChar w:fldCharType="end"/>
      </w:r>
    </w:p>
    <w:p w14:paraId="66939C39">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_Toc19506 </w:instrText>
      </w:r>
      <w:r>
        <w:rPr>
          <w:rFonts w:hint="default" w:ascii="Times New Roman" w:hAnsi="Times New Roman" w:cs="Times New Roman"/>
          <w:lang/>
        </w:rPr>
        <w:fldChar w:fldCharType="separate"/>
      </w:r>
      <w:r>
        <w:rPr>
          <w:rFonts w:hint="default" w:ascii="Times New Roman" w:hAnsi="Times New Roman" w:cs="Times New Roman"/>
        </w:rPr>
        <w:t>Abkürzungsverzeichnis</w:t>
      </w:r>
      <w:r>
        <w:tab/>
      </w:r>
      <w:r>
        <w:fldChar w:fldCharType="begin"/>
      </w:r>
      <w:r>
        <w:instrText xml:space="preserve"> PAGEREF _Toc19506 \h </w:instrText>
      </w:r>
      <w:r>
        <w:fldChar w:fldCharType="separate"/>
      </w:r>
      <w:r>
        <w:t>V</w:t>
      </w:r>
      <w:r>
        <w:fldChar w:fldCharType="end"/>
      </w:r>
      <w:r>
        <w:rPr>
          <w:rFonts w:hint="default" w:ascii="Times New Roman" w:hAnsi="Times New Roman" w:cs="Times New Roman"/>
          <w:lang/>
        </w:rPr>
        <w:fldChar w:fldCharType="end"/>
      </w:r>
    </w:p>
    <w:p w14:paraId="69CDE108">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_Toc30952 </w:instrText>
      </w:r>
      <w:r>
        <w:rPr>
          <w:rFonts w:hint="default" w:ascii="Times New Roman" w:hAnsi="Times New Roman" w:cs="Times New Roman"/>
          <w:lang/>
        </w:rPr>
        <w:fldChar w:fldCharType="separate"/>
      </w:r>
      <w:r>
        <w:rPr>
          <w:rFonts w:hint="default" w:ascii="Times New Roman" w:hAnsi="Times New Roman" w:cs="Times New Roman"/>
        </w:rPr>
        <w:t>1 Einleitung</w:t>
      </w:r>
      <w:r>
        <w:tab/>
      </w:r>
      <w:r>
        <w:fldChar w:fldCharType="begin"/>
      </w:r>
      <w:r>
        <w:instrText xml:space="preserve"> PAGEREF _Toc30952 \h </w:instrText>
      </w:r>
      <w:r>
        <w:fldChar w:fldCharType="separate"/>
      </w:r>
      <w:r>
        <w:t>1</w:t>
      </w:r>
      <w:r>
        <w:fldChar w:fldCharType="end"/>
      </w:r>
      <w:r>
        <w:rPr>
          <w:rFonts w:hint="default" w:ascii="Times New Roman" w:hAnsi="Times New Roman" w:cs="Times New Roman"/>
          <w:lang/>
        </w:rPr>
        <w:fldChar w:fldCharType="end"/>
      </w:r>
    </w:p>
    <w:p w14:paraId="5EF2D591">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_Toc5666 </w:instrText>
      </w:r>
      <w:r>
        <w:rPr>
          <w:rFonts w:hint="default" w:ascii="Times New Roman" w:hAnsi="Times New Roman" w:cs="Times New Roman"/>
          <w:lang/>
        </w:rPr>
        <w:fldChar w:fldCharType="separate"/>
      </w:r>
      <w:r>
        <w:rPr>
          <w:rFonts w:hint="eastAsia" w:ascii="Times New Roman" w:hAnsi="Times New Roman" w:cs="Times New Roman"/>
        </w:rPr>
        <w:t xml:space="preserve">1.1 </w:t>
      </w:r>
      <w:r>
        <w:rPr>
          <w:rFonts w:hint="default" w:ascii="Times New Roman" w:hAnsi="Times New Roman" w:cs="Times New Roman"/>
        </w:rPr>
        <w:t>Problemstellung</w:t>
      </w:r>
      <w:r>
        <w:tab/>
      </w:r>
      <w:r>
        <w:fldChar w:fldCharType="begin"/>
      </w:r>
      <w:r>
        <w:instrText xml:space="preserve"> PAGEREF _Toc5666 \h </w:instrText>
      </w:r>
      <w:r>
        <w:fldChar w:fldCharType="separate"/>
      </w:r>
      <w:r>
        <w:t>1</w:t>
      </w:r>
      <w:r>
        <w:fldChar w:fldCharType="end"/>
      </w:r>
      <w:r>
        <w:rPr>
          <w:rFonts w:hint="default" w:ascii="Times New Roman" w:hAnsi="Times New Roman" w:cs="Times New Roman"/>
          <w:lang/>
        </w:rPr>
        <w:fldChar w:fldCharType="end"/>
      </w:r>
    </w:p>
    <w:p w14:paraId="0F03A421">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_Toc5457 </w:instrText>
      </w:r>
      <w:r>
        <w:rPr>
          <w:rFonts w:hint="default" w:ascii="Times New Roman" w:hAnsi="Times New Roman" w:cs="Times New Roman"/>
          <w:lang/>
        </w:rPr>
        <w:fldChar w:fldCharType="separate"/>
      </w:r>
      <w:r>
        <w:rPr>
          <w:rFonts w:hint="eastAsia" w:ascii="Times New Roman" w:hAnsi="Times New Roman" w:eastAsia="宋体" w:cs="Times New Roman"/>
        </w:rPr>
        <w:t xml:space="preserve">1.2 </w:t>
      </w:r>
      <w:r>
        <w:rPr>
          <w:rFonts w:hint="default" w:ascii="Times New Roman" w:hAnsi="Times New Roman" w:eastAsia="宋体" w:cs="Times New Roman"/>
        </w:rPr>
        <w:t>Zielsetzung</w:t>
      </w:r>
      <w:r>
        <w:tab/>
      </w:r>
      <w:r>
        <w:fldChar w:fldCharType="begin"/>
      </w:r>
      <w:r>
        <w:instrText xml:space="preserve"> PAGEREF _Toc5457 \h </w:instrText>
      </w:r>
      <w:r>
        <w:fldChar w:fldCharType="separate"/>
      </w:r>
      <w:r>
        <w:t>2</w:t>
      </w:r>
      <w:r>
        <w:fldChar w:fldCharType="end"/>
      </w:r>
      <w:r>
        <w:rPr>
          <w:rFonts w:hint="default" w:ascii="Times New Roman" w:hAnsi="Times New Roman" w:cs="Times New Roman"/>
          <w:lang/>
        </w:rPr>
        <w:fldChar w:fldCharType="end"/>
      </w:r>
    </w:p>
    <w:p w14:paraId="12618FFC">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_Toc4187 </w:instrText>
      </w:r>
      <w:r>
        <w:rPr>
          <w:rFonts w:hint="default" w:ascii="Times New Roman" w:hAnsi="Times New Roman" w:cs="Times New Roman"/>
          <w:lang/>
        </w:rPr>
        <w:fldChar w:fldCharType="separate"/>
      </w:r>
      <w:r>
        <w:rPr>
          <w:rFonts w:hint="eastAsia" w:ascii="Times New Roman" w:hAnsi="Times New Roman" w:eastAsia="宋体" w:cs="Times New Roman"/>
        </w:rPr>
        <w:t xml:space="preserve">1.3 </w:t>
      </w:r>
      <w:r>
        <w:rPr>
          <w:rFonts w:hint="default" w:ascii="Times New Roman" w:hAnsi="Times New Roman" w:eastAsia="宋体" w:cs="Times New Roman"/>
        </w:rPr>
        <w:t>Aufbau der Arbeit</w:t>
      </w:r>
      <w:r>
        <w:tab/>
      </w:r>
      <w:r>
        <w:fldChar w:fldCharType="begin"/>
      </w:r>
      <w:r>
        <w:instrText xml:space="preserve"> PAGEREF _Toc4187 \h </w:instrText>
      </w:r>
      <w:r>
        <w:fldChar w:fldCharType="separate"/>
      </w:r>
      <w:r>
        <w:t>3</w:t>
      </w:r>
      <w:r>
        <w:fldChar w:fldCharType="end"/>
      </w:r>
      <w:r>
        <w:rPr>
          <w:rFonts w:hint="default" w:ascii="Times New Roman" w:hAnsi="Times New Roman" w:cs="Times New Roman"/>
          <w:lang/>
        </w:rPr>
        <w:fldChar w:fldCharType="end"/>
      </w:r>
    </w:p>
    <w:p w14:paraId="27634343">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_Toc32231 </w:instrText>
      </w:r>
      <w:r>
        <w:rPr>
          <w:rFonts w:hint="default" w:ascii="Times New Roman" w:hAnsi="Times New Roman" w:cs="Times New Roman"/>
          <w:lang/>
        </w:rPr>
        <w:fldChar w:fldCharType="separate"/>
      </w:r>
      <w:r>
        <w:rPr>
          <w:rFonts w:hint="default" w:ascii="Times New Roman" w:hAnsi="Times New Roman" w:cs="Times New Roman"/>
        </w:rPr>
        <w:t xml:space="preserve">2 </w:t>
      </w:r>
      <w:r>
        <w:rPr>
          <w:rFonts w:hint="default" w:ascii="Times New Roman" w:hAnsi="Times New Roman" w:cs="Times New Roman"/>
          <w:lang w:val="en-US" w:eastAsia="zh-CN"/>
        </w:rPr>
        <w:t>Begriffliche</w:t>
      </w:r>
      <w:r>
        <w:rPr>
          <w:rFonts w:hint="default" w:ascii="Times New Roman" w:hAnsi="Times New Roman" w:cs="Times New Roman"/>
          <w:lang w:val="de-DE" w:eastAsia="zh-CN"/>
        </w:rPr>
        <w:t xml:space="preserve"> </w:t>
      </w:r>
      <w:r>
        <w:rPr>
          <w:rFonts w:hint="default" w:ascii="Times New Roman" w:hAnsi="Times New Roman" w:cs="Times New Roman"/>
        </w:rPr>
        <w:t>Grundlage</w:t>
      </w:r>
      <w:r>
        <w:rPr>
          <w:rFonts w:hint="default" w:ascii="Times New Roman" w:hAnsi="Times New Roman" w:cs="Times New Roman"/>
          <w:lang w:val="en-US" w:eastAsia="zh-CN"/>
        </w:rPr>
        <w:t>n</w:t>
      </w:r>
      <w:r>
        <w:tab/>
      </w:r>
      <w:r>
        <w:fldChar w:fldCharType="begin"/>
      </w:r>
      <w:r>
        <w:instrText xml:space="preserve"> PAGEREF _Toc32231 \h </w:instrText>
      </w:r>
      <w:r>
        <w:fldChar w:fldCharType="separate"/>
      </w:r>
      <w:r>
        <w:t>4</w:t>
      </w:r>
      <w:r>
        <w:fldChar w:fldCharType="end"/>
      </w:r>
      <w:r>
        <w:rPr>
          <w:rFonts w:hint="default" w:ascii="Times New Roman" w:hAnsi="Times New Roman" w:cs="Times New Roman"/>
          <w:lang/>
        </w:rPr>
        <w:fldChar w:fldCharType="end"/>
      </w:r>
    </w:p>
    <w:p w14:paraId="3FAA60E7">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_Toc32757 </w:instrText>
      </w:r>
      <w:r>
        <w:rPr>
          <w:rFonts w:hint="default" w:ascii="Times New Roman" w:hAnsi="Times New Roman" w:cs="Times New Roman"/>
          <w:lang/>
        </w:rPr>
        <w:fldChar w:fldCharType="separate"/>
      </w:r>
      <w:r>
        <w:rPr>
          <w:rFonts w:hint="eastAsia" w:ascii="Times New Roman" w:hAnsi="Times New Roman" w:cs="Times New Roman"/>
        </w:rPr>
        <w:t xml:space="preserve">2.1 </w:t>
      </w:r>
      <w:r>
        <w:rPr>
          <w:rFonts w:hint="default" w:ascii="Times New Roman" w:hAnsi="Times New Roman" w:cs="Times New Roman"/>
          <w:lang w:val="de-DE" w:eastAsia="zh-CN"/>
        </w:rPr>
        <w:t>Definition und Abgrenzung von Impact Investing</w:t>
      </w:r>
      <w:r>
        <w:tab/>
      </w:r>
      <w:r>
        <w:fldChar w:fldCharType="begin"/>
      </w:r>
      <w:r>
        <w:instrText xml:space="preserve"> PAGEREF _Toc32757 \h </w:instrText>
      </w:r>
      <w:r>
        <w:fldChar w:fldCharType="separate"/>
      </w:r>
      <w:r>
        <w:t>4</w:t>
      </w:r>
      <w:r>
        <w:fldChar w:fldCharType="end"/>
      </w:r>
      <w:r>
        <w:rPr>
          <w:rFonts w:hint="default" w:ascii="Times New Roman" w:hAnsi="Times New Roman" w:cs="Times New Roman"/>
          <w:lang/>
        </w:rPr>
        <w:fldChar w:fldCharType="end"/>
      </w:r>
    </w:p>
    <w:p w14:paraId="23364830">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_Toc9637 </w:instrText>
      </w:r>
      <w:r>
        <w:rPr>
          <w:rFonts w:hint="default" w:ascii="Times New Roman" w:hAnsi="Times New Roman" w:cs="Times New Roman"/>
          <w:lang/>
        </w:rPr>
        <w:fldChar w:fldCharType="separate"/>
      </w:r>
      <w:r>
        <w:rPr>
          <w:rFonts w:hint="eastAsia" w:ascii="Times New Roman" w:hAnsi="Times New Roman" w:cs="Times New Roman"/>
          <w:lang w:val="de-DE" w:eastAsia="zh-CN"/>
        </w:rPr>
        <w:t xml:space="preserve">2.1.1 </w:t>
      </w:r>
      <w:r>
        <w:rPr>
          <w:rFonts w:hint="default" w:ascii="Times New Roman" w:hAnsi="Times New Roman" w:cs="Times New Roman"/>
          <w:lang w:val="de-DE" w:eastAsia="zh-CN"/>
        </w:rPr>
        <w:t>Ursprung und Entwicklung des Impact-Investing-Ansatzes</w:t>
      </w:r>
      <w:r>
        <w:tab/>
      </w:r>
      <w:r>
        <w:fldChar w:fldCharType="begin"/>
      </w:r>
      <w:r>
        <w:instrText xml:space="preserve"> PAGEREF _Toc9637 \h </w:instrText>
      </w:r>
      <w:r>
        <w:fldChar w:fldCharType="separate"/>
      </w:r>
      <w:r>
        <w:t>4</w:t>
      </w:r>
      <w:r>
        <w:fldChar w:fldCharType="end"/>
      </w:r>
      <w:r>
        <w:rPr>
          <w:rFonts w:hint="default" w:ascii="Times New Roman" w:hAnsi="Times New Roman" w:cs="Times New Roman"/>
          <w:lang/>
        </w:rPr>
        <w:fldChar w:fldCharType="end"/>
      </w:r>
    </w:p>
    <w:p w14:paraId="308E3833">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_Toc19769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2.1.2 </w:t>
      </w:r>
      <w:r>
        <w:rPr>
          <w:rFonts w:hint="default" w:ascii="Times New Roman" w:hAnsi="Times New Roman" w:eastAsia="宋体" w:cs="Times New Roman"/>
          <w:lang w:val="en-US" w:eastAsia="zh-CN"/>
        </w:rPr>
        <w:t>Defintion und z</w:t>
      </w:r>
      <w:r>
        <w:rPr>
          <w:rFonts w:hint="default" w:ascii="Times New Roman" w:hAnsi="Times New Roman" w:eastAsia="宋体" w:cs="Times New Roman"/>
          <w:lang w:val="de-DE" w:eastAsia="zh-CN"/>
        </w:rPr>
        <w:t>entrale Merkmale</w:t>
      </w:r>
      <w:r>
        <w:tab/>
      </w:r>
      <w:r>
        <w:fldChar w:fldCharType="begin"/>
      </w:r>
      <w:r>
        <w:instrText xml:space="preserve"> PAGEREF _Toc19769 \h </w:instrText>
      </w:r>
      <w:r>
        <w:fldChar w:fldCharType="separate"/>
      </w:r>
      <w:r>
        <w:t>5</w:t>
      </w:r>
      <w:r>
        <w:fldChar w:fldCharType="end"/>
      </w:r>
      <w:r>
        <w:rPr>
          <w:rFonts w:hint="default" w:ascii="Times New Roman" w:hAnsi="Times New Roman" w:cs="Times New Roman"/>
          <w:lang/>
        </w:rPr>
        <w:fldChar w:fldCharType="end"/>
      </w:r>
    </w:p>
    <w:p w14:paraId="2777AEA1">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_Toc30722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2.1.3 </w:t>
      </w:r>
      <w:r>
        <w:rPr>
          <w:rFonts w:hint="default" w:ascii="Times New Roman" w:hAnsi="Times New Roman" w:eastAsia="宋体" w:cs="Times New Roman"/>
          <w:lang w:val="de-DE" w:eastAsia="zh-CN"/>
        </w:rPr>
        <w:t>Abgrenzung zu Philanthropie, CSR, ESG- und nachhaltigen Investitionen</w:t>
      </w:r>
      <w:r>
        <w:tab/>
      </w:r>
      <w:r>
        <w:fldChar w:fldCharType="begin"/>
      </w:r>
      <w:r>
        <w:instrText xml:space="preserve"> PAGEREF _Toc30722 \h </w:instrText>
      </w:r>
      <w:r>
        <w:fldChar w:fldCharType="separate"/>
      </w:r>
      <w:r>
        <w:t>7</w:t>
      </w:r>
      <w:r>
        <w:fldChar w:fldCharType="end"/>
      </w:r>
      <w:r>
        <w:rPr>
          <w:rFonts w:hint="default" w:ascii="Times New Roman" w:hAnsi="Times New Roman" w:cs="Times New Roman"/>
          <w:lang/>
        </w:rPr>
        <w:fldChar w:fldCharType="end"/>
      </w:r>
    </w:p>
    <w:p w14:paraId="0E323EA4">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_Toc4298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2.1.4 </w:t>
      </w:r>
      <w:r>
        <w:rPr>
          <w:rFonts w:hint="default" w:ascii="Times New Roman" w:hAnsi="Times New Roman" w:eastAsia="宋体" w:cs="Times New Roman"/>
          <w:lang w:val="de-DE" w:eastAsia="zh-CN"/>
        </w:rPr>
        <w:t>Social Impact Investing im Kontext des Impact Investing</w:t>
      </w:r>
      <w:r>
        <w:tab/>
      </w:r>
      <w:r>
        <w:fldChar w:fldCharType="begin"/>
      </w:r>
      <w:r>
        <w:instrText xml:space="preserve"> PAGEREF _Toc4298 \h </w:instrText>
      </w:r>
      <w:r>
        <w:fldChar w:fldCharType="separate"/>
      </w:r>
      <w:r>
        <w:t>8</w:t>
      </w:r>
      <w:r>
        <w:fldChar w:fldCharType="end"/>
      </w:r>
      <w:r>
        <w:rPr>
          <w:rFonts w:hint="default" w:ascii="Times New Roman" w:hAnsi="Times New Roman" w:cs="Times New Roman"/>
          <w:lang/>
        </w:rPr>
        <w:fldChar w:fldCharType="end"/>
      </w:r>
    </w:p>
    <w:p w14:paraId="103BFCBE">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_Toc16884 </w:instrText>
      </w:r>
      <w:r>
        <w:rPr>
          <w:rFonts w:hint="default" w:ascii="Times New Roman" w:hAnsi="Times New Roman" w:cs="Times New Roman"/>
          <w:lang/>
        </w:rPr>
        <w:fldChar w:fldCharType="separate"/>
      </w:r>
      <w:r>
        <w:rPr>
          <w:rFonts w:hint="eastAsia" w:ascii="Times New Roman" w:hAnsi="Times New Roman" w:cs="Times New Roman"/>
          <w:lang w:val="de-DE" w:eastAsia="zh-CN"/>
        </w:rPr>
        <w:t xml:space="preserve">2.2 </w:t>
      </w:r>
      <w:r>
        <w:rPr>
          <w:rFonts w:hint="default" w:ascii="Times New Roman" w:hAnsi="Times New Roman" w:eastAsia="宋体" w:cs="Times New Roman"/>
          <w:lang w:val="de-DE" w:eastAsia="zh-CN"/>
        </w:rPr>
        <w:t>Zentrale Akteure und Rollen im Impact-Investing-Ökosystem</w:t>
      </w:r>
      <w:r>
        <w:tab/>
      </w:r>
      <w:r>
        <w:fldChar w:fldCharType="begin"/>
      </w:r>
      <w:r>
        <w:instrText xml:space="preserve"> PAGEREF _Toc16884 \h </w:instrText>
      </w:r>
      <w:r>
        <w:fldChar w:fldCharType="separate"/>
      </w:r>
      <w:r>
        <w:t>9</w:t>
      </w:r>
      <w:r>
        <w:fldChar w:fldCharType="end"/>
      </w:r>
      <w:r>
        <w:rPr>
          <w:rFonts w:hint="default" w:ascii="Times New Roman" w:hAnsi="Times New Roman" w:cs="Times New Roman"/>
          <w:lang/>
        </w:rPr>
        <w:fldChar w:fldCharType="end"/>
      </w:r>
    </w:p>
    <w:p w14:paraId="60365734">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_Toc10021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2.2.1 </w:t>
      </w:r>
      <w:r>
        <w:rPr>
          <w:rFonts w:hint="default" w:ascii="Times New Roman" w:hAnsi="Times New Roman" w:eastAsia="宋体" w:cs="Times New Roman"/>
          <w:lang w:val="de-DE" w:eastAsia="zh-CN"/>
        </w:rPr>
        <w:t>Impact-Investoren und ihre Zielsetzungen</w:t>
      </w:r>
      <w:r>
        <w:tab/>
      </w:r>
      <w:r>
        <w:fldChar w:fldCharType="begin"/>
      </w:r>
      <w:r>
        <w:instrText xml:space="preserve"> PAGEREF _Toc10021 \h </w:instrText>
      </w:r>
      <w:r>
        <w:fldChar w:fldCharType="separate"/>
      </w:r>
      <w:r>
        <w:t>9</w:t>
      </w:r>
      <w:r>
        <w:fldChar w:fldCharType="end"/>
      </w:r>
      <w:r>
        <w:rPr>
          <w:rFonts w:hint="default" w:ascii="Times New Roman" w:hAnsi="Times New Roman" w:cs="Times New Roman"/>
          <w:lang/>
        </w:rPr>
        <w:fldChar w:fldCharType="end"/>
      </w:r>
    </w:p>
    <w:p w14:paraId="66AC09F7">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_Toc3066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2.2.2 </w:t>
      </w:r>
      <w:r>
        <w:rPr>
          <w:rFonts w:hint="default" w:ascii="Times New Roman" w:hAnsi="Times New Roman" w:eastAsia="宋体" w:cs="Times New Roman"/>
          <w:lang w:val="de-DE" w:eastAsia="zh-CN"/>
        </w:rPr>
        <w:t>Intermediäre und Plattformen im Impact-Investing-Markt</w:t>
      </w:r>
      <w:r>
        <w:tab/>
      </w:r>
      <w:r>
        <w:fldChar w:fldCharType="begin"/>
      </w:r>
      <w:r>
        <w:instrText xml:space="preserve"> PAGEREF _Toc3066 \h </w:instrText>
      </w:r>
      <w:r>
        <w:fldChar w:fldCharType="separate"/>
      </w:r>
      <w:r>
        <w:t>10</w:t>
      </w:r>
      <w:r>
        <w:fldChar w:fldCharType="end"/>
      </w:r>
      <w:r>
        <w:rPr>
          <w:rFonts w:hint="default" w:ascii="Times New Roman" w:hAnsi="Times New Roman" w:cs="Times New Roman"/>
          <w:lang/>
        </w:rPr>
        <w:fldChar w:fldCharType="end"/>
      </w:r>
    </w:p>
    <w:p w14:paraId="625CE504">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_Toc25838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2.2.3 </w:t>
      </w:r>
      <w:r>
        <w:rPr>
          <w:rFonts w:hint="default" w:ascii="Times New Roman" w:hAnsi="Times New Roman" w:eastAsia="宋体" w:cs="Times New Roman"/>
          <w:lang w:val="de-DE" w:eastAsia="zh-CN"/>
        </w:rPr>
        <w:t>Rolle öffentlicher Institutionen und Förderprogramme</w:t>
      </w:r>
      <w:r>
        <w:tab/>
      </w:r>
      <w:r>
        <w:fldChar w:fldCharType="begin"/>
      </w:r>
      <w:r>
        <w:instrText xml:space="preserve"> PAGEREF _Toc25838 \h </w:instrText>
      </w:r>
      <w:r>
        <w:fldChar w:fldCharType="separate"/>
      </w:r>
      <w:r>
        <w:t>11</w:t>
      </w:r>
      <w:r>
        <w:fldChar w:fldCharType="end"/>
      </w:r>
      <w:r>
        <w:rPr>
          <w:rFonts w:hint="default" w:ascii="Times New Roman" w:hAnsi="Times New Roman" w:cs="Times New Roman"/>
          <w:lang/>
        </w:rPr>
        <w:fldChar w:fldCharType="end"/>
      </w:r>
    </w:p>
    <w:p w14:paraId="70F67441">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_Toc13736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2.2.4 </w:t>
      </w:r>
      <w:r>
        <w:rPr>
          <w:rFonts w:hint="default" w:ascii="Times New Roman" w:hAnsi="Times New Roman" w:eastAsia="宋体" w:cs="Times New Roman"/>
          <w:lang w:val="de-DE" w:eastAsia="zh-CN"/>
        </w:rPr>
        <w:t>Soziale Organisationen und Unternehmen als Kapitalnehmer</w:t>
      </w:r>
      <w:r>
        <w:tab/>
      </w:r>
      <w:r>
        <w:fldChar w:fldCharType="begin"/>
      </w:r>
      <w:r>
        <w:instrText xml:space="preserve"> PAGEREF _Toc13736 \h </w:instrText>
      </w:r>
      <w:r>
        <w:fldChar w:fldCharType="separate"/>
      </w:r>
      <w:r>
        <w:t>12</w:t>
      </w:r>
      <w:r>
        <w:fldChar w:fldCharType="end"/>
      </w:r>
      <w:r>
        <w:rPr>
          <w:rFonts w:hint="default" w:ascii="Times New Roman" w:hAnsi="Times New Roman" w:cs="Times New Roman"/>
          <w:lang/>
        </w:rPr>
        <w:fldChar w:fldCharType="end"/>
      </w:r>
    </w:p>
    <w:p w14:paraId="60B91C10">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_Toc6890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2.3 </w:t>
      </w:r>
      <w:r>
        <w:rPr>
          <w:rFonts w:hint="default" w:ascii="Times New Roman" w:hAnsi="Times New Roman" w:eastAsia="宋体" w:cs="Times New Roman"/>
          <w:lang w:val="de-DE" w:eastAsia="zh-CN"/>
        </w:rPr>
        <w:t>Kleinere soziale Projekte und Wirkungs-Rendite-Perspektiven im Impact Investing</w:t>
      </w:r>
      <w:r>
        <w:tab/>
      </w:r>
      <w:r>
        <w:fldChar w:fldCharType="begin"/>
      </w:r>
      <w:r>
        <w:instrText xml:space="preserve"> PAGEREF _Toc6890 \h </w:instrText>
      </w:r>
      <w:r>
        <w:fldChar w:fldCharType="separate"/>
      </w:r>
      <w:r>
        <w:t>13</w:t>
      </w:r>
      <w:r>
        <w:fldChar w:fldCharType="end"/>
      </w:r>
      <w:r>
        <w:rPr>
          <w:rFonts w:hint="default" w:ascii="Times New Roman" w:hAnsi="Times New Roman" w:cs="Times New Roman"/>
          <w:lang/>
        </w:rPr>
        <w:fldChar w:fldCharType="end"/>
      </w:r>
    </w:p>
    <w:p w14:paraId="4F899DE6">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_Toc26176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2.3.1 </w:t>
      </w:r>
      <w:r>
        <w:rPr>
          <w:rFonts w:hint="default" w:ascii="Times New Roman" w:hAnsi="Times New Roman" w:eastAsia="宋体" w:cs="Times New Roman"/>
          <w:lang w:val="de-DE" w:eastAsia="zh-CN"/>
        </w:rPr>
        <w:t>Soziale und kleine soziale Projekte</w:t>
      </w:r>
      <w:r>
        <w:tab/>
      </w:r>
      <w:r>
        <w:fldChar w:fldCharType="begin"/>
      </w:r>
      <w:r>
        <w:instrText xml:space="preserve"> PAGEREF _Toc26176 \h </w:instrText>
      </w:r>
      <w:r>
        <w:fldChar w:fldCharType="separate"/>
      </w:r>
      <w:r>
        <w:t>13</w:t>
      </w:r>
      <w:r>
        <w:fldChar w:fldCharType="end"/>
      </w:r>
      <w:r>
        <w:rPr>
          <w:rFonts w:hint="default" w:ascii="Times New Roman" w:hAnsi="Times New Roman" w:cs="Times New Roman"/>
          <w:lang/>
        </w:rPr>
        <w:fldChar w:fldCharType="end"/>
      </w:r>
    </w:p>
    <w:p w14:paraId="0294A4ED">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_Toc20125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2.3.2 </w:t>
      </w:r>
      <w:r>
        <w:rPr>
          <w:rFonts w:hint="default" w:ascii="Times New Roman" w:hAnsi="Times New Roman" w:eastAsia="宋体" w:cs="Times New Roman"/>
          <w:lang w:val="de-DE" w:eastAsia="zh-CN"/>
        </w:rPr>
        <w:t>Finanzierungsbedarfe und strukturelle Besonderheiten kleiner sozialer Projekte</w:t>
      </w:r>
      <w:r>
        <w:tab/>
      </w:r>
      <w:r>
        <w:fldChar w:fldCharType="begin"/>
      </w:r>
      <w:r>
        <w:instrText xml:space="preserve"> PAGEREF _Toc20125 \h </w:instrText>
      </w:r>
      <w:r>
        <w:fldChar w:fldCharType="separate"/>
      </w:r>
      <w:r>
        <w:t>15</w:t>
      </w:r>
      <w:r>
        <w:fldChar w:fldCharType="end"/>
      </w:r>
      <w:r>
        <w:rPr>
          <w:rFonts w:hint="default" w:ascii="Times New Roman" w:hAnsi="Times New Roman" w:cs="Times New Roman"/>
          <w:lang/>
        </w:rPr>
        <w:fldChar w:fldCharType="end"/>
      </w:r>
    </w:p>
    <w:p w14:paraId="42903CEC">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_Toc17241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2.3.3 </w:t>
      </w:r>
      <w:r>
        <w:rPr>
          <w:rFonts w:hint="default" w:ascii="Times New Roman" w:hAnsi="Times New Roman" w:eastAsia="宋体" w:cs="Times New Roman"/>
          <w:lang w:val="de-DE" w:eastAsia="zh-CN"/>
        </w:rPr>
        <w:t>Wachstums- und Skalierungspotenziale unter Berücksichtigung von Rendite und Wirkung</w:t>
      </w:r>
      <w:r>
        <w:tab/>
      </w:r>
      <w:r>
        <w:fldChar w:fldCharType="begin"/>
      </w:r>
      <w:r>
        <w:instrText xml:space="preserve"> PAGEREF _Toc17241 \h </w:instrText>
      </w:r>
      <w:r>
        <w:fldChar w:fldCharType="separate"/>
      </w:r>
      <w:r>
        <w:t>17</w:t>
      </w:r>
      <w:r>
        <w:fldChar w:fldCharType="end"/>
      </w:r>
      <w:r>
        <w:rPr>
          <w:rFonts w:hint="default" w:ascii="Times New Roman" w:hAnsi="Times New Roman" w:cs="Times New Roman"/>
          <w:lang/>
        </w:rPr>
        <w:fldChar w:fldCharType="end"/>
      </w:r>
    </w:p>
    <w:p w14:paraId="78F0B107">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_Toc29911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2.3.4 </w:t>
      </w:r>
      <w:r>
        <w:rPr>
          <w:rFonts w:hint="default" w:ascii="Times New Roman" w:hAnsi="Times New Roman" w:eastAsia="宋体" w:cs="Times New Roman"/>
          <w:lang w:val="de-DE" w:eastAsia="zh-CN"/>
        </w:rPr>
        <w:t>Renditeverständnis, soziale Wirkung und Transparenzanforderungen</w:t>
      </w:r>
      <w:r>
        <w:tab/>
      </w:r>
      <w:r>
        <w:fldChar w:fldCharType="begin"/>
      </w:r>
      <w:r>
        <w:instrText xml:space="preserve"> PAGEREF _Toc29911 \h </w:instrText>
      </w:r>
      <w:r>
        <w:fldChar w:fldCharType="separate"/>
      </w:r>
      <w:r>
        <w:t>18</w:t>
      </w:r>
      <w:r>
        <w:fldChar w:fldCharType="end"/>
      </w:r>
      <w:r>
        <w:rPr>
          <w:rFonts w:hint="default" w:ascii="Times New Roman" w:hAnsi="Times New Roman" w:cs="Times New Roman"/>
          <w:lang/>
        </w:rPr>
        <w:fldChar w:fldCharType="end"/>
      </w:r>
    </w:p>
    <w:p w14:paraId="5EA094E7">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_Toc9655 </w:instrText>
      </w:r>
      <w:r>
        <w:rPr>
          <w:rFonts w:hint="default" w:ascii="Times New Roman" w:hAnsi="Times New Roman" w:cs="Times New Roman"/>
          <w:lang/>
        </w:rPr>
        <w:fldChar w:fldCharType="separate"/>
      </w:r>
      <w:r>
        <w:rPr>
          <w:rFonts w:hint="default" w:ascii="Times New Roman" w:hAnsi="Times New Roman" w:eastAsia="宋体" w:cs="Times New Roman"/>
          <w:lang w:val="en-US" w:eastAsia="zh-CN"/>
        </w:rPr>
        <w:t xml:space="preserve">3 </w:t>
      </w:r>
      <w:r>
        <w:rPr>
          <w:rFonts w:hint="default" w:ascii="Times New Roman" w:hAnsi="Times New Roman" w:eastAsia="宋体" w:cs="Times New Roman"/>
          <w:lang w:val="de-DE" w:eastAsia="zh-CN"/>
        </w:rPr>
        <w:t>Impact Investing als renditeorientiertes Investmenttool</w:t>
      </w:r>
      <w:r>
        <w:tab/>
      </w:r>
      <w:r>
        <w:fldChar w:fldCharType="begin"/>
      </w:r>
      <w:r>
        <w:instrText xml:space="preserve"> PAGEREF _Toc9655 \h </w:instrText>
      </w:r>
      <w:r>
        <w:fldChar w:fldCharType="separate"/>
      </w:r>
      <w:r>
        <w:t>20</w:t>
      </w:r>
      <w:r>
        <w:fldChar w:fldCharType="end"/>
      </w:r>
      <w:r>
        <w:rPr>
          <w:rFonts w:hint="default" w:ascii="Times New Roman" w:hAnsi="Times New Roman" w:cs="Times New Roman"/>
          <w:lang/>
        </w:rPr>
        <w:fldChar w:fldCharType="end"/>
      </w:r>
    </w:p>
    <w:p w14:paraId="76CE5276">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_Toc9661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3.1 </w:t>
      </w:r>
      <w:r>
        <w:rPr>
          <w:rFonts w:hint="default" w:ascii="Times New Roman" w:hAnsi="Times New Roman" w:eastAsia="宋体" w:cs="Times New Roman"/>
          <w:lang w:val="de-DE" w:eastAsia="zh-CN"/>
        </w:rPr>
        <w:t>Ökonomische und gesellschaftliche Begründung des Ansatzes</w:t>
      </w:r>
      <w:r>
        <w:tab/>
      </w:r>
      <w:r>
        <w:fldChar w:fldCharType="begin"/>
      </w:r>
      <w:r>
        <w:instrText xml:space="preserve"> PAGEREF _Toc9661 \h </w:instrText>
      </w:r>
      <w:r>
        <w:fldChar w:fldCharType="separate"/>
      </w:r>
      <w:r>
        <w:t>20</w:t>
      </w:r>
      <w:r>
        <w:fldChar w:fldCharType="end"/>
      </w:r>
      <w:r>
        <w:rPr>
          <w:rFonts w:hint="default" w:ascii="Times New Roman" w:hAnsi="Times New Roman" w:cs="Times New Roman"/>
          <w:lang/>
        </w:rPr>
        <w:fldChar w:fldCharType="end"/>
      </w:r>
    </w:p>
    <w:p w14:paraId="437FA4BC">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_Toc1450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3.1.1 </w:t>
      </w:r>
      <w:r>
        <w:rPr>
          <w:rFonts w:hint="default" w:ascii="Times New Roman" w:hAnsi="Times New Roman" w:eastAsia="宋体" w:cs="Times New Roman"/>
          <w:lang w:val="de-DE" w:eastAsia="zh-CN"/>
        </w:rPr>
        <w:t>Markt- und Finanzierungsdefizite bei sozialen Projekten</w:t>
      </w:r>
      <w:r>
        <w:tab/>
      </w:r>
      <w:r>
        <w:fldChar w:fldCharType="begin"/>
      </w:r>
      <w:r>
        <w:instrText xml:space="preserve"> PAGEREF _Toc1450 \h </w:instrText>
      </w:r>
      <w:r>
        <w:fldChar w:fldCharType="separate"/>
      </w:r>
      <w:r>
        <w:t>20</w:t>
      </w:r>
      <w:r>
        <w:fldChar w:fldCharType="end"/>
      </w:r>
      <w:r>
        <w:rPr>
          <w:rFonts w:hint="default" w:ascii="Times New Roman" w:hAnsi="Times New Roman" w:cs="Times New Roman"/>
          <w:lang/>
        </w:rPr>
        <w:fldChar w:fldCharType="end"/>
      </w:r>
    </w:p>
    <w:p w14:paraId="067326AD">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_Toc15891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3.1.2 </w:t>
      </w:r>
      <w:r>
        <w:rPr>
          <w:rFonts w:hint="default" w:ascii="Times New Roman" w:hAnsi="Times New Roman" w:eastAsia="宋体" w:cs="Times New Roman"/>
          <w:lang w:val="de-DE" w:eastAsia="zh-CN"/>
        </w:rPr>
        <w:t>Ökonomischer Mehrwert wirkungsorientierter Investitionen</w:t>
      </w:r>
      <w:r>
        <w:tab/>
      </w:r>
      <w:r>
        <w:fldChar w:fldCharType="begin"/>
      </w:r>
      <w:r>
        <w:instrText xml:space="preserve"> PAGEREF _Toc15891 \h </w:instrText>
      </w:r>
      <w:r>
        <w:fldChar w:fldCharType="separate"/>
      </w:r>
      <w:r>
        <w:t>21</w:t>
      </w:r>
      <w:r>
        <w:fldChar w:fldCharType="end"/>
      </w:r>
      <w:r>
        <w:rPr>
          <w:rFonts w:hint="default" w:ascii="Times New Roman" w:hAnsi="Times New Roman" w:cs="Times New Roman"/>
          <w:lang/>
        </w:rPr>
        <w:fldChar w:fldCharType="end"/>
      </w:r>
    </w:p>
    <w:p w14:paraId="4CD32A5F">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_Toc25530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3.1.3 </w:t>
      </w:r>
      <w:r>
        <w:rPr>
          <w:rFonts w:hint="default" w:ascii="Times New Roman" w:hAnsi="Times New Roman" w:eastAsia="宋体" w:cs="Times New Roman"/>
          <w:lang w:val="de-DE" w:eastAsia="zh-CN"/>
        </w:rPr>
        <w:t>Bedeutung für die Finanzierung kleiner sozialer Projekte</w:t>
      </w:r>
      <w:r>
        <w:tab/>
      </w:r>
      <w:r>
        <w:fldChar w:fldCharType="begin"/>
      </w:r>
      <w:r>
        <w:instrText xml:space="preserve"> PAGEREF _Toc25530 \h </w:instrText>
      </w:r>
      <w:r>
        <w:fldChar w:fldCharType="separate"/>
      </w:r>
      <w:r>
        <w:t>23</w:t>
      </w:r>
      <w:r>
        <w:fldChar w:fldCharType="end"/>
      </w:r>
      <w:r>
        <w:rPr>
          <w:rFonts w:hint="default" w:ascii="Times New Roman" w:hAnsi="Times New Roman" w:cs="Times New Roman"/>
          <w:lang/>
        </w:rPr>
        <w:fldChar w:fldCharType="end"/>
      </w:r>
    </w:p>
    <w:p w14:paraId="38D30E14">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_Toc16333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3.2 </w:t>
      </w:r>
      <w:r>
        <w:rPr>
          <w:rFonts w:hint="default" w:ascii="Times New Roman" w:hAnsi="Times New Roman" w:eastAsia="宋体" w:cs="Times New Roman"/>
          <w:lang w:val="de-DE" w:eastAsia="zh-CN"/>
        </w:rPr>
        <w:t>Renditeorientierte Finanzierungsinstrumente im Impact Investing</w:t>
      </w:r>
      <w:r>
        <w:tab/>
      </w:r>
      <w:r>
        <w:fldChar w:fldCharType="begin"/>
      </w:r>
      <w:r>
        <w:instrText xml:space="preserve"> PAGEREF _Toc16333 \h </w:instrText>
      </w:r>
      <w:r>
        <w:fldChar w:fldCharType="separate"/>
      </w:r>
      <w:r>
        <w:t>24</w:t>
      </w:r>
      <w:r>
        <w:fldChar w:fldCharType="end"/>
      </w:r>
      <w:r>
        <w:rPr>
          <w:rFonts w:hint="default" w:ascii="Times New Roman" w:hAnsi="Times New Roman" w:cs="Times New Roman"/>
          <w:lang/>
        </w:rPr>
        <w:fldChar w:fldCharType="end"/>
      </w:r>
    </w:p>
    <w:p w14:paraId="08242E8E">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_Toc22382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3.2.1 </w:t>
      </w:r>
      <w:r>
        <w:rPr>
          <w:rFonts w:hint="default" w:ascii="Times New Roman" w:hAnsi="Times New Roman" w:eastAsia="宋体" w:cs="Times New Roman"/>
          <w:lang w:val="de-DE" w:eastAsia="zh-CN"/>
        </w:rPr>
        <w:t>Eigenkapitalbasierte Impact-Investments</w:t>
      </w:r>
      <w:r>
        <w:tab/>
      </w:r>
      <w:r>
        <w:fldChar w:fldCharType="begin"/>
      </w:r>
      <w:r>
        <w:instrText xml:space="preserve"> PAGEREF _Toc22382 \h </w:instrText>
      </w:r>
      <w:r>
        <w:fldChar w:fldCharType="separate"/>
      </w:r>
      <w:r>
        <w:t>24</w:t>
      </w:r>
      <w:r>
        <w:fldChar w:fldCharType="end"/>
      </w:r>
      <w:r>
        <w:rPr>
          <w:rFonts w:hint="default" w:ascii="Times New Roman" w:hAnsi="Times New Roman" w:cs="Times New Roman"/>
          <w:lang/>
        </w:rPr>
        <w:fldChar w:fldCharType="end"/>
      </w:r>
    </w:p>
    <w:p w14:paraId="222AD009">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_Toc5169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3.2.2 </w:t>
      </w:r>
      <w:r>
        <w:rPr>
          <w:rFonts w:hint="default" w:ascii="Times New Roman" w:hAnsi="Times New Roman" w:eastAsia="宋体" w:cs="Times New Roman"/>
          <w:lang w:val="de-DE" w:eastAsia="zh-CN"/>
        </w:rPr>
        <w:t>Fremdkapitalinstrumente und hybride Finanzierungsformen</w:t>
      </w:r>
      <w:r>
        <w:tab/>
      </w:r>
      <w:r>
        <w:fldChar w:fldCharType="begin"/>
      </w:r>
      <w:r>
        <w:instrText xml:space="preserve"> PAGEREF _Toc5169 \h </w:instrText>
      </w:r>
      <w:r>
        <w:fldChar w:fldCharType="separate"/>
      </w:r>
      <w:r>
        <w:t>25</w:t>
      </w:r>
      <w:r>
        <w:fldChar w:fldCharType="end"/>
      </w:r>
      <w:r>
        <w:rPr>
          <w:rFonts w:hint="default" w:ascii="Times New Roman" w:hAnsi="Times New Roman" w:cs="Times New Roman"/>
          <w:lang/>
        </w:rPr>
        <w:fldChar w:fldCharType="end"/>
      </w:r>
    </w:p>
    <w:p w14:paraId="2FF6176D">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_Toc32097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3.2.3 </w:t>
      </w:r>
      <w:r>
        <w:rPr>
          <w:rFonts w:hint="default" w:ascii="Times New Roman" w:hAnsi="Times New Roman" w:eastAsia="宋体" w:cs="Times New Roman"/>
          <w:lang w:val="de-DE" w:eastAsia="zh-CN"/>
        </w:rPr>
        <w:t>Ergebnisbasierte Finanzierungsmodelle</w:t>
      </w:r>
      <w:r>
        <w:tab/>
      </w:r>
      <w:r>
        <w:fldChar w:fldCharType="begin"/>
      </w:r>
      <w:r>
        <w:instrText xml:space="preserve"> PAGEREF _Toc32097 \h </w:instrText>
      </w:r>
      <w:r>
        <w:fldChar w:fldCharType="separate"/>
      </w:r>
      <w:r>
        <w:t>26</w:t>
      </w:r>
      <w:r>
        <w:fldChar w:fldCharType="end"/>
      </w:r>
      <w:r>
        <w:rPr>
          <w:rFonts w:hint="default" w:ascii="Times New Roman" w:hAnsi="Times New Roman" w:cs="Times New Roman"/>
          <w:lang/>
        </w:rPr>
        <w:fldChar w:fldCharType="end"/>
      </w:r>
    </w:p>
    <w:p w14:paraId="29378715">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_Toc9240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3.2.4 </w:t>
      </w:r>
      <w:r>
        <w:rPr>
          <w:rFonts w:hint="default" w:ascii="Times New Roman" w:hAnsi="Times New Roman" w:eastAsia="宋体" w:cs="Times New Roman"/>
          <w:lang w:val="de-DE" w:eastAsia="zh-CN"/>
        </w:rPr>
        <w:t>Eignung der Instrumente für kleinere soziale Projekte</w:t>
      </w:r>
      <w:r>
        <w:tab/>
      </w:r>
      <w:r>
        <w:fldChar w:fldCharType="begin"/>
      </w:r>
      <w:r>
        <w:instrText xml:space="preserve"> PAGEREF _Toc9240 \h </w:instrText>
      </w:r>
      <w:r>
        <w:fldChar w:fldCharType="separate"/>
      </w:r>
      <w:r>
        <w:t>27</w:t>
      </w:r>
      <w:r>
        <w:fldChar w:fldCharType="end"/>
      </w:r>
      <w:r>
        <w:rPr>
          <w:rFonts w:hint="default" w:ascii="Times New Roman" w:hAnsi="Times New Roman" w:cs="Times New Roman"/>
          <w:lang/>
        </w:rPr>
        <w:fldChar w:fldCharType="end"/>
      </w:r>
    </w:p>
    <w:p w14:paraId="781E3F03">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_Toc1808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3.3 </w:t>
      </w:r>
      <w:r>
        <w:rPr>
          <w:rFonts w:hint="default" w:ascii="Times New Roman" w:hAnsi="Times New Roman" w:eastAsia="宋体" w:cs="Times New Roman"/>
          <w:lang w:val="de-DE" w:eastAsia="zh-CN"/>
        </w:rPr>
        <w:t>Rendite-Wirkungs-Zielkonflikte aus theoretischer Perspektive</w:t>
      </w:r>
      <w:r>
        <w:tab/>
      </w:r>
      <w:r>
        <w:fldChar w:fldCharType="begin"/>
      </w:r>
      <w:r>
        <w:instrText xml:space="preserve"> PAGEREF _Toc1808 \h </w:instrText>
      </w:r>
      <w:r>
        <w:fldChar w:fldCharType="separate"/>
      </w:r>
      <w:r>
        <w:t>28</w:t>
      </w:r>
      <w:r>
        <w:fldChar w:fldCharType="end"/>
      </w:r>
      <w:r>
        <w:rPr>
          <w:rFonts w:hint="default" w:ascii="Times New Roman" w:hAnsi="Times New Roman" w:cs="Times New Roman"/>
          <w:lang/>
        </w:rPr>
        <w:fldChar w:fldCharType="end"/>
      </w:r>
    </w:p>
    <w:p w14:paraId="6A9F24AF">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_Toc7940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3.3.1 </w:t>
      </w:r>
      <w:r>
        <w:rPr>
          <w:rFonts w:hint="default" w:ascii="Times New Roman" w:hAnsi="Times New Roman" w:eastAsia="宋体" w:cs="Times New Roman"/>
          <w:lang w:val="de-DE" w:eastAsia="zh-CN"/>
        </w:rPr>
        <w:t>Theoretische Grundlagen zur Verbindung von Wirkung und Rendite</w:t>
      </w:r>
      <w:r>
        <w:tab/>
      </w:r>
      <w:r>
        <w:fldChar w:fldCharType="begin"/>
      </w:r>
      <w:r>
        <w:instrText xml:space="preserve"> PAGEREF _Toc7940 \h </w:instrText>
      </w:r>
      <w:r>
        <w:fldChar w:fldCharType="separate"/>
      </w:r>
      <w:r>
        <w:t>28</w:t>
      </w:r>
      <w:r>
        <w:fldChar w:fldCharType="end"/>
      </w:r>
      <w:r>
        <w:rPr>
          <w:rFonts w:hint="default" w:ascii="Times New Roman" w:hAnsi="Times New Roman" w:cs="Times New Roman"/>
          <w:lang/>
        </w:rPr>
        <w:fldChar w:fldCharType="end"/>
      </w:r>
    </w:p>
    <w:p w14:paraId="142624A7">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_Toc512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3.3.2 </w:t>
      </w:r>
      <w:r>
        <w:rPr>
          <w:rFonts w:hint="default" w:ascii="Times New Roman" w:hAnsi="Times New Roman" w:eastAsia="宋体" w:cs="Times New Roman"/>
          <w:lang w:val="de-DE" w:eastAsia="zh-CN"/>
        </w:rPr>
        <w:t>Trade-off-Überlegungen zwischen sozialer Wirkung und finanzieller Rendite</w:t>
      </w:r>
      <w:r>
        <w:tab/>
      </w:r>
      <w:r>
        <w:fldChar w:fldCharType="begin"/>
      </w:r>
      <w:r>
        <w:instrText xml:space="preserve"> PAGEREF _Toc512 \h </w:instrText>
      </w:r>
      <w:r>
        <w:fldChar w:fldCharType="separate"/>
      </w:r>
      <w:r>
        <w:t>29</w:t>
      </w:r>
      <w:r>
        <w:fldChar w:fldCharType="end"/>
      </w:r>
      <w:r>
        <w:rPr>
          <w:rFonts w:hint="default" w:ascii="Times New Roman" w:hAnsi="Times New Roman" w:cs="Times New Roman"/>
          <w:lang/>
        </w:rPr>
        <w:fldChar w:fldCharType="end"/>
      </w:r>
    </w:p>
    <w:p w14:paraId="3ADB5EC4">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_Toc20526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3.3.3 </w:t>
      </w:r>
      <w:r>
        <w:rPr>
          <w:rFonts w:hint="default" w:ascii="Times New Roman" w:hAnsi="Times New Roman" w:eastAsia="宋体" w:cs="Times New Roman"/>
          <w:lang w:val="de-DE" w:eastAsia="zh-CN"/>
        </w:rPr>
        <w:t>Institutionelle und regulatorische Einflussfaktoren</w:t>
      </w:r>
      <w:r>
        <w:tab/>
      </w:r>
      <w:r>
        <w:fldChar w:fldCharType="begin"/>
      </w:r>
      <w:r>
        <w:instrText xml:space="preserve"> PAGEREF _Toc20526 \h </w:instrText>
      </w:r>
      <w:r>
        <w:fldChar w:fldCharType="separate"/>
      </w:r>
      <w:r>
        <w:t>30</w:t>
      </w:r>
      <w:r>
        <w:fldChar w:fldCharType="end"/>
      </w:r>
      <w:r>
        <w:rPr>
          <w:rFonts w:hint="default" w:ascii="Times New Roman" w:hAnsi="Times New Roman" w:cs="Times New Roman"/>
          <w:lang/>
        </w:rPr>
        <w:fldChar w:fldCharType="end"/>
      </w:r>
    </w:p>
    <w:p w14:paraId="021AB25D">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_Toc22833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 </w:t>
      </w:r>
      <w:r>
        <w:rPr>
          <w:rFonts w:hint="default" w:ascii="Times New Roman" w:hAnsi="Times New Roman" w:eastAsia="宋体" w:cs="Times New Roman"/>
          <w:lang w:val="de-DE" w:eastAsia="zh-CN"/>
        </w:rPr>
        <w:t>Rendite- und Wirkungssteuerung durch Impact-Messung</w:t>
      </w:r>
      <w:r>
        <w:tab/>
      </w:r>
      <w:r>
        <w:fldChar w:fldCharType="begin"/>
      </w:r>
      <w:r>
        <w:instrText xml:space="preserve"> PAGEREF _Toc22833 \h </w:instrText>
      </w:r>
      <w:r>
        <w:fldChar w:fldCharType="separate"/>
      </w:r>
      <w:r>
        <w:t>32</w:t>
      </w:r>
      <w:r>
        <w:fldChar w:fldCharType="end"/>
      </w:r>
      <w:r>
        <w:rPr>
          <w:rFonts w:hint="default" w:ascii="Times New Roman" w:hAnsi="Times New Roman" w:cs="Times New Roman"/>
          <w:lang/>
        </w:rPr>
        <w:fldChar w:fldCharType="end"/>
      </w:r>
    </w:p>
    <w:p w14:paraId="0207EE02">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_Toc6325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3.4.1 </w:t>
      </w:r>
      <w:r>
        <w:rPr>
          <w:rFonts w:hint="default" w:ascii="Times New Roman" w:hAnsi="Times New Roman" w:eastAsia="宋体" w:cs="Times New Roman"/>
          <w:lang w:val="de-DE" w:eastAsia="zh-CN"/>
        </w:rPr>
        <w:t>Funktion der Impact-Messung im Investitionsprozess</w:t>
      </w:r>
      <w:r>
        <w:tab/>
      </w:r>
      <w:r>
        <w:fldChar w:fldCharType="begin"/>
      </w:r>
      <w:r>
        <w:instrText xml:space="preserve"> PAGEREF _Toc6325 \h </w:instrText>
      </w:r>
      <w:r>
        <w:fldChar w:fldCharType="separate"/>
      </w:r>
      <w:r>
        <w:t>32</w:t>
      </w:r>
      <w:r>
        <w:fldChar w:fldCharType="end"/>
      </w:r>
      <w:r>
        <w:rPr>
          <w:rFonts w:hint="default" w:ascii="Times New Roman" w:hAnsi="Times New Roman" w:cs="Times New Roman"/>
          <w:lang/>
        </w:rPr>
        <w:fldChar w:fldCharType="end"/>
      </w:r>
    </w:p>
    <w:p w14:paraId="31E9E419">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_Toc27377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3.4.2 </w:t>
      </w:r>
      <w:r>
        <w:rPr>
          <w:rFonts w:hint="default" w:ascii="Times New Roman" w:hAnsi="Times New Roman" w:eastAsia="宋体" w:cs="Times New Roman"/>
          <w:lang w:val="de-DE" w:eastAsia="zh-CN"/>
        </w:rPr>
        <w:t>Zentrale Ansätze und Instrumente der Impact-Messung</w:t>
      </w:r>
      <w:r>
        <w:tab/>
      </w:r>
      <w:r>
        <w:fldChar w:fldCharType="begin"/>
      </w:r>
      <w:r>
        <w:instrText xml:space="preserve"> PAGEREF _Toc27377 \h </w:instrText>
      </w:r>
      <w:r>
        <w:fldChar w:fldCharType="separate"/>
      </w:r>
      <w:r>
        <w:t>33</w:t>
      </w:r>
      <w:r>
        <w:fldChar w:fldCharType="end"/>
      </w:r>
      <w:r>
        <w:rPr>
          <w:rFonts w:hint="default" w:ascii="Times New Roman" w:hAnsi="Times New Roman" w:cs="Times New Roman"/>
          <w:lang/>
        </w:rPr>
        <w:fldChar w:fldCharType="end"/>
      </w:r>
    </w:p>
    <w:p w14:paraId="6A34C9F1">
      <w:pPr>
        <w:pStyle w:val="32"/>
        <w:tabs>
          <w:tab w:val="right" w:leader="dot" w:pos="8504"/>
          <w:tab w:val="clear" w:pos="1680"/>
          <w:tab w:val="clear" w:pos="207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_Toc8340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3.4.2.1 </w:t>
      </w:r>
      <w:r>
        <w:rPr>
          <w:rFonts w:hint="default" w:ascii="Times New Roman" w:hAnsi="Times New Roman" w:eastAsia="宋体" w:cs="Times New Roman"/>
          <w:lang w:val="de-DE" w:eastAsia="zh-CN"/>
        </w:rPr>
        <w:t>Social Return on Investment (SROI)</w:t>
      </w:r>
      <w:r>
        <w:tab/>
      </w:r>
      <w:r>
        <w:fldChar w:fldCharType="begin"/>
      </w:r>
      <w:r>
        <w:instrText xml:space="preserve"> PAGEREF _Toc8340 \h </w:instrText>
      </w:r>
      <w:r>
        <w:fldChar w:fldCharType="separate"/>
      </w:r>
      <w:r>
        <w:t>33</w:t>
      </w:r>
      <w:r>
        <w:fldChar w:fldCharType="end"/>
      </w:r>
      <w:r>
        <w:rPr>
          <w:rFonts w:hint="default" w:ascii="Times New Roman" w:hAnsi="Times New Roman" w:cs="Times New Roman"/>
          <w:lang/>
        </w:rPr>
        <w:fldChar w:fldCharType="end"/>
      </w:r>
    </w:p>
    <w:p w14:paraId="4B96DFD9">
      <w:pPr>
        <w:pStyle w:val="32"/>
        <w:tabs>
          <w:tab w:val="right" w:leader="dot" w:pos="8504"/>
          <w:tab w:val="clear" w:pos="1680"/>
          <w:tab w:val="clear" w:pos="207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_Toc7826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3.4.2.2 </w:t>
      </w:r>
      <w:r>
        <w:rPr>
          <w:rFonts w:hint="default" w:ascii="Times New Roman" w:hAnsi="Times New Roman" w:eastAsia="宋体" w:cs="Times New Roman"/>
          <w:lang w:val="de-DE" w:eastAsia="zh-CN"/>
        </w:rPr>
        <w:t>Impact Reporting and Investment Standards (IRIS)</w:t>
      </w:r>
      <w:r>
        <w:tab/>
      </w:r>
      <w:r>
        <w:fldChar w:fldCharType="begin"/>
      </w:r>
      <w:r>
        <w:instrText xml:space="preserve"> PAGEREF _Toc7826 \h </w:instrText>
      </w:r>
      <w:r>
        <w:fldChar w:fldCharType="separate"/>
      </w:r>
      <w:r>
        <w:t>33</w:t>
      </w:r>
      <w:r>
        <w:fldChar w:fldCharType="end"/>
      </w:r>
      <w:r>
        <w:rPr>
          <w:rFonts w:hint="default" w:ascii="Times New Roman" w:hAnsi="Times New Roman" w:cs="Times New Roman"/>
          <w:lang/>
        </w:rPr>
        <w:fldChar w:fldCharType="end"/>
      </w:r>
    </w:p>
    <w:p w14:paraId="1D37C0DB">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_Toc7186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3.4.3 </w:t>
      </w:r>
      <w:r>
        <w:rPr>
          <w:rFonts w:hint="default" w:ascii="Times New Roman" w:hAnsi="Times New Roman" w:eastAsia="宋体" w:cs="Times New Roman"/>
          <w:lang w:val="de-DE" w:eastAsia="zh-CN"/>
        </w:rPr>
        <w:t>Herausforderungen der Messung bei kleinen sozialen Projekten</w:t>
      </w:r>
      <w:r>
        <w:tab/>
      </w:r>
      <w:r>
        <w:fldChar w:fldCharType="begin"/>
      </w:r>
      <w:r>
        <w:instrText xml:space="preserve"> PAGEREF _Toc7186 \h </w:instrText>
      </w:r>
      <w:r>
        <w:fldChar w:fldCharType="separate"/>
      </w:r>
      <w:r>
        <w:t>34</w:t>
      </w:r>
      <w:r>
        <w:fldChar w:fldCharType="end"/>
      </w:r>
      <w:r>
        <w:rPr>
          <w:rFonts w:hint="default" w:ascii="Times New Roman" w:hAnsi="Times New Roman" w:cs="Times New Roman"/>
          <w:lang/>
        </w:rPr>
        <w:fldChar w:fldCharType="end"/>
      </w:r>
    </w:p>
    <w:p w14:paraId="5A096CF5">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_Toc148 </w:instrText>
      </w:r>
      <w:r>
        <w:rPr>
          <w:rFonts w:hint="default" w:ascii="Times New Roman" w:hAnsi="Times New Roman" w:cs="Times New Roman"/>
          <w:lang/>
        </w:rPr>
        <w:fldChar w:fldCharType="separate"/>
      </w:r>
      <w:r>
        <w:rPr>
          <w:rFonts w:hint="default" w:ascii="Times New Roman" w:hAnsi="Times New Roman" w:eastAsia="宋体" w:cs="Times New Roman"/>
          <w:lang w:val="en-US" w:eastAsia="zh-CN"/>
        </w:rPr>
        <w:t xml:space="preserve">4 </w:t>
      </w:r>
      <w:r>
        <w:rPr>
          <w:rFonts w:hint="default" w:ascii="Times New Roman" w:hAnsi="Times New Roman" w:cs="Times New Roman"/>
          <w:highlight w:val="none"/>
        </w:rPr>
        <w:t>Beispiele für kleine soziale Projekte im Impact Investing</w:t>
      </w:r>
      <w:r>
        <w:tab/>
      </w:r>
      <w:r>
        <w:fldChar w:fldCharType="begin"/>
      </w:r>
      <w:r>
        <w:instrText xml:space="preserve"> PAGEREF _Toc148 \h </w:instrText>
      </w:r>
      <w:r>
        <w:fldChar w:fldCharType="separate"/>
      </w:r>
      <w:r>
        <w:t>36</w:t>
      </w:r>
      <w:r>
        <w:fldChar w:fldCharType="end"/>
      </w:r>
      <w:r>
        <w:rPr>
          <w:rFonts w:hint="default" w:ascii="Times New Roman" w:hAnsi="Times New Roman" w:cs="Times New Roman"/>
          <w:lang/>
        </w:rPr>
        <w:fldChar w:fldCharType="end"/>
      </w:r>
    </w:p>
    <w:p w14:paraId="5D4D533E">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_Toc12731 </w:instrText>
      </w:r>
      <w:r>
        <w:rPr>
          <w:rFonts w:hint="default" w:ascii="Times New Roman" w:hAnsi="Times New Roman" w:cs="Times New Roman"/>
          <w:lang/>
        </w:rPr>
        <w:fldChar w:fldCharType="separate"/>
      </w:r>
      <w:r>
        <w:rPr>
          <w:rFonts w:hint="eastAsia" w:ascii="Times New Roman" w:hAnsi="Times New Roman" w:eastAsia="宋体" w:cs="Times New Roman"/>
          <w:lang w:val="en-US" w:eastAsia="zh-CN"/>
        </w:rPr>
        <w:t xml:space="preserve">4.1 </w:t>
      </w:r>
      <w:r>
        <w:rPr>
          <w:rFonts w:hint="default" w:ascii="Times New Roman" w:hAnsi="Times New Roman" w:eastAsia="宋体" w:cs="Times New Roman"/>
          <w:lang w:val="de-DE" w:eastAsia="zh-CN"/>
        </w:rPr>
        <w:t>SKS Microfinance</w:t>
      </w:r>
      <w:r>
        <w:tab/>
      </w:r>
      <w:r>
        <w:fldChar w:fldCharType="begin"/>
      </w:r>
      <w:r>
        <w:instrText xml:space="preserve"> PAGEREF _Toc12731 \h </w:instrText>
      </w:r>
      <w:r>
        <w:fldChar w:fldCharType="separate"/>
      </w:r>
      <w:r>
        <w:t>36</w:t>
      </w:r>
      <w:r>
        <w:fldChar w:fldCharType="end"/>
      </w:r>
      <w:r>
        <w:rPr>
          <w:rFonts w:hint="default" w:ascii="Times New Roman" w:hAnsi="Times New Roman" w:cs="Times New Roman"/>
          <w:lang/>
        </w:rPr>
        <w:fldChar w:fldCharType="end"/>
      </w:r>
    </w:p>
    <w:p w14:paraId="20CD4B0E">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_Toc24885 </w:instrText>
      </w:r>
      <w:r>
        <w:rPr>
          <w:rFonts w:hint="default" w:ascii="Times New Roman" w:hAnsi="Times New Roman" w:cs="Times New Roman"/>
          <w:lang/>
        </w:rPr>
        <w:fldChar w:fldCharType="separate"/>
      </w:r>
      <w:r>
        <w:rPr>
          <w:rFonts w:hint="eastAsia" w:ascii="Times New Roman" w:hAnsi="Times New Roman" w:eastAsia="宋体" w:cs="Times New Roman"/>
          <w:lang w:val="en-US" w:eastAsia="zh-CN"/>
        </w:rPr>
        <w:t xml:space="preserve">4.1.1 </w:t>
      </w:r>
      <w:r>
        <w:rPr>
          <w:rFonts w:hint="default" w:ascii="Times New Roman" w:hAnsi="Times New Roman" w:eastAsia="宋体" w:cs="Times New Roman"/>
          <w:lang w:val="de-DE" w:eastAsia="zh-CN"/>
        </w:rPr>
        <w:t>Unternehmensprofil und soziales Wirkungsziel</w:t>
      </w:r>
      <w:r>
        <w:tab/>
      </w:r>
      <w:r>
        <w:fldChar w:fldCharType="begin"/>
      </w:r>
      <w:r>
        <w:instrText xml:space="preserve"> PAGEREF _Toc24885 \h </w:instrText>
      </w:r>
      <w:r>
        <w:fldChar w:fldCharType="separate"/>
      </w:r>
      <w:r>
        <w:t>36</w:t>
      </w:r>
      <w:r>
        <w:fldChar w:fldCharType="end"/>
      </w:r>
      <w:r>
        <w:rPr>
          <w:rFonts w:hint="default" w:ascii="Times New Roman" w:hAnsi="Times New Roman" w:cs="Times New Roman"/>
          <w:lang/>
        </w:rPr>
        <w:fldChar w:fldCharType="end"/>
      </w:r>
    </w:p>
    <w:p w14:paraId="5C0678F5">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_Toc11561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4.1.2 </w:t>
      </w:r>
      <w:r>
        <w:rPr>
          <w:rFonts w:hint="default" w:ascii="Times New Roman" w:hAnsi="Times New Roman" w:eastAsia="宋体" w:cs="Times New Roman"/>
          <w:lang w:val="de-DE" w:eastAsia="zh-CN"/>
        </w:rPr>
        <w:t>Eingesetzte Investmentinstrumente und Finanzierungsstruktur</w:t>
      </w:r>
      <w:r>
        <w:tab/>
      </w:r>
      <w:r>
        <w:fldChar w:fldCharType="begin"/>
      </w:r>
      <w:r>
        <w:instrText xml:space="preserve"> PAGEREF _Toc11561 \h </w:instrText>
      </w:r>
      <w:r>
        <w:fldChar w:fldCharType="separate"/>
      </w:r>
      <w:r>
        <w:t>37</w:t>
      </w:r>
      <w:r>
        <w:fldChar w:fldCharType="end"/>
      </w:r>
      <w:r>
        <w:rPr>
          <w:rFonts w:hint="default" w:ascii="Times New Roman" w:hAnsi="Times New Roman" w:cs="Times New Roman"/>
          <w:lang/>
        </w:rPr>
        <w:fldChar w:fldCharType="end"/>
      </w:r>
    </w:p>
    <w:p w14:paraId="13723D3C">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_Toc4243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4.1.3 </w:t>
      </w:r>
      <w:r>
        <w:rPr>
          <w:rFonts w:hint="default" w:ascii="Times New Roman" w:hAnsi="Times New Roman" w:eastAsia="宋体" w:cs="Times New Roman"/>
          <w:lang w:val="de-DE" w:eastAsia="zh-CN"/>
        </w:rPr>
        <w:t>Renditeerwartungen und wirtschaftliche Tragfähigkeit</w:t>
      </w:r>
      <w:r>
        <w:tab/>
      </w:r>
      <w:r>
        <w:fldChar w:fldCharType="begin"/>
      </w:r>
      <w:r>
        <w:instrText xml:space="preserve"> PAGEREF _Toc4243 \h </w:instrText>
      </w:r>
      <w:r>
        <w:fldChar w:fldCharType="separate"/>
      </w:r>
      <w:r>
        <w:t>38</w:t>
      </w:r>
      <w:r>
        <w:fldChar w:fldCharType="end"/>
      </w:r>
      <w:r>
        <w:rPr>
          <w:rFonts w:hint="default" w:ascii="Times New Roman" w:hAnsi="Times New Roman" w:cs="Times New Roman"/>
          <w:lang/>
        </w:rPr>
        <w:fldChar w:fldCharType="end"/>
      </w:r>
    </w:p>
    <w:p w14:paraId="0E909AC6">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_Toc19759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4.1.4 </w:t>
      </w:r>
      <w:r>
        <w:rPr>
          <w:rFonts w:hint="default" w:ascii="Times New Roman" w:hAnsi="Times New Roman" w:eastAsia="宋体" w:cs="Times New Roman"/>
          <w:lang w:val="de-DE" w:eastAsia="zh-CN"/>
        </w:rPr>
        <w:t>Soziale Wirkung und Herausforderungen der Impact-Messung</w:t>
      </w:r>
      <w:r>
        <w:tab/>
      </w:r>
      <w:r>
        <w:fldChar w:fldCharType="begin"/>
      </w:r>
      <w:r>
        <w:instrText xml:space="preserve"> PAGEREF _Toc19759 \h </w:instrText>
      </w:r>
      <w:r>
        <w:fldChar w:fldCharType="separate"/>
      </w:r>
      <w:r>
        <w:t>40</w:t>
      </w:r>
      <w:r>
        <w:fldChar w:fldCharType="end"/>
      </w:r>
      <w:r>
        <w:rPr>
          <w:rFonts w:hint="default" w:ascii="Times New Roman" w:hAnsi="Times New Roman" w:cs="Times New Roman"/>
          <w:lang/>
        </w:rPr>
        <w:fldChar w:fldCharType="end"/>
      </w:r>
    </w:p>
    <w:p w14:paraId="23651B5E">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_Toc27839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4.2 </w:t>
      </w:r>
      <w:r>
        <w:rPr>
          <w:rFonts w:hint="default" w:ascii="Times New Roman" w:hAnsi="Times New Roman" w:eastAsia="宋体" w:cs="Times New Roman"/>
          <w:highlight w:val="none"/>
          <w:lang w:val="de-DE" w:eastAsia="zh-CN"/>
        </w:rPr>
        <w:t>Ecoligo</w:t>
      </w:r>
      <w:r>
        <w:tab/>
      </w:r>
      <w:r>
        <w:fldChar w:fldCharType="begin"/>
      </w:r>
      <w:r>
        <w:instrText xml:space="preserve"> PAGEREF _Toc27839 \h </w:instrText>
      </w:r>
      <w:r>
        <w:fldChar w:fldCharType="separate"/>
      </w:r>
      <w:r>
        <w:t>41</w:t>
      </w:r>
      <w:r>
        <w:fldChar w:fldCharType="end"/>
      </w:r>
      <w:r>
        <w:rPr>
          <w:rFonts w:hint="default" w:ascii="Times New Roman" w:hAnsi="Times New Roman" w:cs="Times New Roman"/>
          <w:lang/>
        </w:rPr>
        <w:fldChar w:fldCharType="end"/>
      </w:r>
    </w:p>
    <w:p w14:paraId="10249A93">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_Toc12310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4.2.1 </w:t>
      </w:r>
      <w:r>
        <w:rPr>
          <w:rFonts w:hint="default" w:ascii="Times New Roman" w:hAnsi="Times New Roman" w:eastAsia="宋体" w:cs="Times New Roman"/>
          <w:lang w:val="de-DE" w:eastAsia="zh-CN"/>
        </w:rPr>
        <w:t>Geschäftsmodell und Zielsetzung des Unternehmens</w:t>
      </w:r>
      <w:r>
        <w:tab/>
      </w:r>
      <w:r>
        <w:fldChar w:fldCharType="begin"/>
      </w:r>
      <w:r>
        <w:instrText xml:space="preserve"> PAGEREF _Toc12310 \h </w:instrText>
      </w:r>
      <w:r>
        <w:fldChar w:fldCharType="separate"/>
      </w:r>
      <w:r>
        <w:t>41</w:t>
      </w:r>
      <w:r>
        <w:fldChar w:fldCharType="end"/>
      </w:r>
      <w:r>
        <w:rPr>
          <w:rFonts w:hint="default" w:ascii="Times New Roman" w:hAnsi="Times New Roman" w:cs="Times New Roman"/>
          <w:lang/>
        </w:rPr>
        <w:fldChar w:fldCharType="end"/>
      </w:r>
    </w:p>
    <w:p w14:paraId="48E089E3">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_Toc22891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4.2.2 </w:t>
      </w:r>
      <w:r>
        <w:rPr>
          <w:rFonts w:hint="default" w:ascii="Times New Roman" w:hAnsi="Times New Roman" w:eastAsia="宋体" w:cs="Times New Roman"/>
          <w:lang w:val="de-DE" w:eastAsia="zh-CN"/>
        </w:rPr>
        <w:t>Impact-Investing-Mechanismen und Anlegerstruktur</w:t>
      </w:r>
      <w:r>
        <w:tab/>
      </w:r>
      <w:r>
        <w:fldChar w:fldCharType="begin"/>
      </w:r>
      <w:r>
        <w:instrText xml:space="preserve"> PAGEREF _Toc22891 \h </w:instrText>
      </w:r>
      <w:r>
        <w:fldChar w:fldCharType="separate"/>
      </w:r>
      <w:r>
        <w:t>43</w:t>
      </w:r>
      <w:r>
        <w:fldChar w:fldCharType="end"/>
      </w:r>
      <w:r>
        <w:rPr>
          <w:rFonts w:hint="default" w:ascii="Times New Roman" w:hAnsi="Times New Roman" w:cs="Times New Roman"/>
          <w:lang/>
        </w:rPr>
        <w:fldChar w:fldCharType="end"/>
      </w:r>
    </w:p>
    <w:p w14:paraId="464B10D5">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_Toc14097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4.2.3 </w:t>
      </w:r>
      <w:r>
        <w:rPr>
          <w:rFonts w:hint="default" w:ascii="Times New Roman" w:hAnsi="Times New Roman" w:eastAsia="宋体" w:cs="Times New Roman"/>
          <w:lang w:val="de-DE" w:eastAsia="zh-CN"/>
        </w:rPr>
        <w:t>Renditeorientierung und Risiko-Rendite-Profil</w:t>
      </w:r>
      <w:r>
        <w:tab/>
      </w:r>
      <w:r>
        <w:fldChar w:fldCharType="begin"/>
      </w:r>
      <w:r>
        <w:instrText xml:space="preserve"> PAGEREF _Toc14097 \h </w:instrText>
      </w:r>
      <w:r>
        <w:fldChar w:fldCharType="separate"/>
      </w:r>
      <w:r>
        <w:t>44</w:t>
      </w:r>
      <w:r>
        <w:fldChar w:fldCharType="end"/>
      </w:r>
      <w:r>
        <w:rPr>
          <w:rFonts w:hint="default" w:ascii="Times New Roman" w:hAnsi="Times New Roman" w:cs="Times New Roman"/>
          <w:lang/>
        </w:rPr>
        <w:fldChar w:fldCharType="end"/>
      </w:r>
    </w:p>
    <w:p w14:paraId="18387C6A">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_Toc13857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4.2.4 </w:t>
      </w:r>
      <w:r>
        <w:rPr>
          <w:rFonts w:hint="default" w:ascii="Times New Roman" w:hAnsi="Times New Roman" w:eastAsia="宋体" w:cs="Times New Roman"/>
          <w:lang w:val="de-DE" w:eastAsia="zh-CN"/>
        </w:rPr>
        <w:t>Wirkungsbeitrag und Messbarkeit des Impacts</w:t>
      </w:r>
      <w:r>
        <w:tab/>
      </w:r>
      <w:r>
        <w:fldChar w:fldCharType="begin"/>
      </w:r>
      <w:r>
        <w:instrText xml:space="preserve"> PAGEREF _Toc13857 \h </w:instrText>
      </w:r>
      <w:r>
        <w:fldChar w:fldCharType="separate"/>
      </w:r>
      <w:r>
        <w:t>46</w:t>
      </w:r>
      <w:r>
        <w:fldChar w:fldCharType="end"/>
      </w:r>
      <w:r>
        <w:rPr>
          <w:rFonts w:hint="default" w:ascii="Times New Roman" w:hAnsi="Times New Roman" w:cs="Times New Roman"/>
          <w:lang/>
        </w:rPr>
        <w:fldChar w:fldCharType="end"/>
      </w:r>
    </w:p>
    <w:p w14:paraId="17AA649D">
      <w:pPr>
        <w:pStyle w:val="40"/>
        <w:tabs>
          <w:tab w:val="right" w:leader="dot" w:pos="8504"/>
          <w:tab w:val="clear" w:pos="880"/>
          <w:tab w:val="clear" w:pos="120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_Toc16921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4.3 </w:t>
      </w:r>
      <w:r>
        <w:rPr>
          <w:rFonts w:hint="default" w:ascii="Times New Roman" w:hAnsi="Times New Roman" w:eastAsia="宋体" w:cs="Times New Roman"/>
          <w:highlight w:val="none"/>
          <w:lang w:val="de-DE" w:eastAsia="zh-CN"/>
        </w:rPr>
        <w:t>Vergleichende Analyse und Einordnung der Ergebnisse</w:t>
      </w:r>
      <w:r>
        <w:tab/>
      </w:r>
      <w:r>
        <w:fldChar w:fldCharType="begin"/>
      </w:r>
      <w:r>
        <w:instrText xml:space="preserve"> PAGEREF _Toc16921 \h </w:instrText>
      </w:r>
      <w:r>
        <w:fldChar w:fldCharType="separate"/>
      </w:r>
      <w:r>
        <w:t>47</w:t>
      </w:r>
      <w:r>
        <w:fldChar w:fldCharType="end"/>
      </w:r>
      <w:r>
        <w:rPr>
          <w:rFonts w:hint="default" w:ascii="Times New Roman" w:hAnsi="Times New Roman" w:cs="Times New Roman"/>
          <w:lang/>
        </w:rPr>
        <w:fldChar w:fldCharType="end"/>
      </w:r>
    </w:p>
    <w:p w14:paraId="0628697F">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_Toc20264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4.3.1 </w:t>
      </w:r>
      <w:r>
        <w:rPr>
          <w:rFonts w:hint="default" w:ascii="Times New Roman" w:hAnsi="Times New Roman" w:eastAsia="宋体" w:cs="Times New Roman"/>
          <w:lang w:val="de-DE" w:eastAsia="zh-CN"/>
        </w:rPr>
        <w:t>Vergleich der Investmentinstrumente und Renditemodelle</w:t>
      </w:r>
      <w:r>
        <w:tab/>
      </w:r>
      <w:r>
        <w:fldChar w:fldCharType="begin"/>
      </w:r>
      <w:r>
        <w:instrText xml:space="preserve"> PAGEREF _Toc20264 \h </w:instrText>
      </w:r>
      <w:r>
        <w:fldChar w:fldCharType="separate"/>
      </w:r>
      <w:r>
        <w:t>47</w:t>
      </w:r>
      <w:r>
        <w:fldChar w:fldCharType="end"/>
      </w:r>
      <w:r>
        <w:rPr>
          <w:rFonts w:hint="default" w:ascii="Times New Roman" w:hAnsi="Times New Roman" w:cs="Times New Roman"/>
          <w:lang/>
        </w:rPr>
        <w:fldChar w:fldCharType="end"/>
      </w:r>
    </w:p>
    <w:p w14:paraId="1C59EC80">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_Toc28615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4.3.2 </w:t>
      </w:r>
      <w:r>
        <w:rPr>
          <w:rFonts w:hint="default" w:ascii="Times New Roman" w:hAnsi="Times New Roman" w:eastAsia="宋体" w:cs="Times New Roman"/>
          <w:lang w:val="de-DE" w:eastAsia="zh-CN"/>
        </w:rPr>
        <w:t>Unterschiede im Impact-Ansatz und in der Skalierbarkeit</w:t>
      </w:r>
      <w:r>
        <w:tab/>
      </w:r>
      <w:r>
        <w:fldChar w:fldCharType="begin"/>
      </w:r>
      <w:r>
        <w:instrText xml:space="preserve"> PAGEREF _Toc28615 \h </w:instrText>
      </w:r>
      <w:r>
        <w:fldChar w:fldCharType="separate"/>
      </w:r>
      <w:r>
        <w:t>49</w:t>
      </w:r>
      <w:r>
        <w:fldChar w:fldCharType="end"/>
      </w:r>
      <w:r>
        <w:rPr>
          <w:rFonts w:hint="default" w:ascii="Times New Roman" w:hAnsi="Times New Roman" w:cs="Times New Roman"/>
          <w:lang/>
        </w:rPr>
        <w:fldChar w:fldCharType="end"/>
      </w:r>
    </w:p>
    <w:p w14:paraId="1D324FF6">
      <w:pPr>
        <w:pStyle w:val="23"/>
        <w:tabs>
          <w:tab w:val="right" w:leader="dot" w:pos="8504"/>
          <w:tab w:val="clear" w:pos="1320"/>
          <w:tab w:val="clear" w:pos="1701"/>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_Toc26231 </w:instrText>
      </w:r>
      <w:r>
        <w:rPr>
          <w:rFonts w:hint="default" w:ascii="Times New Roman" w:hAnsi="Times New Roman" w:cs="Times New Roman"/>
          <w:lang/>
        </w:rPr>
        <w:fldChar w:fldCharType="separate"/>
      </w:r>
      <w:r>
        <w:rPr>
          <w:rFonts w:hint="eastAsia" w:ascii="Times New Roman" w:hAnsi="Times New Roman" w:eastAsia="宋体" w:cs="Times New Roman"/>
          <w:lang w:val="de-DE" w:eastAsia="zh-CN"/>
        </w:rPr>
        <w:t xml:space="preserve">4.3.3 </w:t>
      </w:r>
      <w:r>
        <w:rPr>
          <w:rFonts w:hint="default" w:ascii="Times New Roman" w:hAnsi="Times New Roman" w:eastAsia="宋体" w:cs="Times New Roman"/>
          <w:lang w:val="de-DE" w:eastAsia="zh-CN"/>
        </w:rPr>
        <w:t>Übertragbarkeit der Ergebnisse auf kleinere soziale Projekte</w:t>
      </w:r>
      <w:r>
        <w:tab/>
      </w:r>
      <w:r>
        <w:fldChar w:fldCharType="begin"/>
      </w:r>
      <w:r>
        <w:instrText xml:space="preserve"> PAGEREF _Toc26231 \h </w:instrText>
      </w:r>
      <w:r>
        <w:fldChar w:fldCharType="separate"/>
      </w:r>
      <w:r>
        <w:t>50</w:t>
      </w:r>
      <w:r>
        <w:fldChar w:fldCharType="end"/>
      </w:r>
      <w:r>
        <w:rPr>
          <w:rFonts w:hint="default" w:ascii="Times New Roman" w:hAnsi="Times New Roman" w:cs="Times New Roman"/>
          <w:lang/>
        </w:rPr>
        <w:fldChar w:fldCharType="end"/>
      </w:r>
    </w:p>
    <w:p w14:paraId="56A57073">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_Toc10476 </w:instrText>
      </w:r>
      <w:r>
        <w:rPr>
          <w:rFonts w:hint="default" w:ascii="Times New Roman" w:hAnsi="Times New Roman" w:cs="Times New Roman"/>
          <w:lang/>
        </w:rPr>
        <w:fldChar w:fldCharType="separate"/>
      </w:r>
      <w:r>
        <w:rPr>
          <w:rFonts w:hint="default" w:ascii="Times New Roman" w:hAnsi="Times New Roman" w:eastAsia="宋体" w:cs="Times New Roman"/>
          <w:lang w:val="en-US" w:eastAsia="zh-CN"/>
        </w:rPr>
        <w:t>5 Fazit und Ausblick</w:t>
      </w:r>
      <w:r>
        <w:tab/>
      </w:r>
      <w:r>
        <w:fldChar w:fldCharType="begin"/>
      </w:r>
      <w:r>
        <w:instrText xml:space="preserve"> PAGEREF _Toc10476 \h </w:instrText>
      </w:r>
      <w:r>
        <w:fldChar w:fldCharType="separate"/>
      </w:r>
      <w:r>
        <w:t>52</w:t>
      </w:r>
      <w:r>
        <w:fldChar w:fldCharType="end"/>
      </w:r>
      <w:r>
        <w:rPr>
          <w:rFonts w:hint="default" w:ascii="Times New Roman" w:hAnsi="Times New Roman" w:cs="Times New Roman"/>
          <w:lang/>
        </w:rPr>
        <w:fldChar w:fldCharType="end"/>
      </w:r>
    </w:p>
    <w:p w14:paraId="637A1C8D">
      <w:pPr>
        <w:pStyle w:val="31"/>
        <w:tabs>
          <w:tab w:val="right" w:leader="dot" w:pos="8504"/>
          <w:tab w:val="clear" w:pos="440"/>
          <w:tab w:val="clear" w:pos="8494"/>
        </w:tabs>
      </w:pPr>
      <w:r>
        <w:rPr>
          <w:rFonts w:hint="default" w:ascii="Times New Roman" w:hAnsi="Times New Roman" w:cs="Times New Roman"/>
          <w:lang/>
        </w:rPr>
        <w:fldChar w:fldCharType="begin"/>
      </w:r>
      <w:r>
        <w:rPr>
          <w:rFonts w:hint="default" w:ascii="Times New Roman" w:hAnsi="Times New Roman" w:cs="Times New Roman"/>
          <w:lang/>
        </w:rPr>
        <w:instrText xml:space="preserve"> HYPERLINK \l _Toc7535 </w:instrText>
      </w:r>
      <w:r>
        <w:rPr>
          <w:rFonts w:hint="default" w:ascii="Times New Roman" w:hAnsi="Times New Roman" w:cs="Times New Roman"/>
          <w:lang/>
        </w:rPr>
        <w:fldChar w:fldCharType="separate"/>
      </w:r>
      <w:r>
        <w:rPr>
          <w:rFonts w:hint="default" w:ascii="Times New Roman" w:hAnsi="Times New Roman" w:cs="Times New Roman"/>
        </w:rPr>
        <w:t>Literaturverzeichnis</w:t>
      </w:r>
      <w:r>
        <w:tab/>
      </w:r>
      <w:r>
        <w:fldChar w:fldCharType="begin"/>
      </w:r>
      <w:r>
        <w:instrText xml:space="preserve"> PAGEREF _Toc7535 \h </w:instrText>
      </w:r>
      <w:r>
        <w:fldChar w:fldCharType="separate"/>
      </w:r>
      <w:r>
        <w:t>55</w:t>
      </w:r>
      <w:r>
        <w:fldChar w:fldCharType="end"/>
      </w:r>
      <w:r>
        <w:rPr>
          <w:rFonts w:hint="default" w:ascii="Times New Roman" w:hAnsi="Times New Roman" w:cs="Times New Roman"/>
          <w:lang/>
        </w:rPr>
        <w:fldChar w:fldCharType="end"/>
      </w:r>
    </w:p>
    <w:p w14:paraId="1621EE5B">
      <w:pPr>
        <w:spacing w:before="240"/>
        <w:jc w:val="left"/>
        <w:rPr>
          <w:rFonts w:hint="default" w:ascii="Times New Roman" w:hAnsi="Times New Roman" w:cs="Times New Roman"/>
          <w:b/>
          <w:lang/>
        </w:rPr>
      </w:pPr>
      <w:r>
        <w:rPr>
          <w:rFonts w:hint="default" w:ascii="Times New Roman" w:hAnsi="Times New Roman" w:cs="Times New Roman"/>
          <w:lang/>
        </w:rPr>
        <w:fldChar w:fldCharType="end"/>
      </w:r>
    </w:p>
    <w:p w14:paraId="40C953D7">
      <w:pPr>
        <w:pStyle w:val="3"/>
        <w:numPr>
          <w:ilvl w:val="0"/>
          <w:numId w:val="0"/>
        </w:numPr>
        <w:rPr>
          <w:rFonts w:hint="default" w:ascii="Times New Roman" w:hAnsi="Times New Roman" w:cs="Times New Roman"/>
        </w:rPr>
      </w:pPr>
      <w:bookmarkStart w:id="0" w:name="_Toc3980"/>
      <w:bookmarkStart w:id="1" w:name="_Toc32623"/>
      <w:r>
        <w:rPr>
          <w:rFonts w:hint="default" w:ascii="Times New Roman" w:hAnsi="Times New Roman" w:cs="Times New Roman"/>
        </w:rPr>
        <w:br w:type="page"/>
      </w:r>
      <w:bookmarkStart w:id="2" w:name="_Toc29060"/>
      <w:r>
        <w:rPr>
          <w:rFonts w:hint="default" w:ascii="Times New Roman" w:hAnsi="Times New Roman" w:cs="Times New Roman"/>
        </w:rPr>
        <w:t>Abbildungsverzeichnis</w:t>
      </w:r>
      <w:bookmarkEnd w:id="0"/>
      <w:bookmarkEnd w:id="1"/>
      <w:bookmarkEnd w:id="2"/>
    </w:p>
    <w:p w14:paraId="1F4A4E2C">
      <w:pPr>
        <w:pStyle w:val="39"/>
        <w:tabs>
          <w:tab w:val="right" w:leader="dot" w:pos="8504"/>
        </w:tabs>
      </w:pPr>
      <w:r>
        <w:rPr>
          <w:rFonts w:hint="default" w:ascii="Times New Roman" w:hAnsi="Times New Roman" w:cs="Times New Roman"/>
        </w:rPr>
        <w:fldChar w:fldCharType="begin"/>
      </w:r>
      <w:r>
        <w:rPr>
          <w:rFonts w:hint="default" w:ascii="Times New Roman" w:hAnsi="Times New Roman" w:cs="Times New Roman"/>
        </w:rPr>
        <w:instrText xml:space="preserve">TOC \h \c "Abbildung"</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_Toc12915 </w:instrText>
      </w:r>
      <w:r>
        <w:rPr>
          <w:rFonts w:hint="default" w:ascii="Times New Roman" w:hAnsi="Times New Roman" w:cs="Times New Roman"/>
        </w:rPr>
        <w:fldChar w:fldCharType="separate"/>
      </w:r>
      <w:r>
        <w:rPr>
          <w:rFonts w:hint="default" w:ascii="Times New Roman" w:hAnsi="Times New Roman" w:cs="Times New Roman"/>
          <w:szCs w:val="24"/>
        </w:rPr>
        <w:t xml:space="preserve">Abbildung </w:t>
      </w:r>
      <w:r>
        <w:t xml:space="preserve">1 </w:t>
      </w:r>
      <w:r>
        <w:rPr>
          <w:rFonts w:hint="default" w:ascii="Times New Roman" w:hAnsi="Times New Roman" w:cs="Times New Roman"/>
          <w:szCs w:val="24"/>
          <w:lang w:val="en-US" w:eastAsia="zh-CN"/>
        </w:rPr>
        <w:t>: Impact Investing Prozess</w:t>
      </w:r>
      <w:r>
        <w:tab/>
      </w:r>
      <w:r>
        <w:fldChar w:fldCharType="begin"/>
      </w:r>
      <w:r>
        <w:instrText xml:space="preserve"> PAGEREF _Toc12915 \h </w:instrText>
      </w:r>
      <w:r>
        <w:fldChar w:fldCharType="separate"/>
      </w:r>
      <w:r>
        <w:t>6</w:t>
      </w:r>
      <w:r>
        <w:fldChar w:fldCharType="end"/>
      </w:r>
      <w:r>
        <w:rPr>
          <w:rFonts w:hint="default" w:ascii="Times New Roman" w:hAnsi="Times New Roman" w:cs="Times New Roman"/>
        </w:rPr>
        <w:fldChar w:fldCharType="end"/>
      </w:r>
    </w:p>
    <w:p w14:paraId="2053D656">
      <w:pPr>
        <w:pStyle w:val="39"/>
        <w:tabs>
          <w:tab w:val="right" w:leader="dot" w:pos="850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_Toc1958 </w:instrText>
      </w:r>
      <w:r>
        <w:rPr>
          <w:rFonts w:hint="default" w:ascii="Times New Roman" w:hAnsi="Times New Roman" w:cs="Times New Roman"/>
        </w:rPr>
        <w:fldChar w:fldCharType="separate"/>
      </w:r>
      <w:r>
        <w:rPr>
          <w:rFonts w:hint="default" w:ascii="Times New Roman" w:hAnsi="Times New Roman" w:cs="Times New Roman"/>
          <w:szCs w:val="24"/>
        </w:rPr>
        <w:t xml:space="preserve">Abbildung </w:t>
      </w:r>
      <w:r>
        <w:t xml:space="preserve">2 </w:t>
      </w:r>
      <w:r>
        <w:rPr>
          <w:rFonts w:hint="default" w:ascii="Times New Roman" w:hAnsi="Times New Roman" w:cs="Times New Roman"/>
          <w:szCs w:val="24"/>
          <w:lang w:val="de-DE"/>
        </w:rPr>
        <w:t xml:space="preserve">: </w:t>
      </w:r>
      <w:r>
        <w:rPr>
          <w:rFonts w:hint="default" w:ascii="Times New Roman" w:hAnsi="Times New Roman" w:eastAsia="宋体" w:cs="Times New Roman"/>
          <w:szCs w:val="24"/>
          <w:lang w:val="de-DE" w:eastAsia="zh-CN"/>
        </w:rPr>
        <w:t>Finanzierungszwecke kleiner sozialer Projekte</w:t>
      </w:r>
      <w:r>
        <w:tab/>
      </w:r>
      <w:r>
        <w:fldChar w:fldCharType="begin"/>
      </w:r>
      <w:r>
        <w:instrText xml:space="preserve"> PAGEREF _Toc1958 \h </w:instrText>
      </w:r>
      <w:r>
        <w:fldChar w:fldCharType="separate"/>
      </w:r>
      <w:r>
        <w:t>15</w:t>
      </w:r>
      <w:r>
        <w:fldChar w:fldCharType="end"/>
      </w:r>
      <w:r>
        <w:rPr>
          <w:rFonts w:hint="default" w:ascii="Times New Roman" w:hAnsi="Times New Roman" w:cs="Times New Roman"/>
        </w:rPr>
        <w:fldChar w:fldCharType="end"/>
      </w:r>
    </w:p>
    <w:p w14:paraId="0FC13A18">
      <w:pPr>
        <w:pStyle w:val="39"/>
        <w:tabs>
          <w:tab w:val="right" w:leader="dot" w:pos="8504"/>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_Toc11377 </w:instrText>
      </w:r>
      <w:r>
        <w:rPr>
          <w:rFonts w:hint="default" w:ascii="Times New Roman" w:hAnsi="Times New Roman" w:cs="Times New Roman"/>
        </w:rPr>
        <w:fldChar w:fldCharType="separate"/>
      </w:r>
      <w:r>
        <w:rPr>
          <w:szCs w:val="24"/>
        </w:rPr>
        <w:t xml:space="preserve">Abbildung </w:t>
      </w:r>
      <w:r>
        <w:t xml:space="preserve">3 </w:t>
      </w:r>
      <w:r>
        <w:rPr>
          <w:rFonts w:hint="default"/>
          <w:szCs w:val="24"/>
          <w:lang w:val="de-DE"/>
        </w:rPr>
        <w:t>: Impact Investment Journey</w:t>
      </w:r>
      <w:r>
        <w:tab/>
      </w:r>
      <w:r>
        <w:fldChar w:fldCharType="begin"/>
      </w:r>
      <w:r>
        <w:instrText xml:space="preserve"> PAGEREF _Toc11377 \h </w:instrText>
      </w:r>
      <w:r>
        <w:fldChar w:fldCharType="separate"/>
      </w:r>
      <w:r>
        <w:t>21</w:t>
      </w:r>
      <w:r>
        <w:fldChar w:fldCharType="end"/>
      </w:r>
      <w:r>
        <w:rPr>
          <w:rFonts w:hint="default" w:ascii="Times New Roman" w:hAnsi="Times New Roman" w:cs="Times New Roman"/>
        </w:rPr>
        <w:fldChar w:fldCharType="end"/>
      </w:r>
    </w:p>
    <w:p w14:paraId="1B9457FE">
      <w:pPr>
        <w:pStyle w:val="39"/>
        <w:tabs>
          <w:tab w:val="right" w:leader="dot" w:pos="8494"/>
        </w:tabs>
        <w:spacing w:before="120" w:after="120"/>
        <w:rPr>
          <w:rFonts w:hint="default" w:ascii="Times New Roman" w:hAnsi="Times New Roman" w:cs="Times New Roman"/>
        </w:rPr>
      </w:pPr>
      <w:r>
        <w:rPr>
          <w:rFonts w:hint="default" w:ascii="Times New Roman" w:hAnsi="Times New Roman" w:cs="Times New Roman"/>
        </w:rPr>
        <w:fldChar w:fldCharType="end"/>
      </w:r>
    </w:p>
    <w:p w14:paraId="240A82EF"/>
    <w:p w14:paraId="7A1E08FB">
      <w:pPr>
        <w:pStyle w:val="3"/>
        <w:numPr>
          <w:ilvl w:val="0"/>
          <w:numId w:val="0"/>
        </w:numPr>
        <w:rPr>
          <w:rFonts w:hint="eastAsia"/>
        </w:rPr>
      </w:pPr>
      <w:bookmarkStart w:id="3" w:name="_Toc24336"/>
      <w:bookmarkStart w:id="4" w:name="_Toc499280724"/>
      <w:r>
        <w:t>Tabellenverzeichnis</w:t>
      </w:r>
      <w:bookmarkEnd w:id="3"/>
      <w:bookmarkEnd w:id="4"/>
    </w:p>
    <w:p w14:paraId="0892E893">
      <w:pPr>
        <w:pStyle w:val="39"/>
        <w:tabs>
          <w:tab w:val="right" w:leader="dot" w:pos="8504"/>
        </w:tabs>
      </w:pPr>
      <w:r>
        <w:fldChar w:fldCharType="begin"/>
      </w:r>
      <w:r>
        <w:instrText xml:space="preserve">TOC \h \c "Tabelle"</w:instrText>
      </w:r>
      <w:r>
        <w:fldChar w:fldCharType="separate"/>
      </w:r>
      <w:r>
        <w:fldChar w:fldCharType="begin"/>
      </w:r>
      <w:r>
        <w:instrText xml:space="preserve"> HYPERLINK \l _Toc5880 </w:instrText>
      </w:r>
      <w:r>
        <w:fldChar w:fldCharType="separate"/>
      </w:r>
      <w:r>
        <w:rPr>
          <w:szCs w:val="24"/>
        </w:rPr>
        <w:t xml:space="preserve">Tabelle </w:t>
      </w:r>
      <w:r>
        <w:t xml:space="preserve">1 </w:t>
      </w:r>
      <w:r>
        <w:rPr>
          <w:rFonts w:hint="eastAsia"/>
          <w:szCs w:val="24"/>
          <w:lang w:val="en-US" w:eastAsia="zh-CN"/>
        </w:rPr>
        <w:t xml:space="preserve">: </w:t>
      </w:r>
      <w:r>
        <w:rPr>
          <w:rFonts w:hint="default" w:ascii="Times New Roman" w:hAnsi="Times New Roman" w:eastAsia="宋体" w:cs="Times New Roman"/>
          <w:szCs w:val="24"/>
          <w:lang w:val="de-DE" w:eastAsia="zh-CN"/>
        </w:rPr>
        <w:t>Arten von Impact-Investment-Instrumenten</w:t>
      </w:r>
      <w:r>
        <w:tab/>
      </w:r>
      <w:r>
        <w:fldChar w:fldCharType="begin"/>
      </w:r>
      <w:r>
        <w:instrText xml:space="preserve"> PAGEREF _Toc5880 \h </w:instrText>
      </w:r>
      <w:r>
        <w:fldChar w:fldCharType="separate"/>
      </w:r>
      <w:r>
        <w:t>25</w:t>
      </w:r>
      <w:r>
        <w:fldChar w:fldCharType="end"/>
      </w:r>
      <w:r>
        <w:fldChar w:fldCharType="end"/>
      </w:r>
    </w:p>
    <w:p w14:paraId="7B571419">
      <w:pPr>
        <w:pStyle w:val="39"/>
        <w:tabs>
          <w:tab w:val="right" w:leader="dot" w:pos="8504"/>
        </w:tabs>
      </w:pPr>
      <w:r>
        <w:fldChar w:fldCharType="begin"/>
      </w:r>
      <w:r>
        <w:instrText xml:space="preserve"> HYPERLINK \l _Toc15011 </w:instrText>
      </w:r>
      <w:r>
        <w:fldChar w:fldCharType="separate"/>
      </w:r>
      <w:r>
        <w:rPr>
          <w:szCs w:val="24"/>
        </w:rPr>
        <w:t xml:space="preserve">Tabelle </w:t>
      </w:r>
      <w:r>
        <w:t xml:space="preserve">2 </w:t>
      </w:r>
      <w:r>
        <w:rPr>
          <w:rFonts w:hint="default"/>
          <w:szCs w:val="24"/>
          <w:lang w:val="de-DE"/>
        </w:rPr>
        <w:t xml:space="preserve">: </w:t>
      </w:r>
      <w:r>
        <w:rPr>
          <w:rFonts w:hint="default" w:ascii="Times New Roman" w:hAnsi="Times New Roman" w:eastAsia="宋体" w:cs="Times New Roman"/>
          <w:szCs w:val="24"/>
          <w:lang w:val="de-DE" w:eastAsia="zh-CN"/>
        </w:rPr>
        <w:t>Vergleich der Investmentinstrumente und Renditemodelle</w:t>
      </w:r>
      <w:r>
        <w:tab/>
      </w:r>
      <w:r>
        <w:fldChar w:fldCharType="begin"/>
      </w:r>
      <w:r>
        <w:instrText xml:space="preserve"> PAGEREF _Toc15011 \h </w:instrText>
      </w:r>
      <w:r>
        <w:fldChar w:fldCharType="separate"/>
      </w:r>
      <w:r>
        <w:t>48</w:t>
      </w:r>
      <w:r>
        <w:fldChar w:fldCharType="end"/>
      </w:r>
      <w:r>
        <w:fldChar w:fldCharType="end"/>
      </w:r>
    </w:p>
    <w:p w14:paraId="694499EB">
      <w:pPr>
        <w:pStyle w:val="39"/>
        <w:tabs>
          <w:tab w:val="right" w:leader="dot" w:pos="8494"/>
        </w:tabs>
        <w:rPr>
          <w:rFonts w:hint="default"/>
          <w:lang w:val="de-DE"/>
        </w:rPr>
      </w:pPr>
      <w:r>
        <w:fldChar w:fldCharType="end"/>
      </w:r>
    </w:p>
    <w:p w14:paraId="05CD9F7B">
      <w:pPr>
        <w:rPr>
          <w:rFonts w:hint="default" w:ascii="Times New Roman" w:hAnsi="Times New Roman" w:cs="Times New Roman"/>
        </w:rPr>
      </w:pPr>
    </w:p>
    <w:p w14:paraId="58D935CB">
      <w:pPr>
        <w:pStyle w:val="2"/>
        <w:rPr>
          <w:rFonts w:hint="default" w:ascii="Times New Roman" w:hAnsi="Times New Roman" w:cs="Times New Roman"/>
        </w:rPr>
      </w:pPr>
    </w:p>
    <w:p w14:paraId="46FC4CAF">
      <w:pPr>
        <w:pStyle w:val="2"/>
        <w:rPr>
          <w:rFonts w:hint="default" w:ascii="Times New Roman" w:hAnsi="Times New Roman" w:cs="Times New Roman"/>
        </w:rPr>
      </w:pPr>
    </w:p>
    <w:p w14:paraId="7FE2E2A8">
      <w:pPr>
        <w:pStyle w:val="2"/>
        <w:rPr>
          <w:rFonts w:hint="default" w:ascii="Times New Roman" w:hAnsi="Times New Roman" w:cs="Times New Roman"/>
        </w:rPr>
      </w:pPr>
    </w:p>
    <w:p w14:paraId="0101BDBD">
      <w:pPr>
        <w:pStyle w:val="2"/>
        <w:rPr>
          <w:rFonts w:hint="default" w:ascii="Times New Roman" w:hAnsi="Times New Roman" w:cs="Times New Roman"/>
        </w:rPr>
      </w:pPr>
    </w:p>
    <w:p w14:paraId="04CFBBFE">
      <w:pPr>
        <w:pStyle w:val="39"/>
        <w:tabs>
          <w:tab w:val="right" w:leader="dot" w:pos="8494"/>
        </w:tabs>
        <w:spacing w:before="120" w:after="120"/>
        <w:rPr>
          <w:rFonts w:hint="default" w:ascii="Times New Roman" w:hAnsi="Times New Roman" w:cs="Times New Roman"/>
        </w:rPr>
      </w:pPr>
    </w:p>
    <w:p w14:paraId="33F46374">
      <w:pPr>
        <w:pStyle w:val="39"/>
        <w:tabs>
          <w:tab w:val="right" w:leader="dot" w:pos="8494"/>
        </w:tabs>
        <w:spacing w:before="120" w:after="120"/>
        <w:rPr>
          <w:rFonts w:hint="default" w:ascii="Times New Roman" w:hAnsi="Times New Roman" w:cs="Times New Roman"/>
        </w:rPr>
      </w:pPr>
    </w:p>
    <w:p w14:paraId="35746649">
      <w:pPr>
        <w:rPr>
          <w:rFonts w:hint="default" w:ascii="Times New Roman" w:hAnsi="Times New Roman" w:cs="Times New Roman"/>
        </w:rPr>
      </w:pPr>
    </w:p>
    <w:p w14:paraId="6B3A497C">
      <w:pPr>
        <w:pStyle w:val="2"/>
        <w:rPr>
          <w:rFonts w:hint="default" w:ascii="Times New Roman" w:hAnsi="Times New Roman" w:cs="Times New Roman"/>
        </w:rPr>
      </w:pPr>
    </w:p>
    <w:p w14:paraId="231845BB">
      <w:pPr>
        <w:pStyle w:val="2"/>
        <w:rPr>
          <w:rFonts w:hint="default" w:ascii="Times New Roman" w:hAnsi="Times New Roman" w:cs="Times New Roman"/>
        </w:rPr>
      </w:pPr>
    </w:p>
    <w:p w14:paraId="6484D0FA">
      <w:pPr>
        <w:pStyle w:val="2"/>
        <w:rPr>
          <w:rFonts w:hint="default" w:ascii="Times New Roman" w:hAnsi="Times New Roman" w:cs="Times New Roman"/>
        </w:rPr>
      </w:pPr>
    </w:p>
    <w:p w14:paraId="4BF86C23">
      <w:pPr>
        <w:pStyle w:val="2"/>
        <w:rPr>
          <w:rFonts w:hint="default" w:ascii="Times New Roman" w:hAnsi="Times New Roman" w:cs="Times New Roman"/>
        </w:rPr>
      </w:pPr>
    </w:p>
    <w:p w14:paraId="747775EB">
      <w:pPr>
        <w:pStyle w:val="2"/>
        <w:rPr>
          <w:rFonts w:hint="default" w:ascii="Times New Roman" w:hAnsi="Times New Roman" w:cs="Times New Roman"/>
        </w:rPr>
      </w:pPr>
    </w:p>
    <w:p w14:paraId="425C19AB">
      <w:pPr>
        <w:pStyle w:val="2"/>
        <w:rPr>
          <w:rFonts w:hint="default" w:ascii="Times New Roman" w:hAnsi="Times New Roman" w:cs="Times New Roman"/>
        </w:rPr>
      </w:pPr>
    </w:p>
    <w:p w14:paraId="52D19002">
      <w:pPr>
        <w:pStyle w:val="2"/>
        <w:rPr>
          <w:rFonts w:hint="default" w:ascii="Times New Roman" w:hAnsi="Times New Roman" w:cs="Times New Roman"/>
        </w:rPr>
      </w:pPr>
    </w:p>
    <w:p w14:paraId="345809E9">
      <w:pPr>
        <w:pStyle w:val="2"/>
        <w:rPr>
          <w:rFonts w:hint="default" w:ascii="Times New Roman" w:hAnsi="Times New Roman" w:cs="Times New Roman"/>
        </w:rPr>
      </w:pPr>
    </w:p>
    <w:p w14:paraId="271435ED">
      <w:pPr>
        <w:pStyle w:val="2"/>
        <w:rPr>
          <w:rFonts w:hint="default" w:ascii="Times New Roman" w:hAnsi="Times New Roman" w:cs="Times New Roman"/>
        </w:rPr>
      </w:pPr>
    </w:p>
    <w:p w14:paraId="24330526">
      <w:pPr>
        <w:pStyle w:val="2"/>
        <w:rPr>
          <w:rFonts w:hint="default" w:ascii="Times New Roman" w:hAnsi="Times New Roman" w:cs="Times New Roman"/>
        </w:rPr>
      </w:pPr>
    </w:p>
    <w:p w14:paraId="3DBEC442">
      <w:pPr>
        <w:pStyle w:val="39"/>
        <w:tabs>
          <w:tab w:val="right" w:leader="dot" w:pos="8494"/>
        </w:tabs>
        <w:spacing w:before="120" w:after="120"/>
        <w:rPr>
          <w:rFonts w:hint="default" w:ascii="Times New Roman" w:hAnsi="Times New Roman" w:cs="Times New Roman"/>
        </w:rPr>
      </w:pPr>
    </w:p>
    <w:p w14:paraId="28296CDA">
      <w:pPr>
        <w:pStyle w:val="3"/>
        <w:numPr>
          <w:ilvl w:val="0"/>
          <w:numId w:val="0"/>
        </w:numPr>
        <w:rPr>
          <w:rFonts w:hint="default" w:ascii="Times New Roman" w:hAnsi="Times New Roman" w:cs="Times New Roman"/>
        </w:rPr>
      </w:pPr>
      <w:bookmarkStart w:id="5" w:name="_Toc23454"/>
      <w:bookmarkStart w:id="6" w:name="_Toc11321"/>
      <w:r>
        <w:rPr>
          <w:rFonts w:hint="default" w:ascii="Times New Roman" w:hAnsi="Times New Roman" w:cs="Times New Roman"/>
        </w:rPr>
        <w:br w:type="page"/>
      </w:r>
      <w:bookmarkStart w:id="7" w:name="_Toc19506"/>
      <w:r>
        <w:rPr>
          <w:rFonts w:hint="default" w:ascii="Times New Roman" w:hAnsi="Times New Roman" w:cs="Times New Roman"/>
        </w:rPr>
        <w:t>Abkürzungsverzeichnis</w:t>
      </w:r>
      <w:bookmarkEnd w:id="5"/>
      <w:bookmarkEnd w:id="6"/>
      <w:bookmarkEnd w:id="7"/>
    </w:p>
    <w:p w14:paraId="76B75F5E">
      <w:pPr>
        <w:pStyle w:val="2"/>
        <w:rPr>
          <w:rFonts w:hint="default" w:ascii="Times New Roman" w:hAnsi="Times New Roman" w:cs="Times New Roman"/>
        </w:rPr>
      </w:pPr>
      <w:r>
        <w:rPr>
          <w:rFonts w:hint="default" w:ascii="Times New Roman" w:hAnsi="Times New Roman" w:cs="Times New Roman"/>
        </w:rPr>
        <w:t>CSR</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rPr>
        <w:t>Corporate Social Responsibility</w:t>
      </w:r>
    </w:p>
    <w:p w14:paraId="076AF603">
      <w:pPr>
        <w:pStyle w:val="2"/>
        <w:rPr>
          <w:rFonts w:hint="default" w:ascii="Times New Roman" w:hAnsi="Times New Roman" w:cs="Times New Roman"/>
        </w:rPr>
      </w:pPr>
      <w:r>
        <w:rPr>
          <w:rFonts w:hint="default" w:ascii="Times New Roman" w:hAnsi="Times New Roman" w:cs="Times New Roman"/>
        </w:rPr>
        <w:t>DIB</w:t>
      </w:r>
      <w:r>
        <w:rPr>
          <w:rFonts w:hint="default" w:ascii="Times New Roman" w:hAnsi="Times New Roman" w:cs="Times New Roman"/>
          <w:lang w:val="de-DE"/>
        </w:rPr>
        <w:tab/>
      </w:r>
      <w:r>
        <w:rPr>
          <w:rFonts w:hint="default" w:ascii="Times New Roman" w:hAnsi="Times New Roman" w:cs="Times New Roman"/>
          <w:lang w:val="de-DE"/>
        </w:rPr>
        <w:tab/>
      </w:r>
      <w:r>
        <w:rPr>
          <w:rFonts w:hint="default" w:ascii="Times New Roman" w:hAnsi="Times New Roman" w:cs="Times New Roman"/>
        </w:rPr>
        <w:t>Development Impact Bond</w:t>
      </w:r>
    </w:p>
    <w:p w14:paraId="66FBA411">
      <w:pPr>
        <w:pStyle w:val="2"/>
        <w:rPr>
          <w:rFonts w:hint="default" w:ascii="Times New Roman" w:hAnsi="Times New Roman" w:cs="Times New Roman"/>
        </w:rPr>
      </w:pPr>
      <w:r>
        <w:rPr>
          <w:rFonts w:hint="default" w:ascii="Times New Roman" w:hAnsi="Times New Roman" w:cs="Times New Roman"/>
          <w:lang w:val="de-DE" w:eastAsia="zh-CN"/>
        </w:rPr>
        <w:t>ESG</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lang w:val="de-DE" w:eastAsia="zh-CN"/>
        </w:rPr>
        <w:t>Environmental, Social, Governance</w:t>
      </w:r>
    </w:p>
    <w:p w14:paraId="07708978">
      <w:pPr>
        <w:pStyle w:val="2"/>
        <w:rPr>
          <w:rFonts w:hint="default" w:ascii="Times New Roman" w:hAnsi="Times New Roman" w:cs="Times New Roman"/>
        </w:rPr>
      </w:pPr>
      <w:r>
        <w:rPr>
          <w:rFonts w:hint="default" w:ascii="Times New Roman" w:hAnsi="Times New Roman" w:cs="Times New Roman"/>
        </w:rPr>
        <w:t>GIIN</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rPr>
        <w:t>Global Impact Investing Network</w:t>
      </w:r>
    </w:p>
    <w:p w14:paraId="6CC08B92">
      <w:pPr>
        <w:pStyle w:val="2"/>
        <w:rPr>
          <w:rFonts w:hint="default" w:ascii="Times New Roman" w:hAnsi="Times New Roman" w:cs="Times New Roman"/>
        </w:rPr>
      </w:pPr>
      <w:r>
        <w:rPr>
          <w:rFonts w:hint="default" w:ascii="Times New Roman" w:hAnsi="Times New Roman" w:cs="Times New Roman"/>
        </w:rPr>
        <w:t>IRIS</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rPr>
        <w:t>Impact Reporting and Investment Standards</w:t>
      </w:r>
    </w:p>
    <w:p w14:paraId="7C5A1119">
      <w:pPr>
        <w:pStyle w:val="2"/>
        <w:rPr>
          <w:rFonts w:hint="default" w:ascii="Times New Roman" w:hAnsi="Times New Roman" w:cs="Times New Roman"/>
        </w:rPr>
      </w:pPr>
      <w:r>
        <w:rPr>
          <w:rFonts w:hint="default" w:ascii="Times New Roman" w:hAnsi="Times New Roman" w:cs="Times New Roman"/>
        </w:rPr>
        <w:t>NBFC</w:t>
      </w:r>
      <w:r>
        <w:rPr>
          <w:rFonts w:hint="default" w:ascii="Times New Roman" w:hAnsi="Times New Roman" w:cs="Times New Roman"/>
          <w:lang w:val="de-DE"/>
        </w:rPr>
        <w:tab/>
      </w:r>
      <w:r>
        <w:rPr>
          <w:rFonts w:hint="default" w:ascii="Times New Roman" w:hAnsi="Times New Roman" w:cs="Times New Roman"/>
          <w:lang w:val="de-DE"/>
        </w:rPr>
        <w:tab/>
      </w:r>
      <w:r>
        <w:rPr>
          <w:rFonts w:hint="default" w:ascii="Times New Roman" w:hAnsi="Times New Roman" w:cs="Times New Roman"/>
        </w:rPr>
        <w:t xml:space="preserve">Non-Banking Financial Company </w:t>
      </w:r>
    </w:p>
    <w:p w14:paraId="4ED52691">
      <w:pPr>
        <w:pStyle w:val="2"/>
        <w:rPr>
          <w:rFonts w:hint="default" w:ascii="Times New Roman" w:hAnsi="Times New Roman" w:cs="Times New Roman"/>
        </w:rPr>
      </w:pPr>
      <w:r>
        <w:rPr>
          <w:rFonts w:hint="default" w:ascii="Times New Roman" w:hAnsi="Times New Roman" w:cs="Times New Roman"/>
        </w:rPr>
        <w:t>NPO</w:t>
      </w:r>
      <w:r>
        <w:rPr>
          <w:rFonts w:hint="default" w:ascii="Times New Roman" w:hAnsi="Times New Roman" w:cs="Times New Roman"/>
          <w:lang w:val="de-DE"/>
        </w:rPr>
        <w:tab/>
      </w:r>
      <w:r>
        <w:rPr>
          <w:rFonts w:hint="default" w:ascii="Times New Roman" w:hAnsi="Times New Roman" w:cs="Times New Roman"/>
          <w:lang w:val="de-DE"/>
        </w:rPr>
        <w:tab/>
      </w:r>
      <w:r>
        <w:rPr>
          <w:rFonts w:hint="default" w:ascii="Times New Roman" w:hAnsi="Times New Roman" w:cs="Times New Roman"/>
        </w:rPr>
        <w:t>Non-Profit-Organisationen</w:t>
      </w:r>
    </w:p>
    <w:p w14:paraId="313046CF">
      <w:pPr>
        <w:pStyle w:val="2"/>
        <w:rPr>
          <w:rFonts w:hint="default" w:ascii="Times New Roman" w:hAnsi="Times New Roman" w:cs="Times New Roman"/>
        </w:rPr>
      </w:pPr>
      <w:r>
        <w:rPr>
          <w:rFonts w:hint="default" w:ascii="Times New Roman" w:hAnsi="Times New Roman" w:cs="Times New Roman"/>
        </w:rPr>
        <w:t>SDGs</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rPr>
        <w:t>Sustainable Development Goals</w:t>
      </w:r>
    </w:p>
    <w:p w14:paraId="7C73353A">
      <w:pPr>
        <w:pStyle w:val="2"/>
        <w:rPr>
          <w:rFonts w:hint="default" w:ascii="Times New Roman" w:hAnsi="Times New Roman" w:cs="Times New Roman"/>
        </w:rPr>
      </w:pPr>
      <w:r>
        <w:rPr>
          <w:rFonts w:hint="default" w:ascii="Times New Roman" w:hAnsi="Times New Roman" w:cs="Times New Roman"/>
        </w:rPr>
        <w:t>SIB</w:t>
      </w:r>
      <w:r>
        <w:rPr>
          <w:rFonts w:hint="default" w:ascii="Times New Roman" w:hAnsi="Times New Roman" w:cs="Times New Roman"/>
          <w:lang w:val="de-DE"/>
        </w:rPr>
        <w:tab/>
      </w:r>
      <w:r>
        <w:rPr>
          <w:rFonts w:hint="default" w:ascii="Times New Roman" w:hAnsi="Times New Roman" w:cs="Times New Roman"/>
          <w:lang w:val="de-DE"/>
        </w:rPr>
        <w:tab/>
      </w:r>
      <w:r>
        <w:rPr>
          <w:rFonts w:hint="default" w:ascii="Times New Roman" w:hAnsi="Times New Roman" w:cs="Times New Roman"/>
        </w:rPr>
        <w:t>Social Impact Bond</w:t>
      </w:r>
    </w:p>
    <w:p w14:paraId="1EC5517D">
      <w:pPr>
        <w:pStyle w:val="2"/>
        <w:rPr>
          <w:rFonts w:hint="default" w:ascii="Times New Roman" w:hAnsi="Times New Roman" w:cs="Times New Roman"/>
        </w:rPr>
      </w:pPr>
      <w:r>
        <w:rPr>
          <w:rFonts w:hint="default" w:ascii="Times New Roman" w:hAnsi="Times New Roman" w:cs="Times New Roman"/>
        </w:rPr>
        <w:t>SROI</w:t>
      </w:r>
      <w:r>
        <w:rPr>
          <w:rFonts w:hint="default" w:ascii="Times New Roman" w:hAnsi="Times New Roman" w:cs="Times New Roman"/>
          <w:lang w:val="en-US" w:eastAsia="zh-CN"/>
        </w:rPr>
        <w:tab/>
      </w:r>
      <w:r>
        <w:rPr>
          <w:rFonts w:hint="default" w:ascii="Times New Roman" w:hAnsi="Times New Roman" w:cs="Times New Roman"/>
          <w:lang w:val="en-US" w:eastAsia="zh-CN"/>
        </w:rPr>
        <w:tab/>
      </w:r>
      <w:r>
        <w:rPr>
          <w:rFonts w:hint="default" w:ascii="Times New Roman" w:hAnsi="Times New Roman" w:cs="Times New Roman"/>
        </w:rPr>
        <w:t>Social Return on Investment</w:t>
      </w:r>
    </w:p>
    <w:p w14:paraId="36A2DF1C">
      <w:pPr>
        <w:pStyle w:val="2"/>
        <w:rPr>
          <w:rFonts w:hint="default" w:ascii="Times New Roman" w:hAnsi="Times New Roman" w:cs="Times New Roman"/>
        </w:rPr>
      </w:pPr>
      <w:r>
        <w:rPr>
          <w:rFonts w:hint="default" w:ascii="Times New Roman" w:hAnsi="Times New Roman" w:cs="Times New Roman"/>
        </w:rPr>
        <w:t>TBL</w:t>
      </w:r>
      <w:r>
        <w:rPr>
          <w:rFonts w:hint="default" w:ascii="Times New Roman" w:hAnsi="Times New Roman" w:cs="Times New Roman"/>
          <w:lang w:val="de-DE"/>
        </w:rPr>
        <w:tab/>
      </w:r>
      <w:r>
        <w:rPr>
          <w:rFonts w:hint="default" w:ascii="Times New Roman" w:hAnsi="Times New Roman" w:cs="Times New Roman"/>
          <w:lang w:val="de-DE"/>
        </w:rPr>
        <w:tab/>
      </w:r>
      <w:r>
        <w:rPr>
          <w:rFonts w:hint="default" w:ascii="Times New Roman" w:hAnsi="Times New Roman" w:cs="Times New Roman"/>
        </w:rPr>
        <w:t>Triple Bottom Line</w:t>
      </w:r>
    </w:p>
    <w:p w14:paraId="4EC68E6E">
      <w:pPr>
        <w:pStyle w:val="2"/>
        <w:rPr>
          <w:rFonts w:hint="default" w:ascii="Times New Roman" w:hAnsi="Times New Roman" w:cs="Times New Roman"/>
        </w:rPr>
      </w:pPr>
    </w:p>
    <w:p w14:paraId="57B40572">
      <w:pPr>
        <w:pStyle w:val="2"/>
        <w:rPr>
          <w:rFonts w:hint="default" w:ascii="Times New Roman" w:hAnsi="Times New Roman" w:cs="Times New Roman"/>
        </w:rPr>
      </w:pPr>
    </w:p>
    <w:p w14:paraId="0268B520">
      <w:pPr>
        <w:pStyle w:val="39"/>
        <w:tabs>
          <w:tab w:val="right" w:leader="dot" w:pos="8494"/>
        </w:tabs>
        <w:spacing w:before="120" w:after="120"/>
        <w:rPr>
          <w:rFonts w:hint="default" w:ascii="Times New Roman" w:hAnsi="Times New Roman" w:cs="Times New Roman"/>
        </w:rPr>
      </w:pPr>
    </w:p>
    <w:p w14:paraId="51587C32">
      <w:pPr>
        <w:pStyle w:val="2"/>
        <w:rPr>
          <w:rFonts w:hint="default" w:ascii="Times New Roman" w:hAnsi="Times New Roman" w:cs="Times New Roman"/>
        </w:rPr>
      </w:pPr>
    </w:p>
    <w:p w14:paraId="79E2FD61">
      <w:pPr>
        <w:pStyle w:val="2"/>
        <w:rPr>
          <w:rFonts w:hint="default" w:ascii="Times New Roman" w:hAnsi="Times New Roman" w:cs="Times New Roman"/>
        </w:rPr>
      </w:pPr>
    </w:p>
    <w:p w14:paraId="08FE0118">
      <w:pPr>
        <w:pStyle w:val="2"/>
        <w:rPr>
          <w:rFonts w:hint="default" w:ascii="Times New Roman" w:hAnsi="Times New Roman" w:cs="Times New Roman"/>
        </w:rPr>
      </w:pPr>
    </w:p>
    <w:p w14:paraId="6B434D6E">
      <w:pPr>
        <w:pStyle w:val="2"/>
        <w:rPr>
          <w:rFonts w:hint="default" w:ascii="Times New Roman" w:hAnsi="Times New Roman" w:cs="Times New Roman"/>
        </w:rPr>
      </w:pPr>
    </w:p>
    <w:p w14:paraId="38BEE290">
      <w:pPr>
        <w:pStyle w:val="2"/>
        <w:rPr>
          <w:rFonts w:hint="default" w:ascii="Times New Roman" w:hAnsi="Times New Roman" w:cs="Times New Roman"/>
        </w:rPr>
      </w:pPr>
    </w:p>
    <w:p w14:paraId="6EE99685">
      <w:pPr>
        <w:pStyle w:val="2"/>
        <w:rPr>
          <w:rFonts w:hint="default" w:ascii="Times New Roman" w:hAnsi="Times New Roman" w:cs="Times New Roman"/>
        </w:rPr>
      </w:pPr>
    </w:p>
    <w:p w14:paraId="2BEB30A0">
      <w:pPr>
        <w:pStyle w:val="2"/>
        <w:rPr>
          <w:rFonts w:hint="default" w:ascii="Times New Roman" w:hAnsi="Times New Roman" w:cs="Times New Roman"/>
        </w:rPr>
      </w:pPr>
    </w:p>
    <w:p w14:paraId="6DB1E0E3">
      <w:pPr>
        <w:pStyle w:val="2"/>
        <w:rPr>
          <w:rFonts w:hint="default" w:ascii="Times New Roman" w:hAnsi="Times New Roman" w:cs="Times New Roman"/>
        </w:rPr>
      </w:pPr>
    </w:p>
    <w:p w14:paraId="3AC87B68">
      <w:pPr>
        <w:pStyle w:val="2"/>
        <w:rPr>
          <w:rFonts w:hint="default" w:ascii="Times New Roman" w:hAnsi="Times New Roman" w:cs="Times New Roman"/>
        </w:rPr>
      </w:pPr>
    </w:p>
    <w:p w14:paraId="62393DBF">
      <w:pPr>
        <w:pStyle w:val="2"/>
        <w:rPr>
          <w:rFonts w:hint="default" w:ascii="Times New Roman" w:hAnsi="Times New Roman" w:cs="Times New Roman"/>
        </w:rPr>
      </w:pPr>
    </w:p>
    <w:p w14:paraId="41C19A1D">
      <w:pPr>
        <w:pStyle w:val="2"/>
        <w:rPr>
          <w:rFonts w:hint="default" w:ascii="Times New Roman" w:hAnsi="Times New Roman" w:cs="Times New Roman"/>
        </w:rPr>
      </w:pPr>
    </w:p>
    <w:p w14:paraId="290837E6">
      <w:pPr>
        <w:pStyle w:val="2"/>
        <w:rPr>
          <w:rFonts w:hint="default" w:ascii="Times New Roman" w:hAnsi="Times New Roman" w:cs="Times New Roman"/>
        </w:rPr>
      </w:pPr>
    </w:p>
    <w:p w14:paraId="23D8A3E1">
      <w:pPr>
        <w:pStyle w:val="2"/>
        <w:rPr>
          <w:rFonts w:hint="default" w:ascii="Times New Roman" w:hAnsi="Times New Roman" w:cs="Times New Roman"/>
        </w:rPr>
      </w:pPr>
    </w:p>
    <w:p w14:paraId="5CC668DA">
      <w:pPr>
        <w:pStyle w:val="39"/>
        <w:tabs>
          <w:tab w:val="right" w:leader="dot" w:pos="8494"/>
        </w:tabs>
        <w:spacing w:before="200" w:after="120"/>
        <w:rPr>
          <w:rFonts w:hint="default" w:ascii="Times New Roman" w:hAnsi="Times New Roman" w:cs="Times New Roman"/>
        </w:rPr>
      </w:pPr>
    </w:p>
    <w:p w14:paraId="430B16D4">
      <w:pPr>
        <w:rPr>
          <w:rFonts w:hint="default" w:ascii="Times New Roman" w:hAnsi="Times New Roman" w:cs="Times New Roman"/>
        </w:rPr>
        <w:sectPr>
          <w:headerReference r:id="rId9" w:type="first"/>
          <w:headerReference r:id="rId7" w:type="default"/>
          <w:footerReference r:id="rId10" w:type="default"/>
          <w:headerReference r:id="rId8" w:type="even"/>
          <w:pgSz w:w="11906" w:h="16838"/>
          <w:pgMar w:top="1701" w:right="1134" w:bottom="1134" w:left="2268" w:header="709" w:footer="709" w:gutter="0"/>
          <w:pgNumType w:fmt="upperRoman" w:start="2"/>
          <w:cols w:space="720" w:num="1"/>
          <w:docGrid w:linePitch="360" w:charSpace="0"/>
        </w:sectPr>
      </w:pPr>
    </w:p>
    <w:p w14:paraId="3DCA99A1">
      <w:pPr>
        <w:pStyle w:val="3"/>
        <w:keepNext/>
        <w:pageBreakBefore w:val="0"/>
        <w:widowControl/>
        <w:numPr>
          <w:ilvl w:val="0"/>
          <w:numId w:val="2"/>
        </w:numPr>
        <w:kinsoku/>
        <w:wordWrap/>
        <w:overflowPunct/>
        <w:topLinePunct w:val="0"/>
        <w:autoSpaceDE/>
        <w:autoSpaceDN/>
        <w:bidi w:val="0"/>
        <w:adjustRightInd/>
        <w:snapToGrid/>
        <w:spacing w:before="240" w:after="120"/>
        <w:ind w:left="431" w:hanging="431"/>
        <w:textAlignment w:val="auto"/>
        <w:rPr>
          <w:rFonts w:hint="default" w:ascii="Times New Roman" w:hAnsi="Times New Roman" w:cs="Times New Roman"/>
        </w:rPr>
      </w:pPr>
      <w:bookmarkStart w:id="8" w:name="_Toc30952"/>
      <w:bookmarkStart w:id="9" w:name="_Ref174329553"/>
      <w:r>
        <w:rPr>
          <w:rFonts w:hint="default" w:ascii="Times New Roman" w:hAnsi="Times New Roman" w:cs="Times New Roman"/>
        </w:rPr>
        <w:t>Einleitung</w:t>
      </w:r>
      <w:bookmarkEnd w:id="8"/>
    </w:p>
    <w:p w14:paraId="23A6F33A">
      <w:pPr>
        <w:pStyle w:val="5"/>
        <w:keepNext/>
        <w:pageBreakBefore w:val="0"/>
        <w:widowControl/>
        <w:kinsoku/>
        <w:wordWrap/>
        <w:overflowPunct/>
        <w:topLinePunct w:val="0"/>
        <w:autoSpaceDE/>
        <w:autoSpaceDN/>
        <w:bidi w:val="0"/>
        <w:adjustRightInd/>
        <w:snapToGrid/>
        <w:spacing w:before="240" w:after="120"/>
        <w:textAlignment w:val="auto"/>
        <w:rPr>
          <w:rFonts w:hint="default" w:ascii="Times New Roman" w:hAnsi="Times New Roman" w:cs="Times New Roman"/>
        </w:rPr>
      </w:pPr>
      <w:bookmarkStart w:id="10" w:name="_Toc5666"/>
      <w:r>
        <w:rPr>
          <w:rFonts w:hint="default" w:ascii="Times New Roman" w:hAnsi="Times New Roman" w:cs="Times New Roman"/>
        </w:rPr>
        <w:t>Problemstellung</w:t>
      </w:r>
      <w:bookmarkEnd w:id="10"/>
    </w:p>
    <w:p w14:paraId="294BA5A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r>
        <w:rPr>
          <w:rFonts w:hint="default" w:ascii="Times New Roman" w:hAnsi="Times New Roman" w:cs="Times New Roman"/>
        </w:rPr>
        <w:t>In den letzten Jahren hat sich das Verhältnis zwischen gesellschaftlichen Problemlagen und renditeorientierten Investitionslogiken spürbar zugespitzt. Soziale Ungleichheit, eingeschränkter Zugang zu Bildung, Energie oder Finanzdienstleistungen sowie ökologische Belastungen betreffen vor allem Regionen und Bevölkerungsgruppen, die vom klassischen Finanzsystem nur unzureichend erreicht werden.</w:t>
      </w:r>
      <w:r>
        <w:rPr>
          <w:rStyle w:val="52"/>
          <w:rFonts w:hint="default" w:ascii="Times New Roman" w:hAnsi="Times New Roman" w:cs="Times New Roman"/>
        </w:rPr>
        <w:footnoteReference w:id="0"/>
      </w:r>
      <w:r>
        <w:rPr>
          <w:rFonts w:hint="default" w:ascii="Times New Roman" w:hAnsi="Times New Roman" w:cs="Times New Roman"/>
        </w:rPr>
        <w:t xml:space="preserve"> Besonders kleinere soziale Projekte, die meist lokal verankert sind und konkrete Lösungsansätze verfolgen, sehen sich dabei mit erheblichen strukturellen Finanzierungshürden konfrontiert. Traditionelle Spendenmodelle bieten häufig keine verlässliche Planungsgrundlage, während konventionelle Kapitalgeber solche Projekte wegen begrenzter Skalierbarkeit, erhöhter Risiken oder niedriger Renditeerwartungen oft ausschließen.</w:t>
      </w:r>
      <w:r>
        <w:rPr>
          <w:rStyle w:val="52"/>
          <w:rFonts w:hint="default" w:ascii="Times New Roman" w:hAnsi="Times New Roman" w:cs="Times New Roman"/>
        </w:rPr>
        <w:footnoteReference w:id="1"/>
      </w:r>
    </w:p>
    <w:p w14:paraId="2C44F0F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r>
        <w:rPr>
          <w:rFonts w:hint="default" w:ascii="Times New Roman" w:hAnsi="Times New Roman" w:cs="Times New Roman"/>
        </w:rPr>
        <w:t>Vor diesem Hintergrund rückt Impact Investing zunehmend in den Fokus. Der Ansatz verbindet die gezielte Erzeugung messbarer sozialer oder ökologischer Wirkungen mit der Erwartung finanzieller Erträge. Im Mittelpunkt steht nicht der Verzicht auf Rendite, sondern die bewusste Lenkung von Kapital in Vorhaben, deren Nutzen über rein monetäre Kennzahlen hinausgeht. Für kleinere soziale Initiativen eröffnet sich dadurch ein Zugang zu alternativen Finanzierungsquellen, der bislang vielfach verschlossen blieb.</w:t>
      </w:r>
      <w:r>
        <w:rPr>
          <w:rStyle w:val="52"/>
          <w:rFonts w:hint="default" w:ascii="Times New Roman" w:hAnsi="Times New Roman" w:cs="Times New Roman"/>
        </w:rPr>
        <w:footnoteReference w:id="2"/>
      </w:r>
      <w:r>
        <w:rPr>
          <w:rFonts w:hint="default" w:ascii="Times New Roman" w:hAnsi="Times New Roman" w:cs="Times New Roman"/>
        </w:rPr>
        <w:t xml:space="preserve"> Parallel dazu wandelt sich die Rolle der Kapitalgeber. Investoren agieren nicht mehr ausschließlich als Kapitalbereitsteller, sondern beteiligen sich aktiv an der strategischen Ausrichtung sowie an der Steuerung der angestrebten Wirkung.</w:t>
      </w:r>
      <w:r>
        <w:rPr>
          <w:rStyle w:val="52"/>
          <w:rFonts w:hint="default" w:ascii="Times New Roman" w:hAnsi="Times New Roman" w:cs="Times New Roman"/>
        </w:rPr>
        <w:footnoteReference w:id="3"/>
      </w:r>
    </w:p>
    <w:p w14:paraId="3F00C54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r>
        <w:rPr>
          <w:rFonts w:hint="default" w:ascii="Times New Roman" w:hAnsi="Times New Roman" w:cs="Times New Roman"/>
        </w:rPr>
        <w:t>Gleichzeitig zeigt sich, dass Impact Investing kein einheitliches und widerspruchsfreies Konzept darstellt. Unterschiedliche Akteursgruppen verfolgen teils abweichende Zielvorstellungen, und auch die Einschätzung einer angemessenen Rendite fällt unterschiedlich aus. Einige Investoren akzeptieren geringere finanzielle Erträge zugunsten höherer sozialer Effekte, während andere marktorientierte Renditen erwarten und dafür belastbare Wirkungsnachweise einfordern. Für kleinere soziale Projekte entsteht daraus ein Spannungsfeld, da sie wirkungsorientiert arbeiten sollen, zugleich aber wirtschaftlichen Anforderungen genügen müssen.</w:t>
      </w:r>
      <w:r>
        <w:rPr>
          <w:rStyle w:val="52"/>
          <w:rFonts w:hint="default" w:ascii="Times New Roman" w:hAnsi="Times New Roman" w:cs="Times New Roman"/>
        </w:rPr>
        <w:footnoteReference w:id="4"/>
      </w:r>
      <w:r>
        <w:rPr>
          <w:rFonts w:hint="default" w:ascii="Times New Roman" w:hAnsi="Times New Roman" w:cs="Times New Roman"/>
        </w:rPr>
        <w:t xml:space="preserve"> Zusätzlich erschwert die Messung sozialer Wirkung die Situation, da sie methodisch anspruchsvoll ist und häufig personelle sowie finanzielle Ressourcen bindet, die kleineren Organisationen nur begrenzt zur Verfügung stehen.</w:t>
      </w:r>
      <w:r>
        <w:rPr>
          <w:rStyle w:val="52"/>
          <w:rFonts w:hint="default" w:ascii="Times New Roman" w:hAnsi="Times New Roman" w:cs="Times New Roman"/>
        </w:rPr>
        <w:footnoteReference w:id="5"/>
      </w:r>
    </w:p>
    <w:p w14:paraId="2532A9F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r>
        <w:rPr>
          <w:rFonts w:hint="default" w:ascii="Times New Roman" w:hAnsi="Times New Roman" w:cs="Times New Roman"/>
        </w:rPr>
        <w:t>Der Impact-Investing-Markt ist zudem durch eine Vielzahl unterschiedlicher Instrumente, Modelle und Bewertungsansätze geprägt.</w:t>
      </w:r>
      <w:r>
        <w:rPr>
          <w:rStyle w:val="52"/>
          <w:rFonts w:hint="default" w:ascii="Times New Roman" w:hAnsi="Times New Roman" w:cs="Times New Roman"/>
        </w:rPr>
        <w:footnoteReference w:id="6"/>
      </w:r>
      <w:r>
        <w:rPr>
          <w:rFonts w:hint="default" w:ascii="Times New Roman" w:hAnsi="Times New Roman" w:cs="Times New Roman"/>
        </w:rPr>
        <w:t xml:space="preserve"> Beteiligungen, Darlehen oder ergebnisorientierte Finanzierungsformen erweitern zwar den Handlungsspielraum sozialer Projekte, setzen jedoch ein grundlegendes Verständnis finanzwirtschaftlicher Zusammenhänge voraus. Viele Organisationen durchlaufen dabei Lernprozesse, die organisatorische Anpassungen und den Aufbau neuer Kompetenzen erfordern.</w:t>
      </w:r>
      <w:r>
        <w:rPr>
          <w:rStyle w:val="52"/>
          <w:rFonts w:hint="default" w:ascii="Times New Roman" w:hAnsi="Times New Roman" w:cs="Times New Roman"/>
        </w:rPr>
        <w:footnoteReference w:id="7"/>
      </w:r>
      <w:r>
        <w:rPr>
          <w:rFonts w:hint="default" w:ascii="Times New Roman" w:hAnsi="Times New Roman" w:cs="Times New Roman"/>
        </w:rPr>
        <w:t xml:space="preserve"> Zugleich bleibt offen, in welchem Umfang sich Impact Investing tatsächlich als geeignetes Investmentinstrument für kleinere soziale Projekte eignet, ohne deren ursprüngliche Zielsetzung zu verändern oder sie einer übermäßigen Ökonomisierung auszusetzen.</w:t>
      </w:r>
    </w:p>
    <w:p w14:paraId="208AE6D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r>
        <w:rPr>
          <w:rFonts w:hint="default" w:ascii="Times New Roman" w:hAnsi="Times New Roman" w:cs="Times New Roman"/>
        </w:rPr>
        <w:t>Vor diesem Hintergrund erscheint eine systematische Analyse von Impact Investing als Investmentinstrument besonders relevant. Durch die Verbindung theoretischer Konzepte mit ausgewählten Praxisbeispielen lässt sich untersuchen, unter welchen Bedingungen Impact Investments sowohl eine soziale Wirkung entfalten als auch wirtschaftlich tragfähig sind. Insbesondere die Betrachtung konkreter Modelle ermöglicht es, Chancen und Grenzen dieses Ansatzes differenziert herauszuarbeiten und dessen Bedeutung für die nachhaltige Finanzierung kleinerer sozialer Projekte einzuordnen.</w:t>
      </w:r>
    </w:p>
    <w:p w14:paraId="135D498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rPr>
      </w:pPr>
    </w:p>
    <w:p w14:paraId="3B0C4C08">
      <w:pPr>
        <w:pStyle w:val="5"/>
        <w:keepNext/>
        <w:pageBreakBefore w:val="0"/>
        <w:widowControl/>
        <w:kinsoku/>
        <w:wordWrap/>
        <w:overflowPunct/>
        <w:topLinePunct w:val="0"/>
        <w:autoSpaceDE/>
        <w:autoSpaceDN/>
        <w:bidi w:val="0"/>
        <w:adjustRightInd/>
        <w:snapToGrid/>
        <w:spacing w:before="240" w:after="120"/>
        <w:textAlignment w:val="auto"/>
        <w:rPr>
          <w:rFonts w:hint="default" w:ascii="Times New Roman" w:hAnsi="Times New Roman" w:eastAsia="宋体" w:cs="Times New Roman"/>
        </w:rPr>
      </w:pPr>
      <w:bookmarkStart w:id="11" w:name="_Toc5457"/>
      <w:r>
        <w:rPr>
          <w:rFonts w:hint="default" w:ascii="Times New Roman" w:hAnsi="Times New Roman" w:eastAsia="宋体" w:cs="Times New Roman"/>
        </w:rPr>
        <w:t>Zielsetzung</w:t>
      </w:r>
      <w:bookmarkEnd w:id="11"/>
    </w:p>
    <w:p w14:paraId="58A5427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Die </w:t>
      </w:r>
      <w:r>
        <w:rPr>
          <w:rFonts w:hint="default" w:ascii="Times New Roman" w:hAnsi="Times New Roman" w:eastAsia="宋体" w:cs="Times New Roman"/>
          <w:lang w:val="de-DE"/>
        </w:rPr>
        <w:t>Bachelor-Thesis</w:t>
      </w:r>
      <w:r>
        <w:rPr>
          <w:rFonts w:hint="default" w:ascii="Times New Roman" w:hAnsi="Times New Roman" w:eastAsia="宋体" w:cs="Times New Roman"/>
        </w:rPr>
        <w:t xml:space="preserve"> hat zum Ziel, die Funktionsweise von Impact Investing als Instrument zur Finanzierung kleinerer sozialer Projekte unter Berücksichtigung finanzieller Rendite umfassend zu untersuchen. Dabei werden Chancen und Risiken sowie unterschiedliche Anwendungsformen detailliert betrachtet. Analysiert werden theoretische Grundlagen, zentrale Akteure und die eingesetzten Finanzierungsinstrumente ebenso wie Mechanismen zur Messung und Steuerung der erzielten Wirkung. Darauf aufbauend werden konkrete Fallbeispiele kleiner sozialer Projekte herangezogen, um Einblicke in die Renditeorientierung und die Wirksamkeit der Impact-Messung zu gewinnen. </w:t>
      </w:r>
    </w:p>
    <w:p w14:paraId="2310216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Die Forschungsfragen der </w:t>
      </w:r>
      <w:r>
        <w:rPr>
          <w:rFonts w:hint="default" w:ascii="Times New Roman" w:hAnsi="Times New Roman" w:eastAsia="宋体" w:cs="Times New Roman"/>
          <w:lang w:val="de-DE"/>
        </w:rPr>
        <w:t>Bachelor-Thesis</w:t>
      </w:r>
      <w:r>
        <w:rPr>
          <w:rFonts w:hint="default" w:ascii="Times New Roman" w:hAnsi="Times New Roman" w:eastAsia="宋体" w:cs="Times New Roman"/>
        </w:rPr>
        <w:t xml:space="preserve"> lauten: </w:t>
      </w:r>
    </w:p>
    <w:p w14:paraId="156959B7">
      <w:pPr>
        <w:keepNext w:val="0"/>
        <w:keepLines w:val="0"/>
        <w:pageBreakBefore w:val="0"/>
        <w:widowControl/>
        <w:numPr>
          <w:ilvl w:val="0"/>
          <w:numId w:val="3"/>
        </w:numPr>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Wie lässt sich Impact Investing eindeutig definieren und abgrenzen? </w:t>
      </w:r>
    </w:p>
    <w:p w14:paraId="69A14F78">
      <w:pPr>
        <w:keepNext w:val="0"/>
        <w:keepLines w:val="0"/>
        <w:pageBreakBefore w:val="0"/>
        <w:widowControl/>
        <w:numPr>
          <w:ilvl w:val="0"/>
          <w:numId w:val="3"/>
        </w:numPr>
        <w:kinsoku/>
        <w:wordWrap/>
        <w:overflowPunct/>
        <w:topLinePunct w:val="0"/>
        <w:autoSpaceDE/>
        <w:autoSpaceDN/>
        <w:bidi w:val="0"/>
        <w:adjustRightInd/>
        <w:snapToGrid/>
        <w:spacing w:after="120" w:line="360" w:lineRule="auto"/>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 xml:space="preserve">Welche Akteure und Rollen prägen das Impact-Investing-Ökosystem? </w:t>
      </w:r>
    </w:p>
    <w:p w14:paraId="041ED3A6">
      <w:pPr>
        <w:keepNext w:val="0"/>
        <w:keepLines w:val="0"/>
        <w:pageBreakBefore w:val="0"/>
        <w:widowControl/>
        <w:numPr>
          <w:ilvl w:val="0"/>
          <w:numId w:val="3"/>
        </w:numPr>
        <w:kinsoku/>
        <w:wordWrap/>
        <w:overflowPunct/>
        <w:topLinePunct w:val="0"/>
        <w:autoSpaceDE/>
        <w:autoSpaceDN/>
        <w:bidi w:val="0"/>
        <w:adjustRightInd/>
        <w:snapToGrid/>
        <w:spacing w:after="120" w:line="360" w:lineRule="auto"/>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 xml:space="preserve">Welche Finanzierungsinstrumente eignen sich für kleinere soziale Projekte? </w:t>
      </w:r>
    </w:p>
    <w:p w14:paraId="420D092A">
      <w:pPr>
        <w:keepNext w:val="0"/>
        <w:keepLines w:val="0"/>
        <w:pageBreakBefore w:val="0"/>
        <w:widowControl/>
        <w:numPr>
          <w:ilvl w:val="0"/>
          <w:numId w:val="3"/>
        </w:numPr>
        <w:kinsoku/>
        <w:wordWrap/>
        <w:overflowPunct/>
        <w:topLinePunct w:val="0"/>
        <w:autoSpaceDE/>
        <w:autoSpaceDN/>
        <w:bidi w:val="0"/>
        <w:adjustRightInd/>
        <w:snapToGrid/>
        <w:spacing w:after="120" w:line="360" w:lineRule="auto"/>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 xml:space="preserve">Auf welche Weise werden Wirkungen gemessen und gesteuert? </w:t>
      </w:r>
    </w:p>
    <w:p w14:paraId="2A3ACBC2">
      <w:pPr>
        <w:keepNext w:val="0"/>
        <w:keepLines w:val="0"/>
        <w:pageBreakBefore w:val="0"/>
        <w:widowControl/>
        <w:numPr>
          <w:ilvl w:val="0"/>
          <w:numId w:val="3"/>
        </w:numPr>
        <w:kinsoku/>
        <w:wordWrap/>
        <w:overflowPunct/>
        <w:topLinePunct w:val="0"/>
        <w:autoSpaceDE/>
        <w:autoSpaceDN/>
        <w:bidi w:val="0"/>
        <w:adjustRightInd/>
        <w:snapToGrid/>
        <w:spacing w:after="120" w:line="360" w:lineRule="auto"/>
        <w:ind w:left="0" w:leftChars="0" w:firstLine="0" w:firstLineChars="0"/>
        <w:textAlignment w:val="auto"/>
        <w:rPr>
          <w:rFonts w:hint="default" w:ascii="Times New Roman" w:hAnsi="Times New Roman" w:eastAsia="宋体" w:cs="Times New Roman"/>
        </w:rPr>
      </w:pPr>
      <w:r>
        <w:rPr>
          <w:rFonts w:hint="default" w:ascii="Times New Roman" w:hAnsi="Times New Roman" w:eastAsia="宋体" w:cs="Times New Roman"/>
        </w:rPr>
        <w:t>Welche Erkenntnisse lassen sich aus SKS Microfinance und Ecoligo für die Skalierbarkeit kleiner Projekte ableiten?</w:t>
      </w:r>
    </w:p>
    <w:p w14:paraId="6BB8B8D0">
      <w:pPr>
        <w:pStyle w:val="2"/>
        <w:rPr>
          <w:rFonts w:hint="default" w:ascii="Times New Roman" w:hAnsi="Times New Roman" w:cs="Times New Roman"/>
        </w:rPr>
      </w:pPr>
    </w:p>
    <w:p w14:paraId="3A874AB0">
      <w:pPr>
        <w:pStyle w:val="5"/>
        <w:keepNext/>
        <w:pageBreakBefore w:val="0"/>
        <w:widowControl/>
        <w:kinsoku/>
        <w:wordWrap/>
        <w:overflowPunct/>
        <w:topLinePunct w:val="0"/>
        <w:autoSpaceDE/>
        <w:autoSpaceDN/>
        <w:bidi w:val="0"/>
        <w:adjustRightInd/>
        <w:snapToGrid/>
        <w:spacing w:before="240" w:after="120"/>
        <w:textAlignment w:val="auto"/>
        <w:rPr>
          <w:rFonts w:hint="default" w:ascii="Times New Roman" w:hAnsi="Times New Roman" w:eastAsia="宋体" w:cs="Times New Roman"/>
        </w:rPr>
      </w:pPr>
      <w:bookmarkStart w:id="12" w:name="_Toc4187"/>
      <w:r>
        <w:rPr>
          <w:rFonts w:hint="default" w:ascii="Times New Roman" w:hAnsi="Times New Roman" w:eastAsia="宋体" w:cs="Times New Roman"/>
        </w:rPr>
        <w:t>Aufbau der Arbeit</w:t>
      </w:r>
      <w:bookmarkEnd w:id="12"/>
    </w:p>
    <w:p w14:paraId="222BCFD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rPr>
      </w:pPr>
      <w:r>
        <w:rPr>
          <w:rFonts w:hint="default" w:ascii="Times New Roman" w:hAnsi="Times New Roman" w:eastAsia="宋体" w:cs="Times New Roman"/>
        </w:rPr>
        <w:t xml:space="preserve">Die </w:t>
      </w:r>
      <w:r>
        <w:rPr>
          <w:rFonts w:hint="default" w:ascii="Times New Roman" w:hAnsi="Times New Roman" w:eastAsia="宋体" w:cs="Times New Roman"/>
          <w:lang w:val="de-DE"/>
        </w:rPr>
        <w:t>Bachelor-Thesis</w:t>
      </w:r>
      <w:r>
        <w:rPr>
          <w:rFonts w:hint="default" w:ascii="Times New Roman" w:hAnsi="Times New Roman" w:eastAsia="宋体" w:cs="Times New Roman"/>
        </w:rPr>
        <w:t xml:space="preserve"> ist in fünf Kapiteln strukturiert, die thematisch aufeinander aufbauen. Nach der Einleitung werden die grundlegenden Begriffe des Impact Investing erläutert, wobei zentrale Konzepte, beteiligte Akteure und das Verhältnis von sozialer Wirkung zu finanzieller Rendite klar dargestellt werden. Aufbauend auf diesen Grundlagen untersucht das dritte Kapitel Impact Investing als Finanzierungsinstrument mit Renditeerwartung. Es werden die Beweggründe für solche Investitionen, die eingesetzten Instrumente, theoretische Modelle sowie Herausforderungen bei der Messung und Steuerung der Wirkung analysiert. Im vierten Kapitel erfolgt die Verknüpfung der Theorie mit der Praxis anhand der Fallbeispiele SKS Microfinance und Ecoligo, deren Strukturen und Ansätze vergleichend betrachtet werden, um Unterschiede und Gemeinsamkeiten sichtbar zu machen.</w:t>
      </w:r>
    </w:p>
    <w:p w14:paraId="4A7F933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rPr>
      </w:pPr>
    </w:p>
    <w:bookmarkEnd w:id="9"/>
    <w:p w14:paraId="07772893">
      <w:pPr>
        <w:pStyle w:val="3"/>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cs="Times New Roman"/>
        </w:rPr>
      </w:pPr>
      <w:r>
        <w:rPr>
          <w:rFonts w:hint="default" w:ascii="Times New Roman" w:hAnsi="Times New Roman" w:cs="Times New Roman"/>
        </w:rPr>
        <w:br w:type="page"/>
      </w:r>
      <w:bookmarkStart w:id="13" w:name="_Toc32231"/>
      <w:r>
        <w:rPr>
          <w:rFonts w:hint="default" w:ascii="Times New Roman" w:hAnsi="Times New Roman" w:cs="Times New Roman"/>
          <w:lang w:val="en-US" w:eastAsia="zh-CN"/>
        </w:rPr>
        <w:t>Begriffliche</w:t>
      </w:r>
      <w:r>
        <w:rPr>
          <w:rFonts w:hint="default" w:ascii="Times New Roman" w:hAnsi="Times New Roman" w:cs="Times New Roman"/>
          <w:lang w:val="de-DE" w:eastAsia="zh-CN"/>
        </w:rPr>
        <w:t xml:space="preserve"> </w:t>
      </w:r>
      <w:r>
        <w:rPr>
          <w:rFonts w:hint="default" w:ascii="Times New Roman" w:hAnsi="Times New Roman" w:cs="Times New Roman"/>
        </w:rPr>
        <w:t>Grundlage</w:t>
      </w:r>
      <w:r>
        <w:rPr>
          <w:rFonts w:hint="default" w:ascii="Times New Roman" w:hAnsi="Times New Roman" w:cs="Times New Roman"/>
          <w:lang w:val="en-US" w:eastAsia="zh-CN"/>
        </w:rPr>
        <w:t>n</w:t>
      </w:r>
      <w:bookmarkEnd w:id="13"/>
    </w:p>
    <w:p w14:paraId="46E0A2FB">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cs="Times New Roman"/>
        </w:rPr>
      </w:pPr>
      <w:bookmarkStart w:id="14" w:name="_Toc32757"/>
      <w:r>
        <w:rPr>
          <w:rFonts w:hint="default" w:ascii="Times New Roman" w:hAnsi="Times New Roman" w:cs="Times New Roman"/>
          <w:lang w:val="de-DE" w:eastAsia="zh-CN"/>
        </w:rPr>
        <w:t>Definition und Abgrenzung von Impact Investing</w:t>
      </w:r>
      <w:bookmarkEnd w:id="14"/>
    </w:p>
    <w:p w14:paraId="7AB99647">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cs="Times New Roman"/>
          <w:lang w:val="de-DE" w:eastAsia="zh-CN"/>
        </w:rPr>
      </w:pPr>
      <w:bookmarkStart w:id="15" w:name="_Toc9637"/>
      <w:r>
        <w:rPr>
          <w:rFonts w:hint="default" w:ascii="Times New Roman" w:hAnsi="Times New Roman" w:cs="Times New Roman"/>
          <w:lang w:val="de-DE" w:eastAsia="zh-CN"/>
        </w:rPr>
        <w:t>Ursprung und Entwicklung des Impact-Investing-Ansatzes</w:t>
      </w:r>
      <w:bookmarkEnd w:id="15"/>
    </w:p>
    <w:p w14:paraId="0C19739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Impact Investing lässt sich nicht auf einen einzigen Ursprung zurückführen, sondern hat sich über mehrere Jahrzehnte hinweg aus verschiedenen Ideen und Praxisformen entwickelt. Die Wurzeln gehen weit zurück, denn bereits im 20. Jahrhundert beschäftigten sich Anleger mit sozial verantwortlichem Investieren, das negative Auswirkungen von Unternehmungen vermeiden wollte und damit erste Schritte in Richtung verantwortlicher Kapitalverwendung setzte.</w:t>
      </w:r>
      <w:r>
        <w:rPr>
          <w:rStyle w:val="52"/>
          <w:rFonts w:hint="default" w:ascii="Times New Roman" w:hAnsi="Times New Roman" w:cs="Times New Roman"/>
          <w:lang w:val="de-DE" w:eastAsia="zh-CN"/>
        </w:rPr>
        <w:footnoteReference w:id="8"/>
      </w:r>
      <w:r>
        <w:rPr>
          <w:rFonts w:hint="default" w:ascii="Times New Roman" w:hAnsi="Times New Roman" w:cs="Times New Roman"/>
          <w:lang w:val="de-DE" w:eastAsia="zh-CN"/>
        </w:rPr>
        <w:t xml:space="preserve"> In den 1960er und 1970er Jahren wuchsen diese Ansätze weiter, als Investoren begannen, nicht nur Risiken zu reduzieren, sondern auch Werte wie Umwelt- und Sozialaspekte in ihre Entscheidungen einzubeziehen.</w:t>
      </w:r>
      <w:r>
        <w:rPr>
          <w:rStyle w:val="52"/>
          <w:rFonts w:hint="default" w:ascii="Times New Roman" w:hAnsi="Times New Roman" w:cs="Times New Roman"/>
          <w:lang w:val="de-DE" w:eastAsia="zh-CN"/>
        </w:rPr>
        <w:footnoteReference w:id="9"/>
      </w:r>
      <w:r>
        <w:rPr>
          <w:rFonts w:hint="default" w:ascii="Times New Roman" w:hAnsi="Times New Roman" w:cs="Times New Roman"/>
          <w:lang w:val="de-DE" w:eastAsia="zh-CN"/>
        </w:rPr>
        <w:t xml:space="preserve"> </w:t>
      </w:r>
    </w:p>
    <w:p w14:paraId="4113EEF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In den 1990er Jahren rückte die Idee des sogenannten blended value stärker in den Blick, die darauf abzielte, finanzielle und gesellschaftliche Ziele miteinander zu verknüpfen. Dieser gedankliche Wandel führte dazu, dass Investmentansätze diskutiert wurden, bei denen finanzielle Rendite und soziale Wirkung zugleich angestrebt werden. Bereits damals erprobten einige Investoren Modelle, bei denen Kapital nicht nur Erträge erwirtschaften, sondern auch konkrete positive Effekte erzielen sollte.</w:t>
      </w:r>
      <w:r>
        <w:rPr>
          <w:rStyle w:val="52"/>
          <w:rFonts w:hint="default" w:ascii="Times New Roman" w:hAnsi="Times New Roman" w:cs="Times New Roman"/>
          <w:lang w:val="de-DE" w:eastAsia="zh-CN"/>
        </w:rPr>
        <w:footnoteReference w:id="10"/>
      </w:r>
      <w:r>
        <w:rPr>
          <w:rFonts w:hint="default" w:ascii="Times New Roman" w:hAnsi="Times New Roman" w:cs="Times New Roman"/>
          <w:lang w:val="de-DE" w:eastAsia="zh-CN"/>
        </w:rPr>
        <w:t xml:space="preserve"> </w:t>
      </w:r>
    </w:p>
    <w:p w14:paraId="044E9AC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Die moderne Ausprägung des Impact Investing nahm schließlich in den 2000er Jahren konkrete Gestalt an. Der Begriff „Impact Investing“ wurde im Jahr 2007 bei einer Veranstaltung der Rockefeller Foundation geprägt, bei der Vertreter aus Finanzwelt, Philanthropie und gemeinnützigen Organisationen zusammentrafen, um darüber zu beraten, wie Kapital zur Bewältigung sozialer und ökologischer Herausforderungen eingesetzt werden kann.</w:t>
      </w:r>
      <w:r>
        <w:rPr>
          <w:rStyle w:val="52"/>
          <w:rFonts w:hint="default" w:ascii="Times New Roman" w:hAnsi="Times New Roman" w:cs="Times New Roman"/>
          <w:lang w:val="de-DE" w:eastAsia="zh-CN"/>
        </w:rPr>
        <w:footnoteReference w:id="11"/>
      </w:r>
      <w:r>
        <w:rPr>
          <w:rFonts w:hint="default" w:ascii="Times New Roman" w:hAnsi="Times New Roman" w:cs="Times New Roman"/>
          <w:lang w:val="de-DE" w:eastAsia="zh-CN"/>
        </w:rPr>
        <w:t xml:space="preserve"> Kurz darauf wuchs das Interesse an solchen Investments, und 2009 wurde mit dem Global Impact Investing Network (GIIN) eine Organisation gegründet, die als Plattform für Akteure der Branche diente und zur Professionalisierung des Ansatzes beitrug.</w:t>
      </w:r>
      <w:r>
        <w:rPr>
          <w:rStyle w:val="52"/>
          <w:rFonts w:hint="default" w:ascii="Times New Roman" w:hAnsi="Times New Roman" w:cs="Times New Roman"/>
          <w:lang w:val="de-DE" w:eastAsia="zh-CN"/>
        </w:rPr>
        <w:footnoteReference w:id="12"/>
      </w:r>
      <w:r>
        <w:rPr>
          <w:rFonts w:hint="default" w:ascii="Times New Roman" w:hAnsi="Times New Roman" w:cs="Times New Roman"/>
          <w:lang w:val="de-DE" w:eastAsia="zh-CN"/>
        </w:rPr>
        <w:t xml:space="preserve"> </w:t>
      </w:r>
    </w:p>
    <w:p w14:paraId="45175BB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In den folgenden Jahren kamen neue Instrumente und Rahmenwerke hinzu, etwa Social Impact Bonds oder standardisierte Messmethoden zur Wirkungserfassung, die den Impact-Investing-Markt weiter strukturierten. Heute zählt Impact Investing zu einem bedeutenden Segment im Bereich nachhaltiger Finanzierungen mit einem stark wachsenden globalen Volumen und einer wachsenden Zahl von Akteuren, die sowohl finanzielle Erträge als auch messbare soziale und ökologische Effekte anstreben.</w:t>
      </w:r>
      <w:r>
        <w:rPr>
          <w:rStyle w:val="52"/>
          <w:rFonts w:hint="default" w:ascii="Times New Roman" w:hAnsi="Times New Roman" w:cs="Times New Roman"/>
          <w:lang w:val="de-DE" w:eastAsia="zh-CN"/>
        </w:rPr>
        <w:footnoteReference w:id="13"/>
      </w:r>
    </w:p>
    <w:p w14:paraId="2346C9D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0AFF9FF3">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16" w:name="_Toc19769"/>
      <w:r>
        <w:rPr>
          <w:rFonts w:hint="default" w:ascii="Times New Roman" w:hAnsi="Times New Roman" w:eastAsia="宋体" w:cs="Times New Roman"/>
          <w:b/>
          <w:lang w:val="en-US" w:eastAsia="zh-CN"/>
        </w:rPr>
        <w:t>Defintion und z</w:t>
      </w:r>
      <w:r>
        <w:rPr>
          <w:rFonts w:hint="default" w:ascii="Times New Roman" w:hAnsi="Times New Roman" w:eastAsia="宋体" w:cs="Times New Roman"/>
          <w:b/>
          <w:lang w:val="de-DE" w:eastAsia="zh-CN"/>
        </w:rPr>
        <w:t>entrale Merkmale</w:t>
      </w:r>
      <w:bookmarkEnd w:id="16"/>
    </w:p>
    <w:p w14:paraId="204C1EB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Impact Investing bezeichnet eine Form der Kapitalanlage, bei der Geld nicht allein zur Erzielung von Erträgen eingesetzt wird, sondern gleichzeitig positive, messbare soziale oder ökologische Veränderungen bewirken soll. Dieser Ansatz richtet sich explizit an Unternehmen, Organisationen oder Fonds, die durch ihre Geschäftstätigkeit oder ihre Projekte Effekte erzeugen, die über die reine finanzielle Rendite hinausgehen. Die Absicht, solchen Impact zu erzeugen, ist zentral und bewusst in die Investitionsentscheidung integriert.</w:t>
      </w:r>
      <w:r>
        <w:rPr>
          <w:rStyle w:val="52"/>
          <w:rFonts w:hint="default" w:ascii="Times New Roman" w:hAnsi="Times New Roman" w:cs="Times New Roman"/>
          <w:lang w:val="de-DE" w:eastAsia="zh-CN"/>
        </w:rPr>
        <w:footnoteReference w:id="14"/>
      </w:r>
      <w:r>
        <w:rPr>
          <w:rFonts w:hint="default" w:ascii="Times New Roman" w:hAnsi="Times New Roman" w:cs="Times New Roman"/>
          <w:lang w:val="de-DE" w:eastAsia="zh-CN"/>
        </w:rPr>
        <w:t xml:space="preserve"> </w:t>
      </w:r>
    </w:p>
    <w:p w14:paraId="1BB1719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Ein wesentliches Merkmal dieses Ansatzes besteht darin, dass Investitionen messbare Wirkungen erzeugen sollen. Dazu entwickeln Investoren Kriterien und Indikatoren, anhand derer sie festlegen, wie sich gesellschaftliche oder ökologische Ergebnisse quantifizieren lassen. Diese Messbarkeit dient nicht nur der internen Steuerung, sondern auch der externen Rechenschaft gegenüber Kapitalgebern und anderen Stakeholdern.</w:t>
      </w:r>
      <w:r>
        <w:rPr>
          <w:rStyle w:val="52"/>
          <w:rFonts w:hint="default" w:ascii="Times New Roman" w:hAnsi="Times New Roman" w:cs="Times New Roman"/>
          <w:lang w:val="de-DE" w:eastAsia="zh-CN"/>
        </w:rPr>
        <w:footnoteReference w:id="15"/>
      </w:r>
      <w:r>
        <w:rPr>
          <w:rFonts w:hint="default" w:ascii="Times New Roman" w:hAnsi="Times New Roman" w:cs="Times New Roman"/>
          <w:lang w:val="de-DE" w:eastAsia="zh-CN"/>
        </w:rPr>
        <w:t xml:space="preserve"> </w:t>
      </w:r>
    </w:p>
    <w:p w14:paraId="3076AD7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Impact Investing unterscheidet sich von anderen nachhaltigen Anlagen durch die bewusste Verknüpfung von Ertrag und Wirkung. Zwar streben auch nachhaltige Finanzierungen ökologische oder soziale Ziele an, doch legen sie häufig den Fokus stärker auf Risiko- und Ausschlusskriterien im Portfolio. Impact Investing geht darüber hinaus, weil bei ihm die erzielte Wirkung gemeinsam mit der Rendite Teil des Investmentziels ist.</w:t>
      </w:r>
      <w:r>
        <w:rPr>
          <w:rStyle w:val="52"/>
          <w:rFonts w:hint="default" w:ascii="Times New Roman" w:hAnsi="Times New Roman" w:cs="Times New Roman"/>
          <w:lang w:val="de-DE" w:eastAsia="zh-CN"/>
        </w:rPr>
        <w:footnoteReference w:id="16"/>
      </w:r>
      <w:r>
        <w:rPr>
          <w:rFonts w:hint="default" w:ascii="Times New Roman" w:hAnsi="Times New Roman" w:cs="Times New Roman"/>
          <w:lang w:val="de-DE" w:eastAsia="zh-CN"/>
        </w:rPr>
        <w:t xml:space="preserve"> </w:t>
      </w:r>
    </w:p>
    <w:p w14:paraId="4FE2646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Ein weiteres Kennzeichen des Ansatzes liegt in der Intention der Kapitalallokation. Investoren legen fest, welche gesellschaftlichen Probleme adressiert werden sollen und wählen Projekte oder Unternehmen aus, deren Geschäftsmodelle geeignet erscheinen, diese Wirkung zu erzeugen. Diese Intentionalität unterscheidet Impact Investing von traditionellen Investments, bei denen soziale Effekte allenfalls nebenbei entstehen, aber nicht Teil der Investitionsstrategie sind.</w:t>
      </w:r>
      <w:r>
        <w:rPr>
          <w:rStyle w:val="52"/>
          <w:rFonts w:hint="default" w:ascii="Times New Roman" w:hAnsi="Times New Roman" w:cs="Times New Roman"/>
          <w:lang w:val="de-DE" w:eastAsia="zh-CN"/>
        </w:rPr>
        <w:footnoteReference w:id="17"/>
      </w:r>
      <w:r>
        <w:rPr>
          <w:rFonts w:hint="default" w:ascii="Times New Roman" w:hAnsi="Times New Roman" w:cs="Times New Roman"/>
          <w:lang w:val="de-DE" w:eastAsia="zh-CN"/>
        </w:rPr>
        <w:t xml:space="preserve"> </w:t>
      </w:r>
    </w:p>
    <w:p w14:paraId="6D6C762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Zudem umfasst Impact Investing unterschiedliche Assetklassen und Finanzierungsformen. Dazu gehören neben direkten Beteiligungen auch Fremdkapital, Anleihen oder spezialisierte Fonds, die jeweils unterschiedliche Wege nutzen, um sowohl eine finanzielle Rendite als auch positive Wirkungen zu fördern.</w:t>
      </w:r>
      <w:r>
        <w:rPr>
          <w:rStyle w:val="52"/>
          <w:rFonts w:hint="default" w:ascii="Times New Roman" w:hAnsi="Times New Roman" w:cs="Times New Roman"/>
          <w:lang w:val="de-DE" w:eastAsia="zh-CN"/>
        </w:rPr>
        <w:footnoteReference w:id="18"/>
      </w:r>
    </w:p>
    <w:p w14:paraId="080802F9">
      <w:pPr>
        <w:pStyle w:val="16"/>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 xml:space="preserve">Abbildung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Abbildung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bookmarkStart w:id="17" w:name="_Toc12915"/>
      <w:bookmarkStart w:id="18" w:name="_Toc1987"/>
      <w:r>
        <w:rPr>
          <w:rFonts w:hint="default" w:ascii="Times New Roman" w:hAnsi="Times New Roman" w:cs="Times New Roman"/>
          <w:sz w:val="24"/>
          <w:szCs w:val="24"/>
          <w:lang w:val="en-US" w:eastAsia="zh-CN"/>
        </w:rPr>
        <w:t>: Impact Investing Prozess</w:t>
      </w:r>
      <w:bookmarkEnd w:id="17"/>
      <w:bookmarkEnd w:id="18"/>
    </w:p>
    <w:p w14:paraId="77A3610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rPr>
        <w:drawing>
          <wp:inline distT="0" distB="0" distL="114300" distR="114300">
            <wp:extent cx="5400040" cy="573405"/>
            <wp:effectExtent l="0" t="0" r="1016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5400040" cy="573405"/>
                    </a:xfrm>
                    <a:prstGeom prst="rect">
                      <a:avLst/>
                    </a:prstGeom>
                    <a:noFill/>
                    <a:ln>
                      <a:noFill/>
                    </a:ln>
                  </pic:spPr>
                </pic:pic>
              </a:graphicData>
            </a:graphic>
          </wp:inline>
        </w:drawing>
      </w:r>
    </w:p>
    <w:p w14:paraId="21530DD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sz w:val="20"/>
          <w:szCs w:val="20"/>
          <w:lang w:val="en-US" w:eastAsia="zh-CN"/>
        </w:rPr>
      </w:pPr>
      <w:r>
        <w:rPr>
          <w:rFonts w:hint="default" w:ascii="Times New Roman" w:hAnsi="Times New Roman" w:cs="Times New Roman"/>
          <w:sz w:val="20"/>
          <w:szCs w:val="20"/>
          <w:lang w:val="en-US" w:eastAsia="zh-CN"/>
        </w:rPr>
        <w:t xml:space="preserve">Quelle: In Anlehnung an </w:t>
      </w:r>
      <w:r>
        <w:rPr>
          <w:rFonts w:hint="default" w:ascii="Times New Roman" w:hAnsi="Times New Roman" w:cs="Times New Roman"/>
          <w:i/>
          <w:iCs/>
          <w:sz w:val="20"/>
          <w:szCs w:val="20"/>
          <w:lang w:val="de-DE"/>
        </w:rPr>
        <w:t>Jackson, E</w:t>
      </w:r>
      <w:r>
        <w:rPr>
          <w:rFonts w:hint="default" w:ascii="Times New Roman" w:hAnsi="Times New Roman" w:cs="Times New Roman"/>
          <w:i/>
          <w:iCs/>
          <w:sz w:val="20"/>
          <w:szCs w:val="20"/>
          <w:lang w:val="en-US" w:eastAsia="zh-CN"/>
        </w:rPr>
        <w:t>.</w:t>
      </w:r>
      <w:r>
        <w:rPr>
          <w:rFonts w:hint="default" w:ascii="Times New Roman" w:hAnsi="Times New Roman" w:cs="Times New Roman"/>
          <w:i/>
          <w:iCs/>
          <w:sz w:val="20"/>
          <w:szCs w:val="20"/>
          <w:lang w:val="de-DE"/>
        </w:rPr>
        <w:t xml:space="preserve"> T., Harji, K</w:t>
      </w:r>
      <w:r>
        <w:rPr>
          <w:rFonts w:hint="default" w:ascii="Times New Roman" w:hAnsi="Times New Roman" w:cs="Times New Roman"/>
          <w:i/>
          <w:iCs/>
          <w:sz w:val="20"/>
          <w:szCs w:val="20"/>
          <w:lang w:val="en-US" w:eastAsia="zh-CN"/>
        </w:rPr>
        <w:t xml:space="preserve">., </w:t>
      </w:r>
      <w:r>
        <w:rPr>
          <w:rFonts w:hint="default" w:ascii="Times New Roman" w:hAnsi="Times New Roman" w:cs="Times New Roman"/>
          <w:sz w:val="20"/>
          <w:szCs w:val="20"/>
          <w:lang w:val="de-DE"/>
        </w:rPr>
        <w:t>Impact Investing, 2016</w:t>
      </w:r>
      <w:r>
        <w:rPr>
          <w:rFonts w:hint="default" w:ascii="Times New Roman" w:hAnsi="Times New Roman" w:cs="Times New Roman"/>
          <w:sz w:val="20"/>
          <w:szCs w:val="20"/>
          <w:lang w:val="en-US" w:eastAsia="zh-CN"/>
        </w:rPr>
        <w:t>, S. 26.</w:t>
      </w:r>
    </w:p>
    <w:p w14:paraId="55B7580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en-US" w:eastAsia="zh-CN"/>
        </w:rPr>
        <w:t>Abbildung 1 veranschaulicht den Impact-Investing-Prozess als einen logisch aufeinander aufbauenden Wirkungszusammenhang, der von dem Einsatz finanzieller und nichtfinanzieller Ressourcen bis hin zu gesellschaftlichen Veränderungen reicht.</w:t>
      </w:r>
      <w:r>
        <w:rPr>
          <w:rStyle w:val="52"/>
          <w:rFonts w:hint="default" w:ascii="Times New Roman" w:hAnsi="Times New Roman" w:cs="Times New Roman"/>
          <w:lang w:val="en-US" w:eastAsia="zh-CN"/>
        </w:rPr>
        <w:footnoteReference w:id="19"/>
      </w:r>
      <w:r>
        <w:rPr>
          <w:rFonts w:hint="default" w:ascii="Times New Roman" w:hAnsi="Times New Roman" w:cs="Times New Roman"/>
          <w:lang w:val="en-US" w:eastAsia="zh-CN"/>
        </w:rPr>
        <w:t xml:space="preserve"> </w:t>
      </w:r>
      <w:r>
        <w:rPr>
          <w:rFonts w:hint="default" w:ascii="Times New Roman" w:hAnsi="Times New Roman" w:cs="Times New Roman"/>
          <w:lang w:val="de-DE" w:eastAsia="zh-CN"/>
        </w:rPr>
        <w:t>Ausgangspunkt bildet der Input, also das bereitgestellte Kapital oder weitere Ressourcen, die gezielt in eine Organisation fließen. Darauf folgen Aktivitäten, mit denen diese Mittel genutzt werden, etwa operative Maßnahmen zur Erreichung sozialer Ziele. Aus diesen Handlungen entstehen Outputs, die sich in konkreten Leistungen oder Angeboten ausdrücken. Die Nutzung dieser Leistungen führt zu Outcomes, also zu messbaren Veränderungen bei Zielgruppen oder in der Umwelt. Erst auf dieser Grundlage entfaltet sich der Impact, der langfristige Effekte auf gesellschaftliche Strukturen oder soziale Rahmenbedingungen beschreibt.</w:t>
      </w:r>
      <w:r>
        <w:rPr>
          <w:rStyle w:val="52"/>
          <w:rFonts w:hint="default" w:ascii="Times New Roman" w:hAnsi="Times New Roman" w:cs="Times New Roman"/>
          <w:lang w:val="de-DE" w:eastAsia="zh-CN"/>
        </w:rPr>
        <w:footnoteReference w:id="20"/>
      </w:r>
    </w:p>
    <w:p w14:paraId="1055205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4C3F20D2">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19" w:name="_Toc30722"/>
      <w:r>
        <w:rPr>
          <w:rFonts w:hint="default" w:ascii="Times New Roman" w:hAnsi="Times New Roman" w:eastAsia="宋体" w:cs="Times New Roman"/>
          <w:b/>
          <w:lang w:val="de-DE" w:eastAsia="zh-CN"/>
        </w:rPr>
        <w:t>Abgrenzung zu Philanthropie, CSR, ESG- und nachhaltigen Investitionen</w:t>
      </w:r>
      <w:bookmarkEnd w:id="19"/>
    </w:p>
    <w:p w14:paraId="5357034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Impact Investing lässt sich klar von anderen Formen sozialer oder nachhaltiger Geldanlagen abgrenzen, weil hier die Absicht im Mittelpunkt steht, gleichzeitig eine messbare gesellschaftliche oder ökologische Wirkung und eine finanzielle Rendite zu erzielen. Bei philanthropischen Aktivitäten werden Mittel meist als Spenden oder Zuschüsse vergeben, ohne dass eine Rückzahlung oder finanzielle Rendite erwartet wird; der Fokus liegt ausschließlich auf dem sozialen Nutzen. Impact Investing dagegen verknüpft die Kapitalbereitstellung bewusst mit dem Ziel, einen positiven Effekt zu erzeugen und gleichzeitig Kapitalrendite zu erwirtschaften.</w:t>
      </w:r>
      <w:r>
        <w:rPr>
          <w:rStyle w:val="52"/>
          <w:rFonts w:hint="default" w:ascii="Times New Roman" w:hAnsi="Times New Roman" w:cs="Times New Roman"/>
          <w:lang w:val="de-DE" w:eastAsia="zh-CN"/>
        </w:rPr>
        <w:footnoteReference w:id="21"/>
      </w:r>
      <w:r>
        <w:rPr>
          <w:rFonts w:hint="default" w:ascii="Times New Roman" w:hAnsi="Times New Roman" w:cs="Times New Roman"/>
          <w:lang w:val="de-DE" w:eastAsia="zh-CN"/>
        </w:rPr>
        <w:t xml:space="preserve"> </w:t>
      </w:r>
    </w:p>
    <w:p w14:paraId="0D1873C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 Unterschied dazu konzentriert sich Corporate Social Responsibility (CSR) auf freiwillige Maßnahmen von Unternehmen zur Übernahme sozialer Verantwortung, die in der Regel nicht direkt in Anlageentscheidungen eingebettet sind. CSR dient oft der Verbesserung des Unternehmensimages oder der Mitarbeitermotivation, ohne notwendigerweise eine messbare Wirkung im Sinne von Impact Investing zu verfolgen.</w:t>
      </w:r>
      <w:r>
        <w:rPr>
          <w:rStyle w:val="52"/>
          <w:rFonts w:hint="default" w:ascii="Times New Roman" w:hAnsi="Times New Roman" w:cs="Times New Roman"/>
          <w:lang w:val="de-DE" w:eastAsia="zh-CN"/>
        </w:rPr>
        <w:footnoteReference w:id="22"/>
      </w:r>
      <w:r>
        <w:rPr>
          <w:rFonts w:hint="default" w:ascii="Times New Roman" w:hAnsi="Times New Roman" w:cs="Times New Roman"/>
          <w:lang w:val="de-DE" w:eastAsia="zh-CN"/>
        </w:rPr>
        <w:t xml:space="preserve"> Auch ESG-Orientierungen (Environmental, Social, Governance) unterscheiden sich insofern, als sie vor allem Risiken reduzieren und Nachhaltigkeitsfaktoren in Investmententscheidungen integrieren, ohne explizit darauf ausgelegt zu sein, positive Wirkungen zu erzeugen. ESG-Kriterien helfen, negative Auswirkungen zu vermeiden und langfristige Risiken zu mindern, bleiben aber primär ein Instrument zur Bewertung von Unternehmen, nicht ein Ansatz zur aktiven Gestaltung gesellschaftlicher Wirkung.</w:t>
      </w:r>
      <w:r>
        <w:rPr>
          <w:rStyle w:val="52"/>
          <w:rFonts w:hint="default" w:ascii="Times New Roman" w:hAnsi="Times New Roman" w:cs="Times New Roman"/>
          <w:lang w:val="de-DE" w:eastAsia="zh-CN"/>
        </w:rPr>
        <w:footnoteReference w:id="23"/>
      </w:r>
      <w:r>
        <w:rPr>
          <w:rFonts w:hint="default" w:ascii="Times New Roman" w:hAnsi="Times New Roman" w:cs="Times New Roman"/>
          <w:lang w:val="de-DE" w:eastAsia="zh-CN"/>
        </w:rPr>
        <w:t xml:space="preserve"> </w:t>
      </w:r>
    </w:p>
    <w:p w14:paraId="5607DF4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Begriffe wie nachhaltige oder sozial verantwortliche Anlagen überschneiden sich zwar inhaltlich mit Impact Investing, doch geht Impact Investing deutlich über reine Risiko- und Normbewertungen hinaus. Es fordert eine intentionale, messbare Wirkung als festen Bestandteil der Investitionsstrategie. Nur so lassen sich konkrete Beiträge zu sozialen Herausforderungen erreichen, die über die bloße Berücksichtigung von ESG-Faktoren hinausgehen.</w:t>
      </w:r>
      <w:r>
        <w:rPr>
          <w:rStyle w:val="52"/>
          <w:rFonts w:hint="default" w:ascii="Times New Roman" w:hAnsi="Times New Roman" w:cs="Times New Roman"/>
          <w:lang w:val="de-DE" w:eastAsia="zh-CN"/>
        </w:rPr>
        <w:footnoteReference w:id="24"/>
      </w:r>
    </w:p>
    <w:p w14:paraId="5BDE5B6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30523332">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0" w:name="_Toc4298"/>
      <w:r>
        <w:rPr>
          <w:rFonts w:hint="default" w:ascii="Times New Roman" w:hAnsi="Times New Roman" w:eastAsia="宋体" w:cs="Times New Roman"/>
          <w:b/>
          <w:lang w:val="de-DE" w:eastAsia="zh-CN"/>
        </w:rPr>
        <w:t>Social Impact Investing im Kontext des Impact Investing</w:t>
      </w:r>
      <w:bookmarkEnd w:id="20"/>
    </w:p>
    <w:p w14:paraId="3B4D787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Social Impact Investing stellt eine spezifische Ausprägung des Impact-Investing-Ansatzes dar und richtet den Fokus besonders deutlich auf die Erzielung sozialer Wirkungen. Im Zentrum stehen Investitionen, die gezielt gesellschaftliche Herausforderungen adressieren und dabei eine finanzielle Rückflüsse ermöglichen, ohne dass eine maximale Rendite im Vordergrund steht. Der soziale Zweck bildet somit den Ausgangspunkt der Investitionsentscheidung, während wirtschaftliche Erträge als Mittel zur Sicherung der langfristigen Tragfähigkeit verstanden werden.</w:t>
      </w:r>
      <w:r>
        <w:rPr>
          <w:rStyle w:val="52"/>
          <w:rFonts w:hint="default" w:ascii="Times New Roman" w:hAnsi="Times New Roman" w:cs="Times New Roman"/>
          <w:lang w:val="de-DE" w:eastAsia="zh-CN"/>
        </w:rPr>
        <w:footnoteReference w:id="25"/>
      </w:r>
    </w:p>
    <w:p w14:paraId="466B25E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Im Unterschied zu breiter gefassten Impact-Investments, die neben sozialen auch ökologische Ziele verfolgen können, konzentriert sich Social Impact Investing überwiegend auf soziale Problemfelder. Dazu zählen unter anderem der Zugang zu Bildung, Gesundheitsversorgung, Wohnraum oder Finanzdienstleistungen für benachteiligte Bevölkerungsgruppen. Die investierten Mittel fließen häufig in Projekte oder Organisationen, die lokal verankert sind und konkrete Lösungen für klar umrissene gesellschaftliche Bedarfe entwickeln.</w:t>
      </w:r>
      <w:r>
        <w:rPr>
          <w:rStyle w:val="52"/>
          <w:rFonts w:hint="default" w:ascii="Times New Roman" w:hAnsi="Times New Roman" w:cs="Times New Roman"/>
          <w:lang w:val="de-DE" w:eastAsia="zh-CN"/>
        </w:rPr>
        <w:footnoteReference w:id="26"/>
      </w:r>
    </w:p>
    <w:p w14:paraId="237CB4E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Die Renditeerwartungen im Social Impact Investing bewegen sich in einem moderaten Bereich und orientieren sich stark am jeweiligen Projektkontext. Viele Investoren akzeptieren bewusst geringere finanzielle Erträge, sofern die angestrebte soziale Wirkung nachvollziehbar erreicht wird. Gleichzeitig bleibt eine wirtschaftliche Grundlogik erhalten, da Rückflüsse notwendig sind, um Projekte zu stabilisieren, zu skalieren oder erneut zu finanzieren. Diese Verbindung unterscheidet Social Impact Investing sowohl von klassischen Spendenmodellen als auch von rein marktorientierten Investitionsformen.</w:t>
      </w:r>
      <w:r>
        <w:rPr>
          <w:rStyle w:val="52"/>
          <w:rFonts w:hint="default" w:ascii="Times New Roman" w:hAnsi="Times New Roman" w:cs="Times New Roman"/>
          <w:lang w:val="de-DE" w:eastAsia="zh-CN"/>
        </w:rPr>
        <w:footnoteReference w:id="27"/>
      </w:r>
    </w:p>
    <w:p w14:paraId="3F605CD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Ein zentrales Merkmal stellt die Bedeutung der Wirkungsnachweise dar. Investoren erwarten transparente Informationen darüber, welche sozialen Veränderungen durch das eingesetzte Kapital erzielt werden. Entsprechende Mess- und Berichtssysteme gewinnen daher an Relevanz, auch wenn deren Umsetzung für kleinere Projekte mit zusätzlichem Aufwand verbunden ist. In diesem Spannungsfeld zwischen Wirkung, Rendite und Umsetzbarkeit positioniert sich Social Impact Investing als eigenständiger, wirkungsorientierter Investitionsansatz innerhalb des breiteren Impact-Investing-Spektrums.</w:t>
      </w:r>
      <w:r>
        <w:rPr>
          <w:rStyle w:val="52"/>
          <w:rFonts w:hint="default" w:ascii="Times New Roman" w:hAnsi="Times New Roman" w:cs="Times New Roman"/>
          <w:lang w:val="de-DE" w:eastAsia="zh-CN"/>
        </w:rPr>
        <w:footnoteReference w:id="28"/>
      </w:r>
    </w:p>
    <w:p w14:paraId="1E6D2C5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2869EA44">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cs="Times New Roman"/>
          <w:lang w:val="de-DE" w:eastAsia="zh-CN"/>
        </w:rPr>
      </w:pPr>
      <w:bookmarkStart w:id="21" w:name="_Toc16884"/>
      <w:r>
        <w:rPr>
          <w:rFonts w:hint="default" w:ascii="Times New Roman" w:hAnsi="Times New Roman" w:eastAsia="宋体" w:cs="Times New Roman"/>
          <w:lang w:val="de-DE" w:eastAsia="zh-CN"/>
        </w:rPr>
        <w:t>Zentrale Akteure und Rollen im Impact-Investing-Ökosystem</w:t>
      </w:r>
      <w:bookmarkEnd w:id="21"/>
    </w:p>
    <w:p w14:paraId="4CB3D447">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2" w:name="_Toc10021"/>
      <w:r>
        <w:rPr>
          <w:rFonts w:hint="default" w:ascii="Times New Roman" w:hAnsi="Times New Roman" w:eastAsia="宋体" w:cs="Times New Roman"/>
          <w:b/>
          <w:lang w:val="de-DE" w:eastAsia="zh-CN"/>
        </w:rPr>
        <w:t>Impact-Investoren und ihre Zielsetzungen</w:t>
      </w:r>
      <w:bookmarkEnd w:id="22"/>
    </w:p>
    <w:p w14:paraId="4A2B67D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Impact-Investoren sind Personen und Organisationen, die Kapital gezielt dort einsetzen, wo es neben finanzieller Verzinsung auch positive Effekte für Gesellschaft oder Umwelt erzeugt. Sie wählen bewusst Projekte aus, deren Ergebnisse sich messen lassen und verfolgt werden können, und richten ihre Entscheidungen an klaren Wirkungszielen aus. Bei solchen Investoren handelt es sich nicht ausschließlich um traditionelle Anleger, sondern vielmehr um Akteure mit einer doppelten Zielsetzung: neben Rendite steht die Schaffung konkreter Veränderungen im Vordergrund.</w:t>
      </w:r>
      <w:r>
        <w:rPr>
          <w:rStyle w:val="52"/>
          <w:rFonts w:hint="default" w:ascii="Times New Roman" w:hAnsi="Times New Roman" w:eastAsia="宋体" w:cs="Times New Roman"/>
          <w:lang w:val="de-DE" w:eastAsia="zh-CN"/>
        </w:rPr>
        <w:footnoteReference w:id="29"/>
      </w:r>
      <w:r>
        <w:rPr>
          <w:rFonts w:hint="default" w:ascii="Times New Roman" w:hAnsi="Times New Roman" w:eastAsia="宋体" w:cs="Times New Roman"/>
          <w:lang w:val="de-DE" w:eastAsia="zh-CN"/>
        </w:rPr>
        <w:t xml:space="preserve"> </w:t>
      </w:r>
    </w:p>
    <w:p w14:paraId="4D9FC17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Sustainable Development Goals (SDGs) dienen hierbei zunehmend als Referenz, um Wirkungspotenziale zu identifizieren, Investitionsprioritäten zu setzen und die erzielten Ergebnisse messbar zu gestalten. Viele Investoren entwickeln auf dieser Grundlage Strategien, die eine Balance zwischen wirtschaftlicher Tragfähigkeit und gesellschaftlicher Wirkung ermöglichen.</w:t>
      </w:r>
      <w:r>
        <w:rPr>
          <w:rStyle w:val="52"/>
          <w:rFonts w:hint="default" w:ascii="Times New Roman" w:hAnsi="Times New Roman" w:eastAsia="宋体" w:cs="Times New Roman"/>
          <w:lang w:val="de-DE" w:eastAsia="zh-CN"/>
        </w:rPr>
        <w:footnoteReference w:id="30"/>
      </w:r>
    </w:p>
    <w:p w14:paraId="5621DEB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 den Impact-Investoren zählen institutionelle Anleger wie Entwicklungsfinanzierungsinstitute, Pensionsfonds oder Stiftungen, die Kapital in Unternehmen, Fonds oder Initiativen mit gesellschaftlicher Relevanz platzieren. Ihre Zielsetzung reicht von der Förderung erneuerbarer Energien über Bildungs- oder Gesundheitsprojekte bis hin zur finanziellen Inklusion benachteiligter Gruppen.</w:t>
      </w:r>
      <w:r>
        <w:rPr>
          <w:rStyle w:val="52"/>
          <w:rFonts w:hint="default" w:ascii="Times New Roman" w:hAnsi="Times New Roman" w:eastAsia="宋体" w:cs="Times New Roman"/>
          <w:lang w:val="de-DE" w:eastAsia="zh-CN"/>
        </w:rPr>
        <w:footnoteReference w:id="31"/>
      </w:r>
      <w:r>
        <w:rPr>
          <w:rFonts w:hint="default" w:ascii="Times New Roman" w:hAnsi="Times New Roman" w:eastAsia="宋体" w:cs="Times New Roman"/>
          <w:lang w:val="de-DE" w:eastAsia="zh-CN"/>
        </w:rPr>
        <w:t xml:space="preserve"> In vielen Fällen setzen diese Investoren eigene Kriterien und Messgrößen ein, um sicherzustellen, dass ihre Investitionen nicht nur Erträge abwerfen, sondern auch echte Wirkung entfalten. Diese Messbarkeit ist ein zentrales Element ihres Handelns und unterscheidet sie von Anlegern, die primär auf finanzielle Kennzahlen achten.</w:t>
      </w:r>
      <w:r>
        <w:rPr>
          <w:rStyle w:val="52"/>
          <w:rFonts w:hint="default" w:ascii="Times New Roman" w:hAnsi="Times New Roman" w:eastAsia="宋体" w:cs="Times New Roman"/>
          <w:lang w:val="de-DE" w:eastAsia="zh-CN"/>
        </w:rPr>
        <w:footnoteReference w:id="32"/>
      </w:r>
      <w:r>
        <w:rPr>
          <w:rFonts w:hint="default" w:ascii="Times New Roman" w:hAnsi="Times New Roman" w:eastAsia="宋体" w:cs="Times New Roman"/>
          <w:lang w:val="de-DE" w:eastAsia="zh-CN"/>
        </w:rPr>
        <w:t xml:space="preserve"> </w:t>
      </w:r>
    </w:p>
    <w:p w14:paraId="5F81C2F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Darüber hinaus beteiligen sich zunehmend auch vermögende Privatpersonen, Family Offices oder Impact-Fonds an wirkungsorientierten Investments. Ihre Zielsetzung kann unterschiedlich ausfallen und reicht von der Absicht, soziale Herausforderungen direkt zu adressieren, bis hin zur Integration von Nachhaltigkeitszielen in langfristige Anlagestrategien. Einige Investoren sind bereit, Renditeeinbußen in Kauf zu nehmen, um einen stärkeren sozialen Effekt zu erzielen, während andere marktübliche Erträge anstreben und zugleich messbare Wirkung erwarten. Dieses Spektrum an Zielsetzungen zeigt, wie vielfältig Impact-Investoren agieren und welche Rolle ihre jeweiligen Motive dabei spielen.</w:t>
      </w:r>
      <w:r>
        <w:rPr>
          <w:rStyle w:val="52"/>
          <w:rFonts w:hint="default" w:ascii="Times New Roman" w:hAnsi="Times New Roman" w:eastAsia="宋体" w:cs="Times New Roman"/>
          <w:lang w:val="de-DE" w:eastAsia="zh-CN"/>
        </w:rPr>
        <w:footnoteReference w:id="33"/>
      </w:r>
    </w:p>
    <w:p w14:paraId="20E23B8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66350397">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3" w:name="_Toc3066"/>
      <w:r>
        <w:rPr>
          <w:rFonts w:hint="default" w:ascii="Times New Roman" w:hAnsi="Times New Roman" w:eastAsia="宋体" w:cs="Times New Roman"/>
          <w:b/>
          <w:lang w:val="de-DE" w:eastAsia="zh-CN"/>
        </w:rPr>
        <w:t>Intermediäre und Plattformen im Impact-Investing-Markt</w:t>
      </w:r>
      <w:bookmarkEnd w:id="23"/>
    </w:p>
    <w:p w14:paraId="60C916E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Intermediäre und Plattformen vermitteln zwischen verschiedenen Akteuren im Impact-Investing-Markt und erleichtern so den Kapitalfluss von Investoren zu Projekten, die sowohl soziale Wirkung als auch finanzielle Erträge anstreben. Solche Vermittler identifizieren potenzielle Impact-Projekte, bereiten Informationen auf und machen diese Investoren zugänglich, die andernfalls kaum auf entsprechende Chancen stoßen würden. Dadurch verringern sie Informationslücken im Markt und tragen dazu bei, dass Kapital effizienter dort eingesetzt wird, wo Wirkung entsteht.</w:t>
      </w:r>
      <w:r>
        <w:rPr>
          <w:rStyle w:val="52"/>
          <w:rFonts w:hint="default" w:ascii="Times New Roman" w:hAnsi="Times New Roman" w:eastAsia="宋体" w:cs="Times New Roman"/>
          <w:lang w:val="de-DE" w:eastAsia="zh-CN"/>
        </w:rPr>
        <w:footnoteReference w:id="34"/>
      </w:r>
      <w:r>
        <w:rPr>
          <w:rFonts w:hint="default" w:ascii="Times New Roman" w:hAnsi="Times New Roman" w:eastAsia="宋体" w:cs="Times New Roman"/>
          <w:lang w:val="de-DE" w:eastAsia="zh-CN"/>
        </w:rPr>
        <w:t xml:space="preserve"> </w:t>
      </w:r>
    </w:p>
    <w:p w14:paraId="2EFC020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Plattformen wie digitale Netzwerke oder spezialisierte Organisationsformen bündeln Angebote und Nachfrage, indem sie Investitionsmöglichkeiten sichtbar machen und Investoren gezielt an passende Projekte heranführen. Beispiele hierfür sind Peer-to-peer-Plattformen oder Community-basierte Netzwerke, die Projekte und Kapitalgeber verbinden, selbst wenn traditionelle Finanzakteure diese Projektarten nicht bedienen.</w:t>
      </w:r>
      <w:r>
        <w:rPr>
          <w:rStyle w:val="52"/>
          <w:rFonts w:hint="default" w:ascii="Times New Roman" w:hAnsi="Times New Roman" w:eastAsia="宋体" w:cs="Times New Roman"/>
          <w:lang w:val="de-DE" w:eastAsia="zh-CN"/>
        </w:rPr>
        <w:footnoteReference w:id="35"/>
      </w:r>
      <w:r>
        <w:rPr>
          <w:rFonts w:hint="default" w:ascii="Times New Roman" w:hAnsi="Times New Roman" w:eastAsia="宋体" w:cs="Times New Roman"/>
          <w:lang w:val="de-DE" w:eastAsia="zh-CN"/>
        </w:rPr>
        <w:t xml:space="preserve"> </w:t>
      </w:r>
    </w:p>
    <w:p w14:paraId="1AA6F84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Auch Netzwerke wie das Global Impact Investing Network fördern den Austausch zwischen Impact-Investoren, schaffen gemeinsame Standards und verbreiten Wissen über erfolgreiche Modelle und Methoden im Markt. Solche Netzwerke sammeln Daten, veröffentlichen Forschungsergebnisse und entwickeln gemeinsam genutzte Werkzeuge zur Messung und Steuerung von Impact, was den gesamten Markt professionalisiert und transparenter macht.</w:t>
      </w:r>
      <w:r>
        <w:rPr>
          <w:rStyle w:val="52"/>
          <w:rFonts w:hint="default" w:ascii="Times New Roman" w:hAnsi="Times New Roman" w:eastAsia="宋体" w:cs="Times New Roman"/>
          <w:lang w:val="de-DE" w:eastAsia="zh-CN"/>
        </w:rPr>
        <w:footnoteReference w:id="36"/>
      </w:r>
      <w:r>
        <w:rPr>
          <w:rFonts w:hint="default" w:ascii="Times New Roman" w:hAnsi="Times New Roman" w:eastAsia="宋体" w:cs="Times New Roman"/>
          <w:lang w:val="de-DE" w:eastAsia="zh-CN"/>
        </w:rPr>
        <w:t xml:space="preserve"> </w:t>
      </w:r>
    </w:p>
    <w:p w14:paraId="315C72A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Darüber hinaus existieren spezialisierte Beratungs- und Unterstützungsdienstleister, die Investoren bei der Suche nach geeigneten Projekten beraten und bei Due-Diligence-Prozessen helfen. Diese Akteure tragen dazu bei, dass Anleger fundierte Entscheidungen treffen und Risiken besser einschätzen können. Durch ihre Tätigkeit entsteht ein unterstützendes Umfeld, in dem Impact-Investitionen leichter initiiert und umgesetzt werden können.</w:t>
      </w:r>
      <w:r>
        <w:rPr>
          <w:rStyle w:val="52"/>
          <w:rFonts w:hint="default" w:ascii="Times New Roman" w:hAnsi="Times New Roman" w:eastAsia="宋体" w:cs="Times New Roman"/>
          <w:lang w:val="de-DE" w:eastAsia="zh-CN"/>
        </w:rPr>
        <w:footnoteReference w:id="37"/>
      </w:r>
      <w:r>
        <w:rPr>
          <w:rFonts w:hint="default" w:ascii="Times New Roman" w:hAnsi="Times New Roman" w:eastAsia="宋体" w:cs="Times New Roman"/>
          <w:lang w:val="de-DE" w:eastAsia="zh-CN"/>
        </w:rPr>
        <w:t xml:space="preserve"> </w:t>
      </w:r>
    </w:p>
    <w:p w14:paraId="0EA2908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583E7C39">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4" w:name="_Toc25838"/>
      <w:r>
        <w:rPr>
          <w:rFonts w:hint="default" w:ascii="Times New Roman" w:hAnsi="Times New Roman" w:eastAsia="宋体" w:cs="Times New Roman"/>
          <w:b/>
          <w:lang w:val="de-DE" w:eastAsia="zh-CN"/>
        </w:rPr>
        <w:t>Rolle öffentlicher Institutionen und Förderprogramme</w:t>
      </w:r>
      <w:bookmarkEnd w:id="24"/>
    </w:p>
    <w:p w14:paraId="155CACFB">
      <w:pPr>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Öffentliche Institutionen und staatlich geförderte Programme geben im Impact-Investing-Ökosystem Kapital frei und schaffen Bedingungen, unter denen wirkungsorientierte Investments leichter realisiert werden können. In Deutschland hat die Bundesregierung etwa mit der sogenannten Impact Facility im Rahmen des Zukunftsfonds ein Instrument aufgelegt, das private Kapital stärker zur Finanzierung von Start-ups mit sozialer oder ökologischer Wirkung mobilisieren soll. Dabei wird über die KfW Capital in Fonds investiert, die neben einer finanziellen Rendite auch eine positive Wirkung anstreben und diese überwachen müssen.</w:t>
      </w:r>
      <w:r>
        <w:rPr>
          <w:rStyle w:val="52"/>
          <w:rFonts w:hint="default" w:ascii="Times New Roman" w:hAnsi="Times New Roman" w:cs="Times New Roman"/>
          <w:lang w:val="de-DE" w:eastAsia="zh-CN"/>
        </w:rPr>
        <w:footnoteReference w:id="38"/>
      </w:r>
      <w:r>
        <w:rPr>
          <w:rFonts w:hint="default" w:ascii="Times New Roman" w:hAnsi="Times New Roman" w:cs="Times New Roman"/>
          <w:lang w:val="de-DE" w:eastAsia="zh-CN"/>
        </w:rPr>
        <w:t xml:space="preserve"> </w:t>
      </w:r>
    </w:p>
    <w:p w14:paraId="3337BDA1">
      <w:pPr>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Staatliche Förderprogramme können Risiken verringern, indem sie Teile des Kapitals übernehmen oder Zuschüsse bereitstellen, die für einzelne Projekte sonst nicht verfügbar wären. Bestehende Initiativen zur Unterstützung von Impact Investing umfassen nicht nur klassische Zuschussprogramme, sondern auch kooperative Fördermaßnahmen, die private Investoren zur Beteiligung ermutigen.</w:t>
      </w:r>
      <w:r>
        <w:rPr>
          <w:rStyle w:val="52"/>
          <w:rFonts w:hint="default" w:ascii="Times New Roman" w:hAnsi="Times New Roman" w:cs="Times New Roman"/>
          <w:lang w:val="de-DE" w:eastAsia="zh-CN"/>
        </w:rPr>
        <w:footnoteReference w:id="39"/>
      </w:r>
      <w:r>
        <w:rPr>
          <w:rFonts w:hint="default" w:ascii="Times New Roman" w:hAnsi="Times New Roman" w:cs="Times New Roman"/>
          <w:lang w:val="de-DE" w:eastAsia="zh-CN"/>
        </w:rPr>
        <w:t xml:space="preserve"> Angebote wie Informations- und Beratungsservices stehen sozialen Unternehmern zur Verfügung, um sie bei der Präsentation ihrer Projekte gegenüber Investoren zu unterstützen und die Sichtbarkeit im Markt zu erhöhen.</w:t>
      </w:r>
      <w:r>
        <w:rPr>
          <w:rStyle w:val="52"/>
          <w:rFonts w:hint="default" w:ascii="Times New Roman" w:hAnsi="Times New Roman" w:cs="Times New Roman"/>
          <w:lang w:val="de-DE" w:eastAsia="zh-CN"/>
        </w:rPr>
        <w:footnoteReference w:id="40"/>
      </w:r>
      <w:r>
        <w:rPr>
          <w:rFonts w:hint="default" w:ascii="Times New Roman" w:hAnsi="Times New Roman" w:cs="Times New Roman"/>
          <w:lang w:val="de-DE" w:eastAsia="zh-CN"/>
        </w:rPr>
        <w:t xml:space="preserve"> </w:t>
      </w:r>
    </w:p>
    <w:p w14:paraId="064401D8">
      <w:pPr>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Bundesweite Initiativen wie die Bundesinitiative Impact Investing tragen ebenfalls dazu bei, dass Impact Investing breiter bekannt wird und neue Akteure Zugang finden. Sie bündeln Wissen, fördern Austausch zwischen Akteuren und setzen sich für klarere Rahmenbedingungen ein, die den Markt weiter entwickeln.</w:t>
      </w:r>
      <w:r>
        <w:rPr>
          <w:rStyle w:val="52"/>
          <w:rFonts w:hint="default" w:ascii="Times New Roman" w:hAnsi="Times New Roman" w:cs="Times New Roman"/>
          <w:lang w:val="de-DE" w:eastAsia="zh-CN"/>
        </w:rPr>
        <w:footnoteReference w:id="41"/>
      </w:r>
      <w:r>
        <w:rPr>
          <w:rFonts w:hint="default" w:ascii="Times New Roman" w:hAnsi="Times New Roman" w:cs="Times New Roman"/>
          <w:lang w:val="de-DE" w:eastAsia="zh-CN"/>
        </w:rPr>
        <w:t xml:space="preserve"> Internationale Institutionen etwa auf EU-Ebene oder in anderen Staaten übernehmen vergleichbare Aufgaben, indem sie regulatorische Grundlagen schaffen oder öffentliche Gelder zur Kofinanzierung bereitstellen. In einigen Fällen betreuen staatliche Stellen auch Studien oder Pilotprogramme, die zeigen, wie öffentliche und private Finanzierungsquellen gemeinsam genutzt werden können, um soziale Herausforderungen effizienter zu adressieren.</w:t>
      </w:r>
      <w:r>
        <w:rPr>
          <w:rStyle w:val="52"/>
          <w:rFonts w:hint="default" w:ascii="Times New Roman" w:hAnsi="Times New Roman" w:cs="Times New Roman"/>
          <w:lang w:val="de-DE" w:eastAsia="zh-CN"/>
        </w:rPr>
        <w:footnoteReference w:id="42"/>
      </w:r>
    </w:p>
    <w:p w14:paraId="6D9AD169">
      <w:pPr>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261B4D74">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5" w:name="_Toc13736"/>
      <w:r>
        <w:rPr>
          <w:rFonts w:hint="default" w:ascii="Times New Roman" w:hAnsi="Times New Roman" w:eastAsia="宋体" w:cs="Times New Roman"/>
          <w:b/>
          <w:lang w:val="de-DE" w:eastAsia="zh-CN"/>
        </w:rPr>
        <w:t>Soziale Organisationen und Unternehmen als Kapitalnehmer</w:t>
      </w:r>
      <w:bookmarkEnd w:id="25"/>
    </w:p>
    <w:p w14:paraId="1F1D48C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Soziale Organisationen und Unternehmen stehen im Impact-Investing-Ökosystem als Empfänger des Kapitals im Zentrum der praktischen Umsetzung wirkungsorientierter Investments. Diese Akteure nutzen die bereitgestellten finanziellen Mittel, um Projekte zu realisieren, die neben einer wirtschaftlichen Tragfähigkeit auch konkrete soziale oder ökologische Effekte erzeugen sollen. Dazu zählen sowohl klassische Sozialunternehmen als auch gemeinnützige Einrichtungen, die innovative Lösungen für gesellschaftliche Herausforderungen entwickeln und finanzieren müssen, um ihre Ziele erreichen zu können.</w:t>
      </w:r>
      <w:r>
        <w:rPr>
          <w:rStyle w:val="52"/>
          <w:rFonts w:hint="default" w:ascii="Times New Roman" w:hAnsi="Times New Roman" w:eastAsia="宋体" w:cs="Times New Roman"/>
          <w:lang w:val="de-DE" w:eastAsia="zh-CN"/>
        </w:rPr>
        <w:footnoteReference w:id="43"/>
      </w:r>
      <w:r>
        <w:rPr>
          <w:rFonts w:hint="default" w:ascii="Times New Roman" w:hAnsi="Times New Roman" w:eastAsia="宋体" w:cs="Times New Roman"/>
          <w:lang w:val="de-DE" w:eastAsia="zh-CN"/>
        </w:rPr>
        <w:t xml:space="preserve"> </w:t>
      </w:r>
    </w:p>
    <w:p w14:paraId="58E8F99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Viele Sozialunternehmen verfolgen ein Geschäftsmodell, das darauf ausgerichtet ist, soziale Probleme direkt zu adressieren und gleichzeitig eine wirtschaftlich stabile Grundlage aufzubauen. Beispiele hierfür sind Unternehmen im Bereich Bildung, Gesundheit oder in der Förderung benachteiligter Bevölkerungsgruppen, die Kapital benötigen, um ihre Programme auszubauen und Wirkung zu erzielen. Eine wachsende Zahl solcher Unternehmen nutzt Impact-Investments, weil diese Finanzierungsform eine Balance zwischen finanzieller Nachhaltigkeit und messbarer Wirkung erlaubt, was bei traditionellen Krediten oder Spenden oft nicht der Fall ist.</w:t>
      </w:r>
      <w:r>
        <w:rPr>
          <w:rStyle w:val="52"/>
          <w:rFonts w:hint="default" w:ascii="Times New Roman" w:hAnsi="Times New Roman" w:eastAsia="宋体" w:cs="Times New Roman"/>
          <w:lang w:val="de-DE" w:eastAsia="zh-CN"/>
        </w:rPr>
        <w:footnoteReference w:id="44"/>
      </w:r>
      <w:r>
        <w:rPr>
          <w:rFonts w:hint="default" w:ascii="Times New Roman" w:hAnsi="Times New Roman" w:eastAsia="宋体" w:cs="Times New Roman"/>
          <w:lang w:val="de-DE" w:eastAsia="zh-CN"/>
        </w:rPr>
        <w:t xml:space="preserve"> </w:t>
      </w:r>
    </w:p>
    <w:p w14:paraId="25C10FB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Unternehmen mit sozialer Ausrichtung sind meist darauf angewiesen, ihre Projekt- und Geschäftsmodelle potenziellen Impact-Investoren überzeugend darzustellen. Dazu gehören klare Wirkungsziele, eine realistische Finanzplanung und geeignete Messgrößen für den Erfolg. Bei der Kapitalaufnahme arbeiten sie häufig eng mit Vermittlern, Beratern oder Plattformen zusammen, um passende Investoren zu finden und die Erwartungen hinsichtlich Rendite und Wirkung zu koordinieren.</w:t>
      </w:r>
      <w:r>
        <w:rPr>
          <w:rStyle w:val="52"/>
          <w:rFonts w:hint="default" w:ascii="Times New Roman" w:hAnsi="Times New Roman" w:eastAsia="宋体" w:cs="Times New Roman"/>
          <w:lang w:val="de-DE" w:eastAsia="zh-CN"/>
        </w:rPr>
        <w:footnoteReference w:id="45"/>
      </w:r>
      <w:r>
        <w:rPr>
          <w:rFonts w:hint="default" w:ascii="Times New Roman" w:hAnsi="Times New Roman" w:eastAsia="宋体" w:cs="Times New Roman"/>
          <w:lang w:val="de-DE" w:eastAsia="zh-CN"/>
        </w:rPr>
        <w:t xml:space="preserve"> </w:t>
      </w:r>
    </w:p>
    <w:p w14:paraId="07B3E1A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Soziale Organisationen und gewinnorientierte Unternehmen mit Impact-Fokus müssen zudem interne Prozesse aufbauen, die es erlauben, die erzielten Effekte zu dokumentieren und transparent zu machen. Diese Nachweisführung ist für Investoren wichtig, weil sie darüber entscheiden, ob weitere Finanzierungen erfolgen oder bestehende Investments verlängert werden. Mit wachsender Erfahrung in der Wirkungsmessung können solche Kapitalnehmer nicht nur gezielter investieren, sondern auch Risiken besser steuern.</w:t>
      </w:r>
      <w:r>
        <w:rPr>
          <w:rStyle w:val="52"/>
          <w:rFonts w:hint="default" w:ascii="Times New Roman" w:hAnsi="Times New Roman" w:eastAsia="宋体" w:cs="Times New Roman"/>
          <w:lang w:val="de-DE" w:eastAsia="zh-CN"/>
        </w:rPr>
        <w:footnoteReference w:id="46"/>
      </w:r>
    </w:p>
    <w:p w14:paraId="4D907A2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735AD065">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de-DE" w:eastAsia="zh-CN"/>
        </w:rPr>
      </w:pPr>
      <w:bookmarkStart w:id="26" w:name="_Toc6890"/>
      <w:r>
        <w:rPr>
          <w:rFonts w:hint="default" w:ascii="Times New Roman" w:hAnsi="Times New Roman" w:eastAsia="宋体" w:cs="Times New Roman"/>
          <w:lang w:val="de-DE" w:eastAsia="zh-CN"/>
        </w:rPr>
        <w:t>Kleinere soziale Projekte und Wirkungs-Rendite-Perspektiven im Impact Investing</w:t>
      </w:r>
      <w:bookmarkEnd w:id="26"/>
    </w:p>
    <w:p w14:paraId="31FFB29C">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7" w:name="_Toc26176"/>
      <w:r>
        <w:rPr>
          <w:rFonts w:hint="default" w:ascii="Times New Roman" w:hAnsi="Times New Roman" w:eastAsia="宋体" w:cs="Times New Roman"/>
          <w:b/>
          <w:lang w:val="de-DE" w:eastAsia="zh-CN"/>
        </w:rPr>
        <w:t>Soziale und kleine soziale Projekte</w:t>
      </w:r>
      <w:bookmarkEnd w:id="27"/>
    </w:p>
    <w:p w14:paraId="2A92DC2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Soziale Projekte sind Initiativen oder Organisationen, die gezielt gesellschaftliche Herausforderungen angehen und auf das Gemeinwohl ausgerichtet sind. Ihr Fokus liegt auf der Verbesserung von Lebensbedingungen, dem Zugang zu Bildung, Gesundheitsversorgung oder sozialen Ressourcen, nicht auf der Erwirtschaftung von Gewinnen.</w:t>
      </w:r>
      <w:r>
        <w:rPr>
          <w:rStyle w:val="52"/>
          <w:rFonts w:hint="default" w:ascii="Times New Roman" w:hAnsi="Times New Roman" w:cs="Times New Roman"/>
          <w:lang w:val="de-DE" w:eastAsia="zh-CN"/>
        </w:rPr>
        <w:footnoteReference w:id="47"/>
      </w:r>
      <w:r>
        <w:rPr>
          <w:rFonts w:hint="default" w:ascii="Times New Roman" w:hAnsi="Times New Roman" w:cs="Times New Roman"/>
          <w:lang w:val="de-DE" w:eastAsia="zh-CN"/>
        </w:rPr>
        <w:t xml:space="preserve"> Solche Projekte unterscheiden sich von staatlichen Programmen oder großen Non-Profit-Organisationen dadurch, dass sie häufig lokal wirken, direkte Verbesserungen im Umfeld erzielen und mit überschaubaren Strukturen operieren.</w:t>
      </w:r>
      <w:r>
        <w:rPr>
          <w:rStyle w:val="52"/>
          <w:rFonts w:hint="default" w:ascii="Times New Roman" w:hAnsi="Times New Roman" w:cs="Times New Roman"/>
          <w:lang w:val="de-DE" w:eastAsia="zh-CN"/>
        </w:rPr>
        <w:footnoteReference w:id="48"/>
      </w:r>
    </w:p>
    <w:p w14:paraId="0E8E253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Kleinere soziale Projekte stellen eine spezifische Untergruppe dar. Sie agieren meist mit kleinen Teams, begrenzten finanziellen Mitteln und fokussieren sich auf konkrete Problemfelder. Einnahmen werden überwiegend reinvestiert, um die Fortführung oder den Ausbau der Aktivitäten zu sichern, während wirtschaftlicher Gewinn selten das primäre Ziel ist. In einigen Fällen überschneiden sich diese Projekte mit sozial orientierten Start-ups, wenn wirtschaftliche Tätigkeiten aufgenommen werden, um die langfristige finanzielle Tragfähigkeit sicherzustellen.</w:t>
      </w:r>
      <w:r>
        <w:rPr>
          <w:rStyle w:val="52"/>
          <w:rFonts w:hint="default" w:ascii="Times New Roman" w:hAnsi="Times New Roman" w:cs="Times New Roman"/>
          <w:lang w:val="de-DE" w:eastAsia="zh-CN"/>
        </w:rPr>
        <w:footnoteReference w:id="49"/>
      </w:r>
    </w:p>
    <w:p w14:paraId="36E0828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Damit ein kleines soziales Projekt im Rahmen von Impact Investing relevant wird, müssen bestimmte strukturelle Voraussetzungen erfüllt sein. Dazu zählen transparente Zielsetzungen, verlässliche Umsetzung der Aktivitäten und Methoden, die den erzeugten sozialen Nutzen messbar und nachvollziehbar machen. Die klare Dokumentation von Wirkung ist entscheidend, weil Impact Investing darauf abzielt, positive Veränderungen nicht nur zu fördern, sondern auch überprüfbar zu gestalten.</w:t>
      </w:r>
      <w:r>
        <w:rPr>
          <w:rStyle w:val="52"/>
          <w:rFonts w:hint="default" w:ascii="Times New Roman" w:hAnsi="Times New Roman" w:cs="Times New Roman"/>
          <w:lang w:val="de-DE" w:eastAsia="zh-CN"/>
        </w:rPr>
        <w:footnoteReference w:id="50"/>
      </w:r>
    </w:p>
    <w:p w14:paraId="73B2801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Kleinere Projekte benötigen häufig externe Finanzmittel, um ihre Wirkung zu erhöhen oder überhaupt starten zu können. Traditionelle Finanzierungswege lassen sich nur eingeschränkt nutzen, da Banken und klassische Investoren höhere Sicherheiten und Renditen verlangen. In diesem Kontext eröffnet Impact Investing neue Chancen, da es sowohl die sozialen Zielsetzungen als auch die ökonomische Tragfähigkeit berücksichtigt und damit die nachhaltige Entwicklung kleinerer sozialer Initiativen unterstützt.</w:t>
      </w:r>
      <w:r>
        <w:rPr>
          <w:rStyle w:val="52"/>
          <w:rFonts w:hint="default" w:ascii="Times New Roman" w:hAnsi="Times New Roman" w:cs="Times New Roman"/>
          <w:lang w:val="de-DE" w:eastAsia="zh-CN"/>
        </w:rPr>
        <w:footnoteReference w:id="51"/>
      </w:r>
    </w:p>
    <w:p w14:paraId="6B0A2B4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007339E0">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28" w:name="_Toc20125"/>
      <w:r>
        <w:rPr>
          <w:rFonts w:hint="default" w:ascii="Times New Roman" w:hAnsi="Times New Roman" w:eastAsia="宋体" w:cs="Times New Roman"/>
          <w:b/>
          <w:lang w:val="de-DE" w:eastAsia="zh-CN"/>
        </w:rPr>
        <w:t>Finanzierungsbedarfe und strukturelle Besonderheiten kleiner sozialer Projekte</w:t>
      </w:r>
      <w:bookmarkEnd w:id="28"/>
    </w:p>
    <w:p w14:paraId="0BA7876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Kleine soziale Projekte haben ganz eigene Finanzierungsbedarfe, die sich von denen klassischer Unternehmen deutlich unterscheiden. Diese Initiativen bearbeiten oft gesellschaftliche Aufgaben wie Bildungs-, Gesundheits- oder Energiezugangsprobleme, was häufig mit hohen Anfangskosten verbunden ist, bevor ein stabiler Betrieb entstehen kann.</w:t>
      </w:r>
      <w:r>
        <w:rPr>
          <w:rStyle w:val="52"/>
          <w:rFonts w:hint="default" w:ascii="Times New Roman" w:hAnsi="Times New Roman" w:eastAsia="宋体" w:cs="Times New Roman"/>
          <w:lang w:val="de-DE" w:eastAsia="zh-CN"/>
        </w:rPr>
        <w:footnoteReference w:id="52"/>
      </w:r>
      <w:r>
        <w:rPr>
          <w:rFonts w:hint="default" w:ascii="Times New Roman" w:hAnsi="Times New Roman" w:eastAsia="宋体" w:cs="Times New Roman"/>
          <w:lang w:val="de-DE" w:eastAsia="zh-CN"/>
        </w:rPr>
        <w:t xml:space="preserve"> </w:t>
      </w:r>
    </w:p>
    <w:p w14:paraId="3F679439">
      <w:pPr>
        <w:pStyle w:val="16"/>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sz w:val="24"/>
          <w:szCs w:val="24"/>
          <w:lang w:val="de-DE" w:eastAsia="zh-CN"/>
        </w:rPr>
      </w:pPr>
      <w:r>
        <w:rPr>
          <w:rFonts w:hint="default" w:ascii="Times New Roman" w:hAnsi="Times New Roman" w:cs="Times New Roman"/>
          <w:sz w:val="24"/>
          <w:szCs w:val="24"/>
        </w:rPr>
        <w:t xml:space="preserve">Abbildung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Abbildung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bookmarkStart w:id="29" w:name="_Toc1958"/>
      <w:bookmarkStart w:id="30" w:name="_Toc28141"/>
      <w:r>
        <w:rPr>
          <w:rFonts w:hint="default" w:ascii="Times New Roman" w:hAnsi="Times New Roman" w:cs="Times New Roman"/>
          <w:sz w:val="24"/>
          <w:szCs w:val="24"/>
          <w:lang w:val="de-DE"/>
        </w:rPr>
        <w:t xml:space="preserve">: </w:t>
      </w:r>
      <w:r>
        <w:rPr>
          <w:rFonts w:hint="default" w:ascii="Times New Roman" w:hAnsi="Times New Roman" w:eastAsia="宋体" w:cs="Times New Roman"/>
          <w:sz w:val="24"/>
          <w:szCs w:val="24"/>
          <w:lang w:val="de-DE" w:eastAsia="zh-CN"/>
        </w:rPr>
        <w:t>Finanzierungszwecke kleiner sozialer Projekte</w:t>
      </w:r>
      <w:bookmarkEnd w:id="29"/>
      <w:bookmarkEnd w:id="30"/>
    </w:p>
    <w:p w14:paraId="77EB557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cs="Times New Roman"/>
        </w:rPr>
        <w:drawing>
          <wp:inline distT="0" distB="0" distL="114300" distR="114300">
            <wp:extent cx="4147820" cy="2331720"/>
            <wp:effectExtent l="0" t="0" r="508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4147820" cy="2331720"/>
                    </a:xfrm>
                    <a:prstGeom prst="rect">
                      <a:avLst/>
                    </a:prstGeom>
                    <a:noFill/>
                    <a:ln>
                      <a:noFill/>
                    </a:ln>
                  </pic:spPr>
                </pic:pic>
              </a:graphicData>
            </a:graphic>
          </wp:inline>
        </w:drawing>
      </w:r>
    </w:p>
    <w:p w14:paraId="0E86834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sz w:val="20"/>
          <w:szCs w:val="20"/>
          <w:lang w:val="de-DE" w:eastAsia="zh-CN"/>
        </w:rPr>
      </w:pPr>
      <w:r>
        <w:rPr>
          <w:rFonts w:hint="default" w:ascii="Times New Roman" w:hAnsi="Times New Roman" w:eastAsia="宋体" w:cs="Times New Roman"/>
          <w:sz w:val="20"/>
          <w:szCs w:val="20"/>
          <w:lang w:val="de-DE" w:eastAsia="zh-CN"/>
        </w:rPr>
        <w:t xml:space="preserve">Quelle: In Anlehnung an </w:t>
      </w:r>
      <w:r>
        <w:rPr>
          <w:rFonts w:hint="default" w:ascii="Times New Roman" w:hAnsi="Times New Roman" w:cs="Times New Roman"/>
          <w:i/>
          <w:iCs/>
          <w:sz w:val="20"/>
          <w:szCs w:val="20"/>
          <w:lang w:val="de-DE"/>
        </w:rPr>
        <w:t xml:space="preserve">Eisenreich, T., Scholz, S., </w:t>
      </w:r>
      <w:r>
        <w:rPr>
          <w:rFonts w:hint="default" w:ascii="Times New Roman" w:hAnsi="Times New Roman" w:cs="Times New Roman"/>
          <w:sz w:val="20"/>
          <w:szCs w:val="20"/>
          <w:lang w:val="de-DE"/>
        </w:rPr>
        <w:t>Finanzierung, 2018, S. 201.</w:t>
      </w:r>
    </w:p>
    <w:p w14:paraId="17D59B7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Die Abbildung </w:t>
      </w:r>
      <w:r>
        <w:rPr>
          <w:rFonts w:hint="default" w:ascii="Times New Roman" w:hAnsi="Times New Roman" w:eastAsia="宋体" w:cs="Times New Roman"/>
          <w:lang w:val="en-US" w:eastAsia="zh-CN"/>
        </w:rPr>
        <w:t>2</w:t>
      </w:r>
      <w:r>
        <w:rPr>
          <w:rFonts w:hint="default" w:ascii="Times New Roman" w:hAnsi="Times New Roman" w:eastAsia="宋体" w:cs="Times New Roman"/>
          <w:lang w:val="de-DE" w:eastAsia="zh-CN"/>
        </w:rPr>
        <w:t xml:space="preserve"> zeigt die grundlegende Struktur der Finanzierungszwecke kleiner sozialer Projekte. Ausgangspunkt bildet der übergeordnete Finanzierungszweck, der sich in zwei zentrale Bereiche aufteilt. Auf der einen Seite steht die Infrastruktur, die vor allem investive Maßnahmen umfasst, etwa für Gebäude, technische Ausstattung oder organisatorische Grundlagen.</w:t>
      </w:r>
      <w:r>
        <w:rPr>
          <w:rStyle w:val="52"/>
          <w:rFonts w:hint="default" w:ascii="Times New Roman" w:hAnsi="Times New Roman" w:eastAsia="宋体" w:cs="Times New Roman"/>
          <w:lang w:val="de-DE" w:eastAsia="zh-CN"/>
        </w:rPr>
        <w:footnoteReference w:id="53"/>
      </w:r>
      <w:r>
        <w:rPr>
          <w:rFonts w:hint="default" w:ascii="Times New Roman" w:hAnsi="Times New Roman" w:eastAsia="宋体" w:cs="Times New Roman"/>
          <w:lang w:val="de-DE" w:eastAsia="zh-CN"/>
        </w:rPr>
        <w:t xml:space="preserve"> Auf der anderen Seite ist die Leistungserbringung dargestellt, die sich weiter differenziert. Hierzu zählen sowohl die Entwicklungsfinanzierung, die den Aufbau neuer Angebote oder Projekte ermöglicht, als auch die Regelfinanzierung, die den laufenden Betrieb und die kontinuierliche Umsetzung sozialer Leistungen absichert.</w:t>
      </w:r>
      <w:r>
        <w:rPr>
          <w:rStyle w:val="52"/>
          <w:rFonts w:hint="default" w:ascii="Times New Roman" w:hAnsi="Times New Roman" w:eastAsia="宋体" w:cs="Times New Roman"/>
          <w:lang w:val="de-DE" w:eastAsia="zh-CN"/>
        </w:rPr>
        <w:footnoteReference w:id="54"/>
      </w:r>
    </w:p>
    <w:p w14:paraId="7960DC9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Solche Projekte benötigen nicht nur Startkapital zur Einrichtung von Strukturen und Dienstleistungen, sondern auch weiterführende Mittel, um erste Wirkungen zu entfalten und langfristig bestehen zu können. Häufig fehlen ihnen Sicherheiten, mit denen traditionelle Banken bereit sind, Kredite zu vergeben, weil die erwarteten Erträge im Vergleich zu konventionellen Geschäftsmodellen geringer oder unsicher sind. Gleichzeitig entstehen Kosten für den Aufbau von Netzwerken und Partnerschaften, die zur Umsetzung der Projekte notwendig sind. Sozialunternehmen müssen Ressourcen in Projektmanagement und in den Aufbau von Kompetenzen investieren, die über die reine Umsetzung hinausgehen - zum Beispiel in die Wirkungsmessung oder Öffentlichkeitsarbeit, um ihre Erfolge gegenüber Unterstützerinnen und Unterstützern darzulegen.</w:t>
      </w:r>
      <w:r>
        <w:rPr>
          <w:rStyle w:val="52"/>
          <w:rFonts w:hint="default" w:ascii="Times New Roman" w:hAnsi="Times New Roman" w:eastAsia="宋体" w:cs="Times New Roman"/>
          <w:lang w:val="de-DE" w:eastAsia="zh-CN"/>
        </w:rPr>
        <w:footnoteReference w:id="55"/>
      </w:r>
    </w:p>
    <w:p w14:paraId="073256B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Strukturell sind kleine soziale Projekte oft dezentral organisiert und agieren in einem Umfeld, das von begrenzten administrativen Kapazitäten geprägt ist. Diese Organisationsform führt dazu, dass viele Aufgaben von wenigen Personen übernommen werden müssen, was den Bedarf an finanzieller und organisatorischer Unterstützung weiter erhöht. Gleichzeitig arbeiten diese Projekte häufig in Bereichen, in denen keine sofortigen Einnahmen erzielt werden, etwa bei Bildungs- oder Beratungsangeboten für benachteiligte Gruppen.</w:t>
      </w:r>
      <w:r>
        <w:rPr>
          <w:rStyle w:val="52"/>
          <w:rFonts w:hint="default" w:ascii="Times New Roman" w:hAnsi="Times New Roman" w:eastAsia="宋体" w:cs="Times New Roman"/>
          <w:lang w:val="de-DE" w:eastAsia="zh-CN"/>
        </w:rPr>
        <w:footnoteReference w:id="56"/>
      </w:r>
      <w:r>
        <w:rPr>
          <w:rFonts w:hint="default" w:ascii="Times New Roman" w:hAnsi="Times New Roman" w:eastAsia="宋体" w:cs="Times New Roman"/>
          <w:lang w:val="de-DE" w:eastAsia="zh-CN"/>
        </w:rPr>
        <w:t xml:space="preserve"> Diese Einnahmenschwäche verschärft die Finanzierungs</w:t>
      </w:r>
      <w:r>
        <w:rPr>
          <w:rFonts w:hint="default" w:ascii="Times New Roman" w:hAnsi="Times New Roman" w:eastAsia="宋体" w:cs="Times New Roman"/>
          <w:lang w:val="en-US" w:eastAsia="zh-CN"/>
        </w:rPr>
        <w:t>-</w:t>
      </w:r>
      <w:r>
        <w:rPr>
          <w:rFonts w:hint="default" w:ascii="Times New Roman" w:hAnsi="Times New Roman" w:eastAsia="宋体" w:cs="Times New Roman"/>
          <w:lang w:val="de-DE" w:eastAsia="zh-CN"/>
        </w:rPr>
        <w:t>probleme, weil klassische Investoren Renditeerwartungen haben, die sich nicht mit langen Anlaufphasen vereinbaren lassen. Darüber hinaus führt die Notwendigkeit, soziale Wirkung nachvollziehbar zu dokumentieren, zu zusätzlichen Ausgaben. Impact Investing als Finanzierungsform kann hier ansetzen, weil es Kapital zur Verfügung stellt, das sowohl Wirkung als auch finanzielle Nachhaltigkeit im Blick hat, doch es bleibt eine Herausforderung, passende Strukturen für die Aufnahme und Nutzung solcher Mittel aufzubauen.</w:t>
      </w:r>
      <w:r>
        <w:rPr>
          <w:rStyle w:val="52"/>
          <w:rFonts w:hint="default" w:ascii="Times New Roman" w:hAnsi="Times New Roman" w:eastAsia="宋体" w:cs="Times New Roman"/>
          <w:lang w:val="de-DE" w:eastAsia="zh-CN"/>
        </w:rPr>
        <w:footnoteReference w:id="57"/>
      </w:r>
    </w:p>
    <w:p w14:paraId="4C68CA8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48CF1249">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31" w:name="_Toc17241"/>
      <w:r>
        <w:rPr>
          <w:rFonts w:hint="default" w:ascii="Times New Roman" w:hAnsi="Times New Roman" w:eastAsia="宋体" w:cs="Times New Roman"/>
          <w:b/>
          <w:lang w:val="de-DE" w:eastAsia="zh-CN"/>
        </w:rPr>
        <w:t>Wachstums- und Skalierungspotenziale unter Berücksichtigung von Rendite und Wirkung</w:t>
      </w:r>
      <w:bookmarkEnd w:id="31"/>
    </w:p>
    <w:p w14:paraId="7BAC3D5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Kleine soziale Projekte haben oft Potenzial, über ihre lokalen Ursprungsbedingungen hinaus zu wachsen oder ihre Wirkung zu verstärken, doch dieser Prozess hängt stark davon ab, wie gut sie Rendite- und Wirkungsziele verbinden. Bereits bei der ersten Finanzierung müssen sie prüfen, ob ihr Modell so ausgelegt ist, dass zusätzliche Mittel zu einer größeren Wirkung führen können, ohne die Mission aus den Augen zu verlieren. Viele Initiativen beginnen mit begrenzten Ressourcen und müssen zeigen, dass ihre Arbeit auch auf größeren Ebenen funktioniert, bevor Investoren bereit sind, mehr Kapital bereitzustellen.</w:t>
      </w:r>
      <w:r>
        <w:rPr>
          <w:rStyle w:val="52"/>
          <w:rFonts w:hint="default" w:ascii="Times New Roman" w:hAnsi="Times New Roman" w:eastAsia="宋体" w:cs="Times New Roman"/>
          <w:lang w:val="de-DE" w:eastAsia="zh-CN"/>
        </w:rPr>
        <w:footnoteReference w:id="58"/>
      </w:r>
      <w:r>
        <w:rPr>
          <w:rFonts w:hint="default" w:ascii="Times New Roman" w:hAnsi="Times New Roman" w:eastAsia="宋体" w:cs="Times New Roman"/>
          <w:lang w:val="de-DE" w:eastAsia="zh-CN"/>
        </w:rPr>
        <w:t xml:space="preserve"> </w:t>
      </w:r>
    </w:p>
    <w:p w14:paraId="5005172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Faktor, der Wachstum unterstützt, ist die Fähigkeit der Projekte, klare, messbare Wirkungsindikatoren zu entwickeln. Investoren wollen sehen, wie sich soziale oder ökologische Ergebnisse skalieren lassen und wie sich diese Effekte auf unterschiedliche Zielgruppen ausdehnen. Wenn ein Projekt in einer Gemeinde erfolgreich ist, können ähnliche Konzepte oft auch in anderen Regionen umgesetzt werden, doch dafür braucht es Daten zur Wirkung und ein Modell, das auf andere Kontexte anwendbar ist.</w:t>
      </w:r>
      <w:r>
        <w:rPr>
          <w:rStyle w:val="52"/>
          <w:rFonts w:hint="default" w:ascii="Times New Roman" w:hAnsi="Times New Roman" w:eastAsia="宋体" w:cs="Times New Roman"/>
          <w:lang w:val="de-DE" w:eastAsia="zh-CN"/>
        </w:rPr>
        <w:footnoteReference w:id="59"/>
      </w:r>
      <w:r>
        <w:rPr>
          <w:rFonts w:hint="default" w:ascii="Times New Roman" w:hAnsi="Times New Roman" w:eastAsia="宋体" w:cs="Times New Roman"/>
          <w:lang w:val="de-DE" w:eastAsia="zh-CN"/>
        </w:rPr>
        <w:t xml:space="preserve"> </w:t>
      </w:r>
    </w:p>
    <w:p w14:paraId="79857DF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Gleichzeitig führt der Weg zur Skalierung oft über Finanzierung durch Impact Investing, weil diese Form des Kapitals nicht nur Geld liefert, sondern auch Erwartungen an Wirkung und Nachhaltigkeit mitbringt. Investoren suchen nach Projekten, die eine tragfähige Struktur und genügend Marktreife aufweisen, um mit zusätzlichem Kapital weiter zu wachsen. Je stärker die Projektteams in der Lage sind, Finanz- und Wirkungskennzahlen zu kombinieren, desto eher erhalten sie Folgekapital.</w:t>
      </w:r>
      <w:r>
        <w:rPr>
          <w:rStyle w:val="52"/>
          <w:rFonts w:hint="default" w:ascii="Times New Roman" w:hAnsi="Times New Roman" w:eastAsia="宋体" w:cs="Times New Roman"/>
          <w:lang w:val="de-DE" w:eastAsia="zh-CN"/>
        </w:rPr>
        <w:footnoteReference w:id="60"/>
      </w:r>
      <w:r>
        <w:rPr>
          <w:rFonts w:hint="default" w:ascii="Times New Roman" w:hAnsi="Times New Roman" w:eastAsia="宋体" w:cs="Times New Roman"/>
          <w:lang w:val="de-DE" w:eastAsia="zh-CN"/>
        </w:rPr>
        <w:t xml:space="preserve"> </w:t>
      </w:r>
    </w:p>
    <w:p w14:paraId="1778159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Doch es gibt Hindernisse: Viele kleinere soziale Projekte verfügen nicht über die notwendigen internen Ressourcen oder Erfahrungen, um auf Expansion ausgerichtete Planung und Reporting durchzuführen. Ohne ausreichende Kapazitäten zur Datenanalyse und Berichterstattung fällt es schwer, Investoren zu überzeugen, größere Summen bereitzustellen oder langfristige Partnerschaften einzugehen.</w:t>
      </w:r>
      <w:r>
        <w:rPr>
          <w:rStyle w:val="52"/>
          <w:rFonts w:hint="default" w:ascii="Times New Roman" w:hAnsi="Times New Roman" w:eastAsia="宋体" w:cs="Times New Roman"/>
          <w:lang w:val="de-DE" w:eastAsia="zh-CN"/>
        </w:rPr>
        <w:footnoteReference w:id="61"/>
      </w:r>
      <w:r>
        <w:rPr>
          <w:rFonts w:hint="default" w:ascii="Times New Roman" w:hAnsi="Times New Roman" w:eastAsia="宋体" w:cs="Times New Roman"/>
          <w:lang w:val="de-DE" w:eastAsia="zh-CN"/>
        </w:rPr>
        <w:t xml:space="preserve"> </w:t>
      </w:r>
    </w:p>
    <w:p w14:paraId="17C03BC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Oft müssen soziale Initiativen Kooperationen eingehen oder auf externe Unterstützung zurückgreifen, um interne Strukturen so zu verbessern, dass Wachstum möglich wird. Dadurch entstehen Netzwerke, die nicht nur Kapital, sondern auch Know-how und organisatorische Kompetenz liefern. Auf diese Weise lässt sich das Ziel erreichen, Wirkung auf größere Gruppen auszudehnen und gleichzeitig finanzielle Aspekte im Blick zu behalten.</w:t>
      </w:r>
      <w:r>
        <w:rPr>
          <w:rStyle w:val="52"/>
          <w:rFonts w:hint="default" w:ascii="Times New Roman" w:hAnsi="Times New Roman" w:eastAsia="宋体" w:cs="Times New Roman"/>
          <w:lang w:val="de-DE" w:eastAsia="zh-CN"/>
        </w:rPr>
        <w:footnoteReference w:id="62"/>
      </w:r>
      <w:r>
        <w:rPr>
          <w:rFonts w:hint="default" w:ascii="Times New Roman" w:hAnsi="Times New Roman" w:eastAsia="宋体" w:cs="Times New Roman"/>
          <w:lang w:val="de-DE" w:eastAsia="zh-CN"/>
        </w:rPr>
        <w:t xml:space="preserve"> </w:t>
      </w:r>
    </w:p>
    <w:p w14:paraId="6FF84FE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5BADAE8B">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32" w:name="_Toc29911"/>
      <w:r>
        <w:rPr>
          <w:rFonts w:hint="default" w:ascii="Times New Roman" w:hAnsi="Times New Roman" w:eastAsia="宋体" w:cs="Times New Roman"/>
          <w:b/>
          <w:lang w:val="de-DE" w:eastAsia="zh-CN"/>
        </w:rPr>
        <w:t>Renditeverständnis, soziale Wirkung und Transparenzanforderungen</w:t>
      </w:r>
      <w:bookmarkEnd w:id="32"/>
    </w:p>
    <w:p w14:paraId="59F26EC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Kleine soziale Projekte müssen bei Impact Investments sowohl finanzielle Rendite-Erwartungen als auch soziale Wirkung im Blick behalten, weil Investoren in beiden Bereichen klare Kriterien ansetzen, bevor sie Kapital bereitstellen. Impact Investing zielt darauf ab, Kapital so zu investieren, dass es positive gesellschaftliche oder ökologische Effekte erzeugt, die messbar und belegbar sind, während gleichzeitig finanzielle Erträge erzielt werden.</w:t>
      </w:r>
      <w:r>
        <w:rPr>
          <w:rStyle w:val="52"/>
          <w:rFonts w:hint="default" w:ascii="Times New Roman" w:hAnsi="Times New Roman" w:eastAsia="宋体" w:cs="Times New Roman"/>
          <w:lang w:val="de-DE" w:eastAsia="zh-CN"/>
        </w:rPr>
        <w:footnoteReference w:id="63"/>
      </w:r>
      <w:r>
        <w:rPr>
          <w:rFonts w:hint="default" w:ascii="Times New Roman" w:hAnsi="Times New Roman" w:eastAsia="宋体" w:cs="Times New Roman"/>
          <w:lang w:val="de-DE" w:eastAsia="zh-CN"/>
        </w:rPr>
        <w:t xml:space="preserve"> </w:t>
      </w:r>
    </w:p>
    <w:p w14:paraId="2A65C2A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Aus Sicht vieler Investorinnen und Investoren stehen Wirkungsziele nicht neben der Rendite, sondern beide werden verknüpft betrachtet. Sie erwarten, dass Projekte konkrete Ziele für soziale oder ökologische Veränderungen definieren und diese mit passenden Messgrößen nachweisen. Dieses Vorgehen unterscheidet Impact Investing von reinen Finanzanlagen, bei denen der Fokus allein auf Gewinn liegt, und bringt Verantwortlichkeit und Transparenz in den Vordergrund.</w:t>
      </w:r>
      <w:r>
        <w:rPr>
          <w:rStyle w:val="52"/>
          <w:rFonts w:hint="default" w:ascii="Times New Roman" w:hAnsi="Times New Roman" w:eastAsia="宋体" w:cs="Times New Roman"/>
          <w:lang w:val="de-DE" w:eastAsia="zh-CN"/>
        </w:rPr>
        <w:footnoteReference w:id="64"/>
      </w:r>
      <w:r>
        <w:rPr>
          <w:rFonts w:hint="default" w:ascii="Times New Roman" w:hAnsi="Times New Roman" w:eastAsia="宋体" w:cs="Times New Roman"/>
          <w:lang w:val="de-DE" w:eastAsia="zh-CN"/>
        </w:rPr>
        <w:t xml:space="preserve"> </w:t>
      </w:r>
    </w:p>
    <w:p w14:paraId="53B6095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Finanzielle Rendite kann dabei unterschiedliche Ausprägungen haben, je nach Strategie. Einige Projekte streben marktübliche Erträge an, während andere Investoren bewusst auf einen Teil der Rendite verzichten, um größere soziale Wirkung zu erzielen. Diese unterschiedlichen Renditeformen müssen klar beschrieben werden, damit Investorinnen und Investoren einschätzen können, wie sich ihr Kapital sowohl finanziell als auch gesellschaftlich auswirkt.</w:t>
      </w:r>
      <w:r>
        <w:rPr>
          <w:rStyle w:val="52"/>
          <w:rFonts w:hint="default" w:ascii="Times New Roman" w:hAnsi="Times New Roman" w:eastAsia="宋体" w:cs="Times New Roman"/>
          <w:lang w:val="de-DE" w:eastAsia="zh-CN"/>
        </w:rPr>
        <w:footnoteReference w:id="65"/>
      </w:r>
      <w:r>
        <w:rPr>
          <w:rFonts w:hint="default" w:ascii="Times New Roman" w:hAnsi="Times New Roman" w:eastAsia="宋体" w:cs="Times New Roman"/>
          <w:lang w:val="de-DE" w:eastAsia="zh-CN"/>
        </w:rPr>
        <w:t xml:space="preserve"> </w:t>
      </w:r>
    </w:p>
    <w:p w14:paraId="6ED8571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Soziale Wirkung hat im Impact-Investing-Kontext eine präzise Bedeutung: Sie beschreibt die konkreten Veränderungen, die ein Projekt bei der Zielgruppe oder in einem Lebensbereich bewirkt. Um diese Wirkung sichtbar zu machen, nutzen Projekte standardisierte Messmethoden oder Kennzahlen, die gegenüber Kapitalgebern offen gelegt werden. Diese Offenlegung schafft Transparenz über das Erreichte, was wiederum Einfluss auf weitere Finanzierungsentscheidungen hat.</w:t>
      </w:r>
      <w:r>
        <w:rPr>
          <w:rStyle w:val="52"/>
          <w:rFonts w:hint="default" w:ascii="Times New Roman" w:hAnsi="Times New Roman" w:eastAsia="宋体" w:cs="Times New Roman"/>
          <w:lang w:val="de-DE" w:eastAsia="zh-CN"/>
        </w:rPr>
        <w:footnoteReference w:id="66"/>
      </w:r>
      <w:r>
        <w:rPr>
          <w:rFonts w:hint="default" w:ascii="Times New Roman" w:hAnsi="Times New Roman" w:eastAsia="宋体" w:cs="Times New Roman"/>
          <w:lang w:val="de-DE" w:eastAsia="zh-CN"/>
        </w:rPr>
        <w:t xml:space="preserve"> </w:t>
      </w:r>
    </w:p>
    <w:p w14:paraId="1A60D30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Transparenzanforderungen betreffen nicht nur die Wirkung selbst, sondern auch die Berichterstattung über finanzielle und nicht-finanzielle Ergebnisse. Projekte müssen regelmäßig Daten liefern, die zeigen, wie sich sowohl die sozialen Effekte als auch die wirtschaftlichen Ergebnisse entwickeln. Durch klare Berichte und nachvollziehbare Messwerte werden Projekte beurteilt und verglichen, was Entscheidungsprozesse erleichtert und Vertrauen zwischen Kapitalgebern und Empfängern schafft.</w:t>
      </w:r>
      <w:r>
        <w:rPr>
          <w:rStyle w:val="52"/>
          <w:rFonts w:hint="default" w:ascii="Times New Roman" w:hAnsi="Times New Roman" w:eastAsia="宋体" w:cs="Times New Roman"/>
          <w:lang w:val="de-DE" w:eastAsia="zh-CN"/>
        </w:rPr>
        <w:footnoteReference w:id="67"/>
      </w:r>
      <w:r>
        <w:rPr>
          <w:rFonts w:hint="default" w:ascii="Times New Roman" w:hAnsi="Times New Roman" w:eastAsia="宋体" w:cs="Times New Roman"/>
          <w:lang w:val="de-DE" w:eastAsia="zh-CN"/>
        </w:rPr>
        <w:t xml:space="preserve"> </w:t>
      </w:r>
    </w:p>
    <w:p w14:paraId="59B36D6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de-DE" w:eastAsia="zh-CN"/>
        </w:rPr>
        <w:t>Diese Verbindung von Renditeverständnis, sozialer Wirkung und Transparenz ist ein Kennzeichen von Impact Investing, das Projekte dazu zwingt, ihre Zielsetzungen konkret, messbar und offen darzustellen, bevor sie Zugang zu wirkungsorientierten Finanzierungen erhalten</w:t>
      </w:r>
      <w:r>
        <w:rPr>
          <w:rFonts w:hint="default" w:ascii="Times New Roman" w:hAnsi="Times New Roman" w:eastAsia="宋体" w:cs="Times New Roman"/>
          <w:lang w:val="en-US" w:eastAsia="zh-CN"/>
        </w:rPr>
        <w:t>.</w:t>
      </w:r>
      <w:r>
        <w:rPr>
          <w:rStyle w:val="52"/>
          <w:rFonts w:hint="default" w:ascii="Times New Roman" w:hAnsi="Times New Roman" w:eastAsia="宋体" w:cs="Times New Roman"/>
          <w:lang w:val="en-US" w:eastAsia="zh-CN"/>
        </w:rPr>
        <w:footnoteReference w:id="68"/>
      </w:r>
    </w:p>
    <w:p w14:paraId="0B6B815C">
      <w:pPr>
        <w:pStyle w:val="3"/>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en-US" w:eastAsia="zh-CN"/>
        </w:rPr>
      </w:pPr>
      <w:r>
        <w:rPr>
          <w:rFonts w:hint="default" w:ascii="Times New Roman" w:hAnsi="Times New Roman" w:cs="Times New Roman"/>
        </w:rPr>
        <w:br w:type="page"/>
      </w:r>
      <w:bookmarkStart w:id="33" w:name="_Toc9655"/>
      <w:r>
        <w:rPr>
          <w:rFonts w:hint="default" w:ascii="Times New Roman" w:hAnsi="Times New Roman" w:eastAsia="宋体" w:cs="Times New Roman"/>
          <w:lang w:val="de-DE" w:eastAsia="zh-CN"/>
        </w:rPr>
        <w:t>Impact Investing als renditeorientiertes Investmenttool</w:t>
      </w:r>
      <w:bookmarkEnd w:id="33"/>
    </w:p>
    <w:p w14:paraId="764B8F44">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de-DE" w:eastAsia="zh-CN"/>
        </w:rPr>
      </w:pPr>
      <w:bookmarkStart w:id="34" w:name="_Toc9661"/>
      <w:r>
        <w:rPr>
          <w:rFonts w:hint="default" w:ascii="Times New Roman" w:hAnsi="Times New Roman" w:eastAsia="宋体" w:cs="Times New Roman"/>
          <w:lang w:val="de-DE" w:eastAsia="zh-CN"/>
        </w:rPr>
        <w:t>Ökonomische und gesellschaftliche Begründung des Ansatzes</w:t>
      </w:r>
      <w:bookmarkEnd w:id="34"/>
      <w:r>
        <w:rPr>
          <w:rFonts w:hint="default" w:ascii="Times New Roman" w:hAnsi="Times New Roman" w:eastAsia="宋体" w:cs="Times New Roman"/>
          <w:lang w:val="de-DE" w:eastAsia="zh-CN"/>
        </w:rPr>
        <w:t xml:space="preserve"> </w:t>
      </w:r>
    </w:p>
    <w:p w14:paraId="06C8EE42">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35" w:name="_Toc1450"/>
      <w:r>
        <w:rPr>
          <w:rFonts w:hint="default" w:ascii="Times New Roman" w:hAnsi="Times New Roman" w:eastAsia="宋体" w:cs="Times New Roman"/>
          <w:lang w:val="de-DE" w:eastAsia="zh-CN"/>
        </w:rPr>
        <w:t>Markt- und Finanzierungsdefizite bei sozialen Projekten</w:t>
      </w:r>
      <w:bookmarkEnd w:id="35"/>
    </w:p>
    <w:p w14:paraId="285FF18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Viele soziale Projekte sehen sich mit erheblichen Herausforderungen bei der Finanzierung konfrontiert. Besonders kleine soziale Initiativen, die oft in lokalen Gemeinschaften verankert sind, haben häufig nur begrenzte finanzielle Mittel zur Verfügung. Diese Projekte zielen darauf ab, konkrete gesellschaftliche Probleme zu lösen, wie etwa den Zugang zu Bildung, Gesundheitsdiensten oder sozialen Dienstleistungen zu verbessern.</w:t>
      </w:r>
      <w:r>
        <w:rPr>
          <w:rStyle w:val="52"/>
          <w:rFonts w:hint="default" w:ascii="Times New Roman" w:hAnsi="Times New Roman" w:eastAsia="宋体" w:cs="Times New Roman"/>
          <w:lang w:val="de-DE" w:eastAsia="zh-CN"/>
        </w:rPr>
        <w:footnoteReference w:id="69"/>
      </w:r>
      <w:r>
        <w:rPr>
          <w:rFonts w:hint="default" w:ascii="Times New Roman" w:hAnsi="Times New Roman" w:eastAsia="宋体" w:cs="Times New Roman"/>
          <w:lang w:val="de-DE" w:eastAsia="zh-CN"/>
        </w:rPr>
        <w:t xml:space="preserve"> Doch obwohl der gesellschaftliche Nutzen solcher Projekte oft hoch ist, bleiben sie für traditionelle Investoren aufgrund ihrer begrenzten Skalierbarkeit und der damit verbundenen Risiken häufig unattraktiv.</w:t>
      </w:r>
      <w:r>
        <w:rPr>
          <w:rStyle w:val="52"/>
          <w:rFonts w:hint="default" w:ascii="Times New Roman" w:hAnsi="Times New Roman" w:eastAsia="宋体" w:cs="Times New Roman"/>
          <w:lang w:val="de-DE" w:eastAsia="zh-CN"/>
        </w:rPr>
        <w:footnoteReference w:id="70"/>
      </w:r>
    </w:p>
    <w:p w14:paraId="4665367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Klassische Finanzierungsquellen wie Banken oder institutionelle Investoren setzen bei der Vergabe von Krediten oder Kapital häufig hohe Anforderungen an Sicherheiten und eine Aussicht auf marktübliche Renditen. Für viele soziale Projekte ist es jedoch schwierig, diese Voraussetzungen zu erfüllen, da sie oft nicht über die finanziellen Rücklagen oder Werte verfügen, die von traditionellen Investoren gefordert werden. Zudem fehlt es in vielen Fällen an geeigneten Finanzinstrumenten, die die spezifischen Bedürfnisse sozialer Initiativen abdecken.</w:t>
      </w:r>
      <w:r>
        <w:rPr>
          <w:rStyle w:val="52"/>
          <w:rFonts w:hint="default" w:ascii="Times New Roman" w:hAnsi="Times New Roman" w:eastAsia="宋体" w:cs="Times New Roman"/>
          <w:lang w:val="de-DE" w:eastAsia="zh-CN"/>
        </w:rPr>
        <w:footnoteReference w:id="71"/>
      </w:r>
    </w:p>
    <w:p w14:paraId="3F485A2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Gleichzeitig werden soziale Projekte von öffentlichen Förderprogrammen häufig nur unzureichend unterstützt. Viele öffentliche Gelder sind stark reglementiert und in ihren Bedingungen auf bestimmte Projekte oder Zielgruppen beschränkt. Dadurch können viele Initiativen, die einen sozialen Mehrwert leisten möchten, keine ausreichende Unterstützung erhalten. Dieses Finanzierungsdefizit führt dazu, dass viele soziale Projekte entweder nur eingeschränkt oder gar nicht starten können.</w:t>
      </w:r>
      <w:r>
        <w:rPr>
          <w:rStyle w:val="52"/>
          <w:rFonts w:hint="default" w:ascii="Times New Roman" w:hAnsi="Times New Roman" w:eastAsia="宋体" w:cs="Times New Roman"/>
          <w:lang w:val="de-DE" w:eastAsia="zh-CN"/>
        </w:rPr>
        <w:footnoteReference w:id="72"/>
      </w:r>
    </w:p>
    <w:p w14:paraId="2C6A3EF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Finanzierungslücke betrifft nicht nur kleinere Organisationen, sondern auch größere, etablierte soziale Initiativen. Diese können zwar auf staatliche Mittel zugreifen, sind aber oft auf die Zusammenarbeit mit privaten Investoren angewiesen, um ihre Projekte auszuweiten oder neue Initiativen zu entwickeln. Die Kombination von Markt- und Finanzierungsdefiziten führt dazu, dass viele soziale Organisationen ihre Wirkung nicht maximieren können. Eine Lösung dieses Problems könnte in der Entwicklung neuer Finanzierungsmodelle wie Impact Investing liegen, das sowohl finanzielle als auch soziale Renditen in den Fokus stellt und eine breitere Kapitalbasis für soziale Projekte erschließen könnte.</w:t>
      </w:r>
      <w:r>
        <w:rPr>
          <w:rStyle w:val="52"/>
          <w:rFonts w:hint="default" w:ascii="Times New Roman" w:hAnsi="Times New Roman" w:eastAsia="宋体" w:cs="Times New Roman"/>
          <w:lang w:val="de-DE" w:eastAsia="zh-CN"/>
        </w:rPr>
        <w:footnoteReference w:id="73"/>
      </w:r>
    </w:p>
    <w:p w14:paraId="0AEBA85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41C6899B">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36" w:name="_Toc15891"/>
      <w:r>
        <w:rPr>
          <w:rFonts w:hint="default" w:ascii="Times New Roman" w:hAnsi="Times New Roman" w:eastAsia="宋体" w:cs="Times New Roman"/>
          <w:b/>
          <w:lang w:val="de-DE" w:eastAsia="zh-CN"/>
        </w:rPr>
        <w:t>Ökonomischer Mehrwert wirkungsorientierter Investitionen</w:t>
      </w:r>
      <w:bookmarkEnd w:id="36"/>
    </w:p>
    <w:p w14:paraId="5D9F0E5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Wirkungsorientierte Investitionen schaffen einen deutlichen ökonomischen Mehrwert, indem sie gezielt auf die Lösung gesellschaftlicher Herausforderungen ausgerichtet sind. Während traditionelle Investitionen in der Regel primär den finanziellen Gewinn maximieren wollen, berücksichtigen Impact Investments zusätzlich die sozialen und ökologischen Auswirkungen ihrer Kapitalverwendung. Dieser doppelte Fokus auf Rendite und Wirkung stellt eine vielversprechende Möglichkeit dar, gesellschaftliche Probleme durch private Investitionen zu adressieren.</w:t>
      </w:r>
      <w:r>
        <w:rPr>
          <w:rStyle w:val="52"/>
          <w:rFonts w:hint="default" w:ascii="Times New Roman" w:hAnsi="Times New Roman" w:eastAsia="宋体" w:cs="Times New Roman"/>
          <w:lang w:val="de-DE" w:eastAsia="zh-CN"/>
        </w:rPr>
        <w:footnoteReference w:id="74"/>
      </w:r>
    </w:p>
    <w:p w14:paraId="254F2065">
      <w:pPr>
        <w:pStyle w:val="16"/>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sz w:val="24"/>
          <w:szCs w:val="24"/>
          <w:lang w:val="de-DE" w:eastAsia="zh-CN"/>
        </w:rPr>
      </w:pPr>
      <w:r>
        <w:rPr>
          <w:sz w:val="24"/>
          <w:szCs w:val="24"/>
        </w:rPr>
        <w:t xml:space="preserve">Abbildung </w:t>
      </w:r>
      <w:r>
        <w:rPr>
          <w:sz w:val="24"/>
          <w:szCs w:val="24"/>
        </w:rPr>
        <w:fldChar w:fldCharType="begin"/>
      </w:r>
      <w:r>
        <w:rPr>
          <w:sz w:val="24"/>
          <w:szCs w:val="24"/>
        </w:rPr>
        <w:instrText xml:space="preserve"> SEQ Abbildung \* ARABIC </w:instrText>
      </w:r>
      <w:r>
        <w:rPr>
          <w:sz w:val="24"/>
          <w:szCs w:val="24"/>
        </w:rPr>
        <w:fldChar w:fldCharType="separate"/>
      </w:r>
      <w:r>
        <w:rPr>
          <w:sz w:val="24"/>
          <w:szCs w:val="24"/>
        </w:rPr>
        <w:t>3</w:t>
      </w:r>
      <w:r>
        <w:rPr>
          <w:sz w:val="24"/>
          <w:szCs w:val="24"/>
        </w:rPr>
        <w:fldChar w:fldCharType="end"/>
      </w:r>
      <w:bookmarkStart w:id="37" w:name="_Toc11377"/>
      <w:r>
        <w:rPr>
          <w:rFonts w:hint="default"/>
          <w:sz w:val="24"/>
          <w:szCs w:val="24"/>
          <w:lang w:val="de-DE"/>
        </w:rPr>
        <w:t>: Impact Investment Journey</w:t>
      </w:r>
      <w:bookmarkEnd w:id="37"/>
    </w:p>
    <w:p w14:paraId="2F75170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drawing>
          <wp:inline distT="0" distB="0" distL="114300" distR="114300">
            <wp:extent cx="5393690" cy="629920"/>
            <wp:effectExtent l="0" t="0" r="3810" b="508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7"/>
                    <a:stretch>
                      <a:fillRect/>
                    </a:stretch>
                  </pic:blipFill>
                  <pic:spPr>
                    <a:xfrm>
                      <a:off x="0" y="0"/>
                      <a:ext cx="5393690" cy="629920"/>
                    </a:xfrm>
                    <a:prstGeom prst="rect">
                      <a:avLst/>
                    </a:prstGeom>
                    <a:noFill/>
                    <a:ln>
                      <a:noFill/>
                    </a:ln>
                  </pic:spPr>
                </pic:pic>
              </a:graphicData>
            </a:graphic>
          </wp:inline>
        </w:drawing>
      </w:r>
    </w:p>
    <w:p w14:paraId="4C7C933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sz w:val="20"/>
          <w:szCs w:val="20"/>
          <w:lang w:val="de-DE" w:eastAsia="zh-CN"/>
        </w:rPr>
      </w:pPr>
      <w:r>
        <w:rPr>
          <w:rFonts w:hint="default" w:ascii="Times New Roman" w:hAnsi="Times New Roman" w:eastAsia="宋体" w:cs="Times New Roman"/>
          <w:sz w:val="20"/>
          <w:szCs w:val="20"/>
          <w:lang w:val="de-DE" w:eastAsia="zh-CN"/>
        </w:rPr>
        <w:t xml:space="preserve">Quelle: In Anlehnung an </w:t>
      </w:r>
      <w:r>
        <w:rPr>
          <w:rFonts w:hint="default" w:ascii="Times New Roman" w:hAnsi="Times New Roman" w:cs="Times New Roman"/>
          <w:i/>
          <w:iCs/>
          <w:sz w:val="20"/>
          <w:szCs w:val="20"/>
          <w:lang w:val="de-DE" w:eastAsia="zh-CN"/>
        </w:rPr>
        <w:t xml:space="preserve">Wendt, K., </w:t>
      </w:r>
      <w:r>
        <w:rPr>
          <w:rFonts w:hint="default" w:ascii="Times New Roman" w:hAnsi="Times New Roman" w:cs="Times New Roman"/>
          <w:sz w:val="20"/>
          <w:szCs w:val="20"/>
          <w:lang w:val="de-DE" w:eastAsia="zh-CN"/>
        </w:rPr>
        <w:t>Investing for Impact, 2021, S. 294.</w:t>
      </w:r>
    </w:p>
    <w:p w14:paraId="3C4AE23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Abbildung 3 stellt den „Impact Investment Journey“ dar, einen fortlaufenden Prozess, der sich in vier Phasen gliedert. Jede Phase zeigt eine zunehmende Fokussierung auf die sozialen und ökologischen Auswirkungen von Investitionen.</w:t>
      </w:r>
      <w:r>
        <w:rPr>
          <w:rStyle w:val="52"/>
          <w:rFonts w:hint="default" w:ascii="Times New Roman" w:hAnsi="Times New Roman" w:eastAsia="宋体" w:cs="Times New Roman"/>
          <w:lang w:val="de-DE" w:eastAsia="zh-CN"/>
        </w:rPr>
        <w:footnoteReference w:id="75"/>
      </w:r>
      <w:r>
        <w:rPr>
          <w:rFonts w:hint="default" w:ascii="Times New Roman" w:hAnsi="Times New Roman" w:eastAsia="宋体" w:cs="Times New Roman"/>
          <w:lang w:val="de-DE" w:eastAsia="zh-CN"/>
        </w:rPr>
        <w:t xml:space="preserve"> Zunächst liegt der Fokus auf „Responsible Investment“, bei dem ethische Prinzipien berücksichtigt werden. In der zweiten Phase, „Sustainable Investment“, wird neben finanziellen Renditen auch ein positiver sozialer oder ökologischer Nutzen angestrebt. In der dritten Phase, „Thematic Investment“, geht es um Investitionen in spezifische Sektoren. In der letzten Phase, „Impact First Investment“, steht der soziale oder ökologische Effekt im Vordergrund.</w:t>
      </w:r>
    </w:p>
    <w:p w14:paraId="6535D5E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wesentlicher ökonomischer Mehrwert liegt in der langfristigen Verbesserung von Lebensbedingungen, die durch Impact Investments gefördert werden. Investitionen in Bereiche wie Bildung, Gesundheit oder die Förderung von Arbeitsplätzen für benachteiligte Gruppen tragen nicht nur zur sozialen Stabilität bei, sondern haben auch positive Effekte auf die lokale Wirtschaft.</w:t>
      </w:r>
      <w:r>
        <w:rPr>
          <w:rStyle w:val="52"/>
          <w:rFonts w:hint="default" w:ascii="Times New Roman" w:hAnsi="Times New Roman" w:eastAsia="宋体" w:cs="Times New Roman"/>
          <w:lang w:val="de-DE" w:eastAsia="zh-CN"/>
        </w:rPr>
        <w:footnoteReference w:id="76"/>
      </w:r>
      <w:r>
        <w:rPr>
          <w:rFonts w:hint="default" w:ascii="Times New Roman" w:hAnsi="Times New Roman" w:eastAsia="宋体" w:cs="Times New Roman"/>
          <w:lang w:val="de-DE" w:eastAsia="zh-CN"/>
        </w:rPr>
        <w:t xml:space="preserve"> So können etwa Investitionen in Bildungsprogramme zu einer höheren Qualifikation der Arbeitskräfte führen, was langfristig zu einer Steigerung der Produktivität und Wettbewerbsfähigkeit in einer Region beiträgt. Ähnliche Effekte zeigen sich bei Investitionen in den Zugang zu Finanzdienstleistungen, die es Unternehmern und Kleinunternehmen ermöglichen, zu wachsen und Arbeitsplätze zu schaffen.</w:t>
      </w:r>
      <w:r>
        <w:rPr>
          <w:rStyle w:val="52"/>
          <w:rFonts w:hint="default" w:ascii="Times New Roman" w:hAnsi="Times New Roman" w:eastAsia="宋体" w:cs="Times New Roman"/>
          <w:lang w:val="de-DE" w:eastAsia="zh-CN"/>
        </w:rPr>
        <w:footnoteReference w:id="77"/>
      </w:r>
    </w:p>
    <w:p w14:paraId="5CBDD35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Darüber hinaus bieten Impact Investments die Möglichkeit, Marktverzerrungen zu korrigieren und strukturelle Defizite zu beheben. In vielen Entwicklungsregionen ist der Zugang zu Finanzierungsmöglichkeiten stark eingeschränkt, was zu einem Teufelskreis aus Armut und mangelnder Entwicklung führt.</w:t>
      </w:r>
      <w:r>
        <w:rPr>
          <w:rStyle w:val="52"/>
          <w:rFonts w:hint="default" w:ascii="Times New Roman" w:hAnsi="Times New Roman" w:eastAsia="宋体" w:cs="Times New Roman"/>
          <w:lang w:val="de-DE" w:eastAsia="zh-CN"/>
        </w:rPr>
        <w:footnoteReference w:id="78"/>
      </w:r>
      <w:r>
        <w:rPr>
          <w:rFonts w:hint="default" w:ascii="Times New Roman" w:hAnsi="Times New Roman" w:eastAsia="宋体" w:cs="Times New Roman"/>
          <w:lang w:val="de-DE" w:eastAsia="zh-CN"/>
        </w:rPr>
        <w:t xml:space="preserve"> Durch zielgerichtete Investitionen können Märkte in diesen Regionen stimuliert und nachhaltige wirtschaftliche Entwicklung gefördert werden. Besonders wichtig ist hierbei die Schaffung von sozialen Innovationen, die traditionelle Geschäftsmodelle herausfordern und neue Lösungen für drängende gesellschaftliche Probleme anbieten.</w:t>
      </w:r>
      <w:r>
        <w:rPr>
          <w:rStyle w:val="52"/>
          <w:rFonts w:hint="default" w:ascii="Times New Roman" w:hAnsi="Times New Roman" w:eastAsia="宋体" w:cs="Times New Roman"/>
          <w:lang w:val="de-DE" w:eastAsia="zh-CN"/>
        </w:rPr>
        <w:footnoteReference w:id="79"/>
      </w:r>
    </w:p>
    <w:p w14:paraId="29B2111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wirtschaftlichen Vorteile von Impact Investing lassen sich auch in Bezug auf Risikomanagement und Diversifikation betrachten. Indem Investoren in Projekte mit einem klaren sozialen Fokus investieren, können sie ihr Portfolio diversifizieren und gleichzeitig von der langfristigen Stabilität profitieren, die oft mit positiven sozialen Effekten verbunden ist. Es gibt zahlreiche Belege dafür, dass nachhaltige Investitionen im Vergleich zu rein gewinnorientierten Investitionen langfristig stabile und oft sogar höhere Renditen erzielen können.</w:t>
      </w:r>
      <w:r>
        <w:rPr>
          <w:rStyle w:val="52"/>
          <w:rFonts w:hint="default" w:ascii="Times New Roman" w:hAnsi="Times New Roman" w:eastAsia="宋体" w:cs="Times New Roman"/>
          <w:lang w:val="de-DE" w:eastAsia="zh-CN"/>
        </w:rPr>
        <w:footnoteReference w:id="80"/>
      </w:r>
    </w:p>
    <w:p w14:paraId="28C15F16">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38" w:name="_Toc25530"/>
      <w:r>
        <w:rPr>
          <w:rFonts w:hint="default" w:ascii="Times New Roman" w:hAnsi="Times New Roman" w:eastAsia="宋体" w:cs="Times New Roman"/>
          <w:b/>
          <w:lang w:val="de-DE" w:eastAsia="zh-CN"/>
        </w:rPr>
        <w:t>Bedeutung für die Finanzierung kleiner sozialer Projekte</w:t>
      </w:r>
      <w:bookmarkEnd w:id="38"/>
    </w:p>
    <w:p w14:paraId="78CD1C7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Finanzierung kleiner sozialer Projekte durch Impact Investing bietet eine entscheidende Chance, deren Wirkung und Nachhaltigkeit zu steigern. Diese Projekte sind häufig nicht in der Lage, auf traditionelle Finanzierungsquellen wie Bankkredite oder Venture Capital zurückzugreifen, da sie weder über die erforderlichen Sicherheiten noch die Aussicht auf hohe Renditen verfügen. Impact Investing füllt diese Lücke, indem es Kapital für soziale Projekte bereitstellt, das sowohl auf soziale Wirkung als auch auf wirtschaftliche Rentabilität ausgerichtet ist.</w:t>
      </w:r>
      <w:r>
        <w:rPr>
          <w:rStyle w:val="52"/>
          <w:rFonts w:hint="default" w:ascii="Times New Roman" w:hAnsi="Times New Roman" w:eastAsia="宋体" w:cs="Times New Roman"/>
          <w:lang w:val="de-DE" w:eastAsia="zh-CN"/>
        </w:rPr>
        <w:footnoteReference w:id="81"/>
      </w:r>
    </w:p>
    <w:p w14:paraId="19AEA03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Für kleine soziale Projekte bedeutet die Möglichkeit, Impact-Investoren zu gewinnen, eine Chance zur Skalierung ihrer Aktivitäten und zur Erweiterung ihres sozialen Einflusses. Viele dieser Projekte haben oft innovative Ansätze zur Lösung gesellschaftlicher Probleme, wie etwa im Bereich der Armutsbekämpfung oder der Gesundheitsversorgung. Doch ohne ausreichende finanzielle Mittel ist es schwierig, diese Ideen in größerem Umfang umzusetzen. Impact Investing bietet eine Brücke zwischen den begrenzten Ressourcen dieser Projekte und den Bedürfnissen der breiteren Gesellschaft, indem es Investoren anspricht, die bereit sind, in soziale Veränderungen zu investieren, ohne ausschließlich auf traditionelle Renditen zu fokussieren.</w:t>
      </w:r>
      <w:r>
        <w:rPr>
          <w:rStyle w:val="52"/>
          <w:rFonts w:hint="default" w:ascii="Times New Roman" w:hAnsi="Times New Roman" w:eastAsia="宋体" w:cs="Times New Roman"/>
          <w:lang w:val="de-DE" w:eastAsia="zh-CN"/>
        </w:rPr>
        <w:footnoteReference w:id="82"/>
      </w:r>
    </w:p>
    <w:p w14:paraId="5C66F5F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Zudem ermöglicht Impact Investing den Projekten, eine nachhaltige Finanzierungsstruktur zu entwickeln, die nicht nur auf einmalige Spenden angewiesen ist, sondern kontinuierliche Investitionen in die Projektumsetzung ermöglicht. Dies fördert die langfristige Planung und die Entwicklung von Geschäftsmodellen, die es den Projekten ermöglichen, auch über die initiale Finanzierungsrunde hinaus zu wachsen. Der Zugang zu Impact-Investitionen erleichtert es auch, langfristige Partnerschaften mit Investoren, sozialen Organisationen und öffentlichen Institutionen aufzubauen, was wiederum zu einer stabileren Finanzierung und besseren Umsetzung der Projektziele führt.</w:t>
      </w:r>
      <w:r>
        <w:rPr>
          <w:rStyle w:val="52"/>
          <w:rFonts w:hint="default" w:ascii="Times New Roman" w:hAnsi="Times New Roman" w:eastAsia="宋体" w:cs="Times New Roman"/>
          <w:lang w:val="de-DE" w:eastAsia="zh-CN"/>
        </w:rPr>
        <w:footnoteReference w:id="83"/>
      </w:r>
    </w:p>
    <w:p w14:paraId="6C4FDEF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0743E568">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de-DE" w:eastAsia="zh-CN"/>
        </w:rPr>
      </w:pPr>
      <w:bookmarkStart w:id="39" w:name="_Toc16333"/>
      <w:r>
        <w:rPr>
          <w:rFonts w:hint="default" w:ascii="Times New Roman" w:hAnsi="Times New Roman" w:eastAsia="宋体" w:cs="Times New Roman"/>
          <w:lang w:val="de-DE" w:eastAsia="zh-CN"/>
        </w:rPr>
        <w:t>Renditeorientierte Finanzierungsinstrumente im Impact Investing</w:t>
      </w:r>
      <w:bookmarkEnd w:id="39"/>
    </w:p>
    <w:p w14:paraId="1568E4C4">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0" w:name="_Toc22382"/>
      <w:r>
        <w:rPr>
          <w:rFonts w:hint="default" w:ascii="Times New Roman" w:hAnsi="Times New Roman" w:eastAsia="宋体" w:cs="Times New Roman"/>
          <w:b/>
          <w:lang w:val="de-DE" w:eastAsia="zh-CN"/>
        </w:rPr>
        <w:t>Eigenkapitalbasierte Impact-Investments</w:t>
      </w:r>
      <w:bookmarkEnd w:id="40"/>
    </w:p>
    <w:p w14:paraId="73518E5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Eigenkapitalbasierte Impact-Investments umfassen Investitionen in soziale Unternehmen oder Organisationen, die darauf abzielen, sowohl finanziellen Ertrag zu erzielen als auch eine messbare soziale oder ökologische Wirkung zu entfalten. Diese Art von Investitionen ermöglicht es Investoren, am Wachstum und Erfolg der Organisation zu partizipieren, während gleichzeitig der soziale Auftrag der Organisation gefördert wird.</w:t>
      </w:r>
      <w:r>
        <w:rPr>
          <w:rStyle w:val="52"/>
          <w:rFonts w:hint="default" w:ascii="Times New Roman" w:hAnsi="Times New Roman" w:cs="Times New Roman"/>
          <w:lang w:val="de-DE" w:eastAsia="zh-CN"/>
        </w:rPr>
        <w:footnoteReference w:id="84"/>
      </w:r>
      <w:r>
        <w:rPr>
          <w:rFonts w:hint="default" w:ascii="Times New Roman" w:hAnsi="Times New Roman" w:eastAsia="宋体" w:cs="Times New Roman"/>
          <w:lang w:val="de-DE" w:eastAsia="zh-CN"/>
        </w:rPr>
        <w:t xml:space="preserve"> Bei Investitionen zu Marktkonditionen, wie zum Beispiel Einlagen bei alternativen Banken oder Beteiligungen an Sozialunternehmen, wird das Kapital den allgemeinen Marktbedingungen unterworfen. Dies bedeutet, dass die Renditeerwartungen den finanziellen Rahmen des Marktes widerspiegeln und Investoren mit den üblichen Marktrisiken konfrontiert werden.</w:t>
      </w:r>
      <w:r>
        <w:rPr>
          <w:rStyle w:val="52"/>
          <w:rFonts w:hint="default" w:ascii="Times New Roman" w:hAnsi="Times New Roman" w:eastAsia="宋体" w:cs="Times New Roman"/>
          <w:lang w:val="de-DE" w:eastAsia="zh-CN"/>
        </w:rPr>
        <w:footnoteReference w:id="85"/>
      </w:r>
    </w:p>
    <w:p w14:paraId="359444F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In einigen Fällen, wie beispielsweise bei der Beteiligung an Sozialunternehmen, profitieren Investoren von Sonderkonditionen, wie etwa einem vergünstigten Mietzins für eine Liegenschaft, die vollständig der Stiftung gehört. Solche Modelle ermöglichen es den sozialen Unternehmen, zu niedrigeren Betriebskosten zu arbeiten und ihre Mittel gezielt für den sozialen Zweck einzusetzen, während Investoren weiterhin finanziellen Ertrag erzielen können.</w:t>
      </w:r>
      <w:r>
        <w:rPr>
          <w:rStyle w:val="52"/>
          <w:rFonts w:hint="default" w:ascii="Times New Roman" w:hAnsi="Times New Roman" w:eastAsia="宋体" w:cs="Times New Roman"/>
          <w:lang w:val="de-DE" w:eastAsia="zh-CN"/>
        </w:rPr>
        <w:footnoteReference w:id="86"/>
      </w:r>
      <w:r>
        <w:rPr>
          <w:rFonts w:hint="default" w:ascii="Times New Roman" w:hAnsi="Times New Roman" w:eastAsia="宋体" w:cs="Times New Roman"/>
          <w:lang w:val="de-DE" w:eastAsia="zh-CN"/>
        </w:rPr>
        <w:t xml:space="preserve"> Der Fokus liegt dabei auf einer Balance zwischen sozialer Wirkung und finanziellen Rückflüssen, was eine attraktive Möglichkeit für Investoren darstellt, die sowohl eine gesellschaftliche Veränderung bewirken als auch ein gewisses Maß an finanzieller Rendite erzielen möchten.</w:t>
      </w:r>
      <w:r>
        <w:rPr>
          <w:rStyle w:val="52"/>
          <w:rFonts w:hint="default" w:ascii="Times New Roman" w:hAnsi="Times New Roman" w:eastAsia="宋体" w:cs="Times New Roman"/>
          <w:lang w:val="de-DE" w:eastAsia="zh-CN"/>
        </w:rPr>
        <w:footnoteReference w:id="87"/>
      </w:r>
    </w:p>
    <w:p w14:paraId="255E3A6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zentrales Merkmal dieser Investitionen ist der Kapitalerhalt. Dieser wird häufig durch Garantien für Sozialunternehmen oder Non-Profit-Organisationen (NPO) gesichert. Solche Garantien reduzieren das Risiko für Investoren und gewährleisten, dass das investierte Kapital im Falle von Verlusten geschützt ist. Dieses Modell fördert das Vertrauen in soziale Projekte und erleichtert den Zugang zu Kapital, das für die Umsetzung sozialer Projekte benötigt wird. Gleichzeitig sorgt die Eigenkapitalbeteiligung dafür, dass die Unternehmen genug finanzielle Ressourcen erhalten, um ihre langfristigen Ziele zu erreichen, ohne ihre soziale Mission zu gefährden.</w:t>
      </w:r>
      <w:r>
        <w:rPr>
          <w:rStyle w:val="52"/>
          <w:rFonts w:hint="default" w:ascii="Times New Roman" w:hAnsi="Times New Roman" w:eastAsia="宋体" w:cs="Times New Roman"/>
          <w:lang w:val="de-DE" w:eastAsia="zh-CN"/>
        </w:rPr>
        <w:footnoteReference w:id="88"/>
      </w:r>
    </w:p>
    <w:p w14:paraId="479140A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b/>
          <w:lang w:val="de-DE" w:eastAsia="zh-CN"/>
        </w:rPr>
      </w:pPr>
    </w:p>
    <w:p w14:paraId="79DCEBEA">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1" w:name="_Toc5169"/>
      <w:r>
        <w:rPr>
          <w:rFonts w:hint="default" w:ascii="Times New Roman" w:hAnsi="Times New Roman" w:eastAsia="宋体" w:cs="Times New Roman"/>
          <w:b/>
          <w:lang w:val="de-DE" w:eastAsia="zh-CN"/>
        </w:rPr>
        <w:t>Fremdkapitalinstrumente und hybride Finanzierungsformen</w:t>
      </w:r>
      <w:bookmarkEnd w:id="41"/>
    </w:p>
    <w:p w14:paraId="430C7B8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Fremdkapitalinstrumente und hybride Finanzierungsformen stellen eine bedeutende Möglichkeit für Impact-Investoren dar, die mit sozialen Projekten zusammenarbeiten möchten, ohne direkt Eigenkapital zu investieren. Diese Finanzierungsinstrumente umfassen Kredite und Anleihen, die entweder zu Marktkonditionen oder zu vorteilhafteren Konditionen angeboten werden, um den sozialen Sektor zu unterstützen.</w:t>
      </w:r>
      <w:r>
        <w:rPr>
          <w:rStyle w:val="52"/>
          <w:rFonts w:hint="default" w:ascii="Times New Roman" w:hAnsi="Times New Roman" w:eastAsia="宋体" w:cs="Times New Roman"/>
          <w:lang w:val="de-DE" w:eastAsia="zh-CN"/>
        </w:rPr>
        <w:footnoteReference w:id="89"/>
      </w:r>
    </w:p>
    <w:p w14:paraId="45F62461">
      <w:pPr>
        <w:pStyle w:val="16"/>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sz w:val="24"/>
          <w:szCs w:val="24"/>
          <w:lang w:val="en-US" w:eastAsia="zh-CN"/>
        </w:rPr>
      </w:pPr>
      <w:r>
        <w:rPr>
          <w:sz w:val="24"/>
          <w:szCs w:val="24"/>
        </w:rPr>
        <w:t xml:space="preserve">Tabelle </w:t>
      </w:r>
      <w:r>
        <w:rPr>
          <w:sz w:val="24"/>
          <w:szCs w:val="24"/>
        </w:rPr>
        <w:fldChar w:fldCharType="begin"/>
      </w:r>
      <w:r>
        <w:rPr>
          <w:sz w:val="24"/>
          <w:szCs w:val="24"/>
        </w:rPr>
        <w:instrText xml:space="preserve"> SEQ Tabelle \* ARABIC </w:instrText>
      </w:r>
      <w:r>
        <w:rPr>
          <w:sz w:val="24"/>
          <w:szCs w:val="24"/>
        </w:rPr>
        <w:fldChar w:fldCharType="separate"/>
      </w:r>
      <w:r>
        <w:rPr>
          <w:sz w:val="24"/>
          <w:szCs w:val="24"/>
        </w:rPr>
        <w:t>1</w:t>
      </w:r>
      <w:r>
        <w:rPr>
          <w:sz w:val="24"/>
          <w:szCs w:val="24"/>
        </w:rPr>
        <w:fldChar w:fldCharType="end"/>
      </w:r>
      <w:bookmarkStart w:id="42" w:name="_Toc5880"/>
      <w:r>
        <w:rPr>
          <w:rFonts w:hint="eastAsia"/>
          <w:sz w:val="24"/>
          <w:szCs w:val="24"/>
          <w:lang w:val="en-US" w:eastAsia="zh-CN"/>
        </w:rPr>
        <w:t xml:space="preserve">: </w:t>
      </w:r>
      <w:r>
        <w:rPr>
          <w:rFonts w:hint="default" w:ascii="Times New Roman" w:hAnsi="Times New Roman" w:eastAsia="宋体" w:cs="Times New Roman"/>
          <w:sz w:val="24"/>
          <w:szCs w:val="24"/>
          <w:lang w:val="de-DE" w:eastAsia="zh-CN"/>
        </w:rPr>
        <w:t>Arten von Impact-Investment-Instrumenten</w:t>
      </w:r>
      <w:bookmarkEnd w:id="42"/>
    </w:p>
    <w:p w14:paraId="7B80743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drawing>
          <wp:inline distT="0" distB="0" distL="114300" distR="114300">
            <wp:extent cx="5391785" cy="2790825"/>
            <wp:effectExtent l="0" t="0" r="571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tretch>
                      <a:fillRect/>
                    </a:stretch>
                  </pic:blipFill>
                  <pic:spPr>
                    <a:xfrm>
                      <a:off x="0" y="0"/>
                      <a:ext cx="5391785" cy="2790825"/>
                    </a:xfrm>
                    <a:prstGeom prst="rect">
                      <a:avLst/>
                    </a:prstGeom>
                    <a:noFill/>
                    <a:ln>
                      <a:noFill/>
                    </a:ln>
                  </pic:spPr>
                </pic:pic>
              </a:graphicData>
            </a:graphic>
          </wp:inline>
        </w:drawing>
      </w:r>
    </w:p>
    <w:p w14:paraId="34ECD95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sz w:val="20"/>
          <w:szCs w:val="20"/>
          <w:lang w:val="en-US" w:eastAsia="zh-CN"/>
        </w:rPr>
      </w:pPr>
      <w:r>
        <w:rPr>
          <w:rFonts w:hint="eastAsia" w:ascii="Times New Roman" w:hAnsi="Times New Roman" w:eastAsia="宋体" w:cs="Times New Roman"/>
          <w:sz w:val="20"/>
          <w:szCs w:val="20"/>
          <w:lang w:val="en-US" w:eastAsia="zh-CN"/>
        </w:rPr>
        <w:t xml:space="preserve">Quelle: In Anlehnung an </w:t>
      </w:r>
      <w:r>
        <w:rPr>
          <w:rFonts w:hint="default" w:ascii="Times New Roman" w:hAnsi="Times New Roman" w:cs="Times New Roman"/>
          <w:i/>
          <w:iCs/>
          <w:sz w:val="20"/>
          <w:szCs w:val="20"/>
          <w:highlight w:val="none"/>
          <w:lang w:val="de-DE" w:eastAsia="zh-CN"/>
        </w:rPr>
        <w:t xml:space="preserve">von Schnurbein, G., </w:t>
      </w:r>
      <w:r>
        <w:rPr>
          <w:rFonts w:hint="default" w:ascii="Times New Roman" w:hAnsi="Times New Roman" w:cs="Times New Roman"/>
          <w:sz w:val="20"/>
          <w:szCs w:val="20"/>
          <w:highlight w:val="none"/>
          <w:lang w:val="de-DE" w:eastAsia="zh-CN"/>
        </w:rPr>
        <w:t>Finanzmanagement, 2023, S. 323.</w:t>
      </w:r>
    </w:p>
    <w:p w14:paraId="7374637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Die Tabelle </w:t>
      </w:r>
      <w:r>
        <w:rPr>
          <w:rFonts w:hint="eastAsia" w:ascii="Times New Roman" w:hAnsi="Times New Roman" w:eastAsia="宋体" w:cs="Times New Roman"/>
          <w:lang w:val="en-US" w:eastAsia="zh-CN"/>
        </w:rPr>
        <w:t xml:space="preserve">1 </w:t>
      </w:r>
      <w:r>
        <w:rPr>
          <w:rFonts w:hint="default" w:ascii="Times New Roman" w:hAnsi="Times New Roman" w:eastAsia="宋体" w:cs="Times New Roman"/>
          <w:lang w:val="de-DE" w:eastAsia="zh-CN"/>
        </w:rPr>
        <w:t>zeigt drei verschiedene Arten von Impact-Investment-Instrumenten: Eigenkapital, Fremdkapital/Kredit und Mischformen. Sie listet jeweils die Unterschiede in den Kategorien Marktkonditionen, Unter Marktkonditionen und Kapitalerhalt auf.</w:t>
      </w:r>
      <w:r>
        <w:rPr>
          <w:rStyle w:val="52"/>
          <w:rFonts w:hint="default" w:ascii="Times New Roman" w:hAnsi="Times New Roman" w:eastAsia="宋体" w:cs="Times New Roman"/>
          <w:lang w:val="de-DE" w:eastAsia="zh-CN"/>
        </w:rPr>
        <w:footnoteReference w:id="90"/>
      </w:r>
    </w:p>
    <w:p w14:paraId="5CC7D9E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 den Fremdkapitalinstrumenten, die zu Marktkonditionen angeboten werden, gehören etwa Obligationen nachhaltiger Unternehmen oder Kredite an Sozialunternehmen. Diese Instrumente ermöglichen es den Investoren, in den finanziellen Erfolg eines Unternehmens zu investieren, wobei sie jedoch auch an den Marktrisiken teilnehmen. In einigen Fällen werden Kredite unter günstigeren Bedingungen angeboten, etwa in Form zinsloser Darlehen mit Inflationsausgleich.</w:t>
      </w:r>
      <w:r>
        <w:rPr>
          <w:rStyle w:val="52"/>
          <w:rFonts w:hint="default" w:ascii="Times New Roman" w:hAnsi="Times New Roman" w:eastAsia="宋体" w:cs="Times New Roman"/>
          <w:lang w:val="de-DE" w:eastAsia="zh-CN"/>
        </w:rPr>
        <w:footnoteReference w:id="91"/>
      </w:r>
      <w:r>
        <w:rPr>
          <w:rFonts w:hint="default" w:ascii="Times New Roman" w:hAnsi="Times New Roman" w:eastAsia="宋体" w:cs="Times New Roman"/>
          <w:lang w:val="de-DE" w:eastAsia="zh-CN"/>
        </w:rPr>
        <w:t xml:space="preserve"> Diese Kredite bieten den Sozialunternehmen die notwendige Liquidität, ohne dass die Kreditnehmer zu hohe Zinsen zahlen müssen. Eine weitere Möglichkeit für Fremdkapital im Bereich Impact Investing ist der Social Impact Bond (SIB), bei dem Investoren Kapital bereitstellen, um soziale Projekte zu finanzieren, die nur bei erfolgreicher Umsetzung von vereinbarten Zielen eine Rückzahlung und Ertrag bieten.</w:t>
      </w:r>
      <w:r>
        <w:rPr>
          <w:rStyle w:val="52"/>
          <w:rFonts w:hint="default" w:ascii="Times New Roman" w:hAnsi="Times New Roman" w:eastAsia="宋体" w:cs="Times New Roman"/>
          <w:lang w:val="de-DE" w:eastAsia="zh-CN"/>
        </w:rPr>
        <w:footnoteReference w:id="92"/>
      </w:r>
    </w:p>
    <w:p w14:paraId="7D7AF15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Hybride Finanzierungsformen kombinieren sowohl Fremd- als auch Eigenkapital und schaffen so eine flexiblere Kapitalstruktur, die den Bedürfnissen von sozialen Projekten besser gerecht wird. Beispiele für solche Instrumente sind Mikrokreditfonds oder Klimaanleihen (Green Bonds). Diese Finanzierungsmodelle bieten Investoren die Möglichkeit, sich sowohl an der finanziellen Rentabilität als auch an den sozialen Zielen eines Projekts zu beteiligen.</w:t>
      </w:r>
      <w:r>
        <w:rPr>
          <w:rStyle w:val="52"/>
          <w:rFonts w:hint="default" w:ascii="Times New Roman" w:hAnsi="Times New Roman" w:eastAsia="宋体" w:cs="Times New Roman"/>
          <w:lang w:val="de-DE" w:eastAsia="zh-CN"/>
        </w:rPr>
        <w:footnoteReference w:id="93"/>
      </w:r>
      <w:r>
        <w:rPr>
          <w:rFonts w:hint="default" w:ascii="Times New Roman" w:hAnsi="Times New Roman" w:eastAsia="宋体" w:cs="Times New Roman"/>
          <w:lang w:val="de-DE" w:eastAsia="zh-CN"/>
        </w:rPr>
        <w:t xml:space="preserve"> In bestimmten Fällen werden auch Instrumente wie Convertible Loans (wandlungsfähige Kredite) für Start-ups genutzt, die es Investoren ermöglichen, ihre Fremdkapitalinvestition später in Eigenkapital zu wandeln. Eine weitere hybride Finanzierungsform ist die Beteiligung an und gleichzeitig Förderung einer gemeinnützigen AG, die es den Investoren ermöglicht, von einem finanziellen Gewinnpotenzial zu profitieren, während die gemeinnützigen Ziele weiterhin im Fokus bleiben.</w:t>
      </w:r>
      <w:r>
        <w:rPr>
          <w:rStyle w:val="52"/>
          <w:rFonts w:hint="default" w:ascii="Times New Roman" w:hAnsi="Times New Roman" w:eastAsia="宋体" w:cs="Times New Roman"/>
          <w:lang w:val="de-DE" w:eastAsia="zh-CN"/>
        </w:rPr>
        <w:footnoteReference w:id="94"/>
      </w:r>
    </w:p>
    <w:p w14:paraId="4AC7BA7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2AA6248E">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3" w:name="_Toc32097"/>
      <w:r>
        <w:rPr>
          <w:rFonts w:hint="default" w:ascii="Times New Roman" w:hAnsi="Times New Roman" w:eastAsia="宋体" w:cs="Times New Roman"/>
          <w:b/>
          <w:lang w:val="de-DE" w:eastAsia="zh-CN"/>
        </w:rPr>
        <w:t>Ergebnisbasierte Finanzierungsmodelle</w:t>
      </w:r>
      <w:bookmarkEnd w:id="43"/>
    </w:p>
    <w:p w14:paraId="7B199D8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Ergebnisbasierte Finanzierungsmodelle bieten eine interessante Möglichkeit für Impact-Investoren, Kapital bereitzustellen, das direkt mit messbaren Ergebnissen verbunden ist. In diesem Modell wird das Kapital nicht im Voraus gewährt, sondern basierend auf den erzielten Ergebnissen ausgezahlt. Ein Beispiel für ein solches Modell ist das sogenannte „Development Impact Bond“ (DIB), bei dem Investoren nur dann eine Rückzahlung erhalten, wenn ein Projekt bestimmte soziale oder ökologische Ziele erreicht.</w:t>
      </w:r>
      <w:r>
        <w:rPr>
          <w:rStyle w:val="52"/>
          <w:rFonts w:hint="default" w:ascii="Times New Roman" w:hAnsi="Times New Roman" w:eastAsia="宋体" w:cs="Times New Roman"/>
          <w:lang w:val="de-DE" w:eastAsia="zh-CN"/>
        </w:rPr>
        <w:footnoteReference w:id="95"/>
      </w:r>
    </w:p>
    <w:p w14:paraId="5C16352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Idee hinter ergebnisbasierten Modellen ist, dass Investitionen gezielt in Projekte fließen, deren Wirkung klar messbar und nachvollziehbar ist. Damit können Investoren sicherstellen, dass ihre Mittel effektiv und effizient eingesetzt werden, um tatsächlich einen positiven sozialen oder ökologischen Wandel zu bewirken. Für Organisationen, die solche Modelle nutzen, bedeutet dies, dass sie sich auf die Ergebnisse konzentrieren müssen und eine klare Strategie zur Wirkungsmessung entwickeln müssen.</w:t>
      </w:r>
      <w:r>
        <w:rPr>
          <w:rStyle w:val="52"/>
          <w:rFonts w:hint="default" w:ascii="Times New Roman" w:hAnsi="Times New Roman" w:eastAsia="宋体" w:cs="Times New Roman"/>
          <w:lang w:val="de-DE" w:eastAsia="zh-CN"/>
        </w:rPr>
        <w:footnoteReference w:id="96"/>
      </w:r>
    </w:p>
    <w:p w14:paraId="203B65F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Für kleinere soziale Projekte stellt das ergebnisbasierte Modell eine attraktive Möglichkeit dar, Kapital zu erhalten, das auf ihre tatsächliche Leistung angewendet wird. Diese Art der Finanzierung hilft, den Fokus auf die sozialen Auswirkungen zu lenken und gleichzeitig die Transparenz und Rechenschaftspflicht zu erhöhen. Allerdings gibt es auch Herausforderungen, vor allem in Bezug auf die Messbarkeit und die Definition von Ergebnissen. Nicht jedes soziale Projekt lässt sich einfach quantifizieren, und daher müssen die Ergebnisse in viele Fällen kreativ und genau definiert werden, um die Auszahlungen zu gewährleisten.</w:t>
      </w:r>
      <w:r>
        <w:rPr>
          <w:rStyle w:val="52"/>
          <w:rFonts w:hint="default" w:ascii="Times New Roman" w:hAnsi="Times New Roman" w:eastAsia="宋体" w:cs="Times New Roman"/>
          <w:lang w:val="de-DE" w:eastAsia="zh-CN"/>
        </w:rPr>
        <w:footnoteReference w:id="97"/>
      </w:r>
    </w:p>
    <w:p w14:paraId="5F6C869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Problem könnte die Unsicherheit der Rückzahlungen sein. Gerade für kleinere Organisationen kann es schwierig sein, die notwendigen Mittel für die initiale Umsetzung eines Projektes zu beschaffen, wenn sie sich erst später eine Rückzahlung durch Ergebnisse versprechen können.</w:t>
      </w:r>
      <w:r>
        <w:rPr>
          <w:rStyle w:val="52"/>
          <w:rFonts w:hint="default" w:ascii="Times New Roman" w:hAnsi="Times New Roman" w:eastAsia="宋体" w:cs="Times New Roman"/>
          <w:lang w:val="de-DE" w:eastAsia="zh-CN"/>
        </w:rPr>
        <w:footnoteReference w:id="98"/>
      </w:r>
    </w:p>
    <w:p w14:paraId="70D3BB5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5E80EAA">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4" w:name="_Toc9240"/>
      <w:r>
        <w:rPr>
          <w:rFonts w:hint="default" w:ascii="Times New Roman" w:hAnsi="Times New Roman" w:eastAsia="宋体" w:cs="Times New Roman"/>
          <w:b/>
          <w:lang w:val="de-DE" w:eastAsia="zh-CN"/>
        </w:rPr>
        <w:t>Eignung der Instrumente für kleinere soziale Projekte</w:t>
      </w:r>
      <w:bookmarkEnd w:id="44"/>
    </w:p>
    <w:p w14:paraId="570F344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Auswahl geeigneter Finanzierungsinstrumente für kleinere soziale Projekte hängt von verschiedenen Faktoren ab, darunter die Größe des Projekts, die angestrebte Wirkung und die finanziellen Anforderungen. Kleinere soziale Projekte benötigen oft flexible, risiko-averse Modelle, die eine Anpassung an ihre spezifischen Bedürfnisse ermöglichen. Hier bieten sich vor allem hybride Finanzierungsinstrumente und ergebnisbasierte Modelle an, da sie den Projekten sowohl finanzielle Unterstützung als auch die Möglichkeit bieten, ihre Wirkung messbar zu machen.</w:t>
      </w:r>
      <w:r>
        <w:rPr>
          <w:rStyle w:val="52"/>
          <w:rFonts w:hint="default" w:ascii="Times New Roman" w:hAnsi="Times New Roman" w:eastAsia="宋体" w:cs="Times New Roman"/>
          <w:lang w:val="de-DE" w:eastAsia="zh-CN"/>
        </w:rPr>
        <w:footnoteReference w:id="99"/>
      </w:r>
    </w:p>
    <w:p w14:paraId="1D5CF32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Eigenkapitalbasierte Finanzierungsmodelle sind für kleinere Projekte aufgrund des höheren Risikos und der damit verbundenen Anforderungen an die Transparenz und die langfristige Rentabilität oft weniger geeignet. Viele kleinere Initiativen sind nicht in der Lage, die großen Renditen zu liefern, die traditionelle Investoren erwarten, weshalb hybride Modelle oder ergebnisbasierte Instrumente eine bessere Lösung darstellen.</w:t>
      </w:r>
      <w:r>
        <w:rPr>
          <w:rStyle w:val="52"/>
          <w:rFonts w:hint="default" w:ascii="Times New Roman" w:hAnsi="Times New Roman" w:eastAsia="宋体" w:cs="Times New Roman"/>
          <w:lang w:val="de-DE" w:eastAsia="zh-CN"/>
        </w:rPr>
        <w:footnoteReference w:id="100"/>
      </w:r>
    </w:p>
    <w:p w14:paraId="04EFA49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Wahl des richtigen Finanzierungsmodells hängt auch davon ab, wie viel Kontrolle das soziale Projekt über die Kapitalbeschaffung und die Umsetzungsstrategie haben möchte. Während Eigenkapitalfinanzierungen den Projektträgern mehr Kontrolle bieten, erfordern ergebnisbasierte Modelle eine stärkere Ausrichtung auf messbare Ergebnisse.</w:t>
      </w:r>
      <w:r>
        <w:rPr>
          <w:rStyle w:val="52"/>
          <w:rFonts w:hint="default" w:ascii="Times New Roman" w:hAnsi="Times New Roman" w:eastAsia="宋体" w:cs="Times New Roman"/>
          <w:lang w:val="de-DE" w:eastAsia="zh-CN"/>
        </w:rPr>
        <w:footnoteReference w:id="101"/>
      </w:r>
      <w:r>
        <w:rPr>
          <w:rFonts w:hint="default" w:ascii="Times New Roman" w:hAnsi="Times New Roman" w:eastAsia="宋体" w:cs="Times New Roman"/>
          <w:lang w:val="de-DE" w:eastAsia="zh-CN"/>
        </w:rPr>
        <w:t xml:space="preserve"> Für kleinere Projekte, die nicht über die notwendigen Ressourcen oder die Expertise verfügen, könnte die Flexibilität und der Fokus auf Ergebnisorientierung eine große Hilfe sein, um das Vertrauen von Impact-Investoren zu gewinnen und den Zugang zu Kapital zu erleichtern.</w:t>
      </w:r>
      <w:r>
        <w:rPr>
          <w:rStyle w:val="52"/>
          <w:rFonts w:hint="default" w:ascii="Times New Roman" w:hAnsi="Times New Roman" w:eastAsia="宋体" w:cs="Times New Roman"/>
          <w:lang w:val="de-DE" w:eastAsia="zh-CN"/>
        </w:rPr>
        <w:footnoteReference w:id="102"/>
      </w:r>
    </w:p>
    <w:p w14:paraId="733959B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61112B60">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de-DE" w:eastAsia="zh-CN"/>
        </w:rPr>
      </w:pPr>
      <w:bookmarkStart w:id="45" w:name="_Toc1808"/>
      <w:r>
        <w:rPr>
          <w:rFonts w:hint="default" w:ascii="Times New Roman" w:hAnsi="Times New Roman" w:eastAsia="宋体" w:cs="Times New Roman"/>
          <w:lang w:val="de-DE" w:eastAsia="zh-CN"/>
        </w:rPr>
        <w:t>Rendite-Wirkungs-Zielkonflikte aus theoretischer Perspektive</w:t>
      </w:r>
      <w:bookmarkEnd w:id="45"/>
    </w:p>
    <w:p w14:paraId="07395963">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6" w:name="_Toc7940"/>
      <w:r>
        <w:rPr>
          <w:rFonts w:hint="default" w:ascii="Times New Roman" w:hAnsi="Times New Roman" w:eastAsia="宋体" w:cs="Times New Roman"/>
          <w:b/>
          <w:lang w:val="de-DE" w:eastAsia="zh-CN"/>
        </w:rPr>
        <w:t>Theoretische Grundlagen zur Verbindung von Wirkung und Rendite</w:t>
      </w:r>
      <w:bookmarkEnd w:id="46"/>
    </w:p>
    <w:p w14:paraId="3AAED62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Verbindung von sozialer Wirkung und finanzieller Rendite im Kontext des Impact Investing ist eine zentrale Herausforderung. Theoretisch betrachtet werden soziale Investitionen als eine Möglichkeit angesehen, sowohl wirtschaftliche als auch gesellschaftliche Ziele zu erreichen. Dieser Ansatz basiert auf der Vorstellung, dass es möglich ist, Kapital zu nutzen, um positive gesellschaftliche Veränderungen zu bewirken, ohne dass dies zwangsläufig auf Kosten der finanziellen Rentabilität gehen muss. In diesem Kontext wird häufig die Theorie der „doppelten Bottom Line“ angewendet, die sowohl den sozialen als auch den finanziellen Erfolg eines Projekts bewertet.</w:t>
      </w:r>
      <w:r>
        <w:rPr>
          <w:rStyle w:val="52"/>
          <w:rFonts w:hint="default" w:ascii="Times New Roman" w:hAnsi="Times New Roman" w:eastAsia="宋体" w:cs="Times New Roman"/>
          <w:lang w:val="de-DE" w:eastAsia="zh-CN"/>
        </w:rPr>
        <w:footnoteReference w:id="103"/>
      </w:r>
    </w:p>
    <w:p w14:paraId="4F928A4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theoretisches Konzept, das diese Verbindung beschreibt, ist die „Triple Bottom Line“ (TBL), die neben der finanziellen Rendite auch soziale und ökologische Dimensionen berücksichtigt. Die TBL verfolgt das Ziel, nicht nur den Gewinn zu maximieren, sondern auch die Auswirkungen eines Unternehmens oder Projekts auf die Gesellschaft und die Umwelt zu messen.</w:t>
      </w:r>
      <w:r>
        <w:rPr>
          <w:rStyle w:val="52"/>
          <w:rFonts w:hint="default" w:ascii="Times New Roman" w:hAnsi="Times New Roman" w:eastAsia="宋体" w:cs="Times New Roman"/>
          <w:lang w:val="de-DE" w:eastAsia="zh-CN"/>
        </w:rPr>
        <w:footnoteReference w:id="104"/>
      </w:r>
      <w:r>
        <w:rPr>
          <w:rFonts w:hint="default" w:ascii="Times New Roman" w:hAnsi="Times New Roman" w:eastAsia="宋体" w:cs="Times New Roman"/>
          <w:lang w:val="de-DE" w:eastAsia="zh-CN"/>
        </w:rPr>
        <w:t xml:space="preserve"> In der Theorie wird erwartet, dass durch Impact Investing ein ausgewogenes Verhältnis zwischen sozialer Wirkung und finanzieller Rendite erreicht werden kann, was jedoch in der Praxis oft zu Spannungen führt. Diese Spannungen entstehen, wenn Investoren ihre Renditeerwartungen mit der Notwendigkeit verbinden, soziale und ökologische Ziele zu erreichen.</w:t>
      </w:r>
      <w:r>
        <w:rPr>
          <w:rStyle w:val="52"/>
          <w:rFonts w:hint="default" w:ascii="Times New Roman" w:hAnsi="Times New Roman" w:eastAsia="宋体" w:cs="Times New Roman"/>
          <w:lang w:val="de-DE" w:eastAsia="zh-CN"/>
        </w:rPr>
        <w:footnoteReference w:id="105"/>
      </w:r>
    </w:p>
    <w:p w14:paraId="00DC528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Herausforderung liegt darin, dass nicht alle sozialen Projekte gleichermaßen wirtschaftlich tragfähig sind, was in einigen Fällen zu einem Zielkonflikt zwischen Rendite und Wirkung führt. Investoren stehen vor der Frage, wie viel Rendite sie bereit sind zu opfern, um eine maximale Wirkung zu erzielen. Hier kommt die Theorie der „Wirkungsorientierten Finanzierung“ ins Spiel, die darauf abzielt, soziale Projekte durch maßgeschneiderte Finanzierungsinstrumente zu unterstützen, die sowohl finanzielle als auch gesellschaftliche Ziele ermöglichen. Diese theoretischen Modelle bieten jedoch oft keine klare Antwort auf die Frage, wie die Balance zwischen Rendite und Wirkung optimal erreicht werden kann.</w:t>
      </w:r>
      <w:r>
        <w:rPr>
          <w:rStyle w:val="52"/>
          <w:rFonts w:hint="default" w:ascii="Times New Roman" w:hAnsi="Times New Roman" w:eastAsia="宋体" w:cs="Times New Roman"/>
          <w:lang w:val="de-DE" w:eastAsia="zh-CN"/>
        </w:rPr>
        <w:footnoteReference w:id="106"/>
      </w:r>
    </w:p>
    <w:p w14:paraId="5362582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23D0613">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7" w:name="_Toc512"/>
      <w:r>
        <w:rPr>
          <w:rFonts w:hint="default" w:ascii="Times New Roman" w:hAnsi="Times New Roman" w:eastAsia="宋体" w:cs="Times New Roman"/>
          <w:b/>
          <w:lang w:val="de-DE" w:eastAsia="zh-CN"/>
        </w:rPr>
        <w:t>Trade-off-Überlegungen zwischen sozialer Wirkung und finanzieller Rendite</w:t>
      </w:r>
      <w:bookmarkEnd w:id="47"/>
    </w:p>
    <w:p w14:paraId="602CE2A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Der Trade-off zwischen sozialer Wirkung und finanzieller Rendite ist ein zentrales Thema im Impact Investing. In vielen Fällen müssen Investoren entscheiden, ob sie bereit sind, auf einen Teil der finanziellen Rendite zu verzichten, um eine größere soziale Wirkung zu erzielen. Dieser Zielkonflikt ist besonders relevant in Bereichen wie Mikrofinanzierung oder Bildung, wo der soziale Nutzen oft schwer quantifizierbar ist und daher nicht immer eine sofortige Rendite liefert.</w:t>
      </w:r>
      <w:r>
        <w:rPr>
          <w:rStyle w:val="52"/>
          <w:rFonts w:hint="default" w:ascii="Times New Roman" w:hAnsi="Times New Roman" w:eastAsia="宋体" w:cs="Times New Roman"/>
          <w:lang w:val="de-DE" w:eastAsia="zh-CN"/>
        </w:rPr>
        <w:footnoteReference w:id="107"/>
      </w:r>
      <w:r>
        <w:rPr>
          <w:rFonts w:hint="default" w:ascii="Times New Roman" w:hAnsi="Times New Roman" w:eastAsia="宋体" w:cs="Times New Roman"/>
          <w:lang w:val="de-DE" w:eastAsia="zh-CN"/>
        </w:rPr>
        <w:t xml:space="preserve"> Investoren, die sich für soziale Projekte engagieren, stehen oft vor der Herausforderung, dass diese Projekte nicht die gleichen finanziellen Erträge wie traditionelle Investitionen bieten, was zu einer Abwägung zwischen sozialer Wirkung und Rendite führt.</w:t>
      </w:r>
      <w:r>
        <w:rPr>
          <w:rStyle w:val="52"/>
          <w:rFonts w:hint="default" w:ascii="Times New Roman" w:hAnsi="Times New Roman" w:eastAsia="宋体" w:cs="Times New Roman"/>
          <w:lang w:val="de-DE" w:eastAsia="zh-CN"/>
        </w:rPr>
        <w:footnoteReference w:id="108"/>
      </w:r>
    </w:p>
    <w:p w14:paraId="21FE261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In der Praxis hängt die Entscheidung, wie viel Rendite einem sozialen Projekt zugemessen wird, von verschiedenen Faktoren ab. Einerseits gibt es Investoren, die bereit sind, eine niedrigere Rendite zu akzeptieren, um die soziale Wirkung zu maximieren. Andererseits gibt es Investoren, die nach einer Marktrendite streben und daher darauf bestehen, dass die sozialen Projekte auch finanziell erfolgreich sind. Dieser Trade-off kann zu unterschiedlichen Erwartungen führen, die von Projekt zu Projekt variieren.</w:t>
      </w:r>
      <w:r>
        <w:rPr>
          <w:rStyle w:val="52"/>
          <w:rFonts w:hint="default" w:ascii="Times New Roman" w:hAnsi="Times New Roman" w:eastAsia="宋体" w:cs="Times New Roman"/>
          <w:lang w:val="de-DE" w:eastAsia="zh-CN"/>
        </w:rPr>
        <w:footnoteReference w:id="109"/>
      </w:r>
    </w:p>
    <w:p w14:paraId="1210159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Aspekt dieses Zielkonflikts ist die Frage, wie sich soziale Wirkung messen lässt. Oft sind die sozialen Ergebnisse nicht so greifbar wie finanzielle Kennzahlen, was es schwierig macht, den Erfolg einer Investition zu bewerten. In einigen Fällen sind die messbaren finanziellen Rückflüsse weniger unmittelbar, und der Nutzen wird erst langfristig erkennbar. Dies macht es für Investoren schwierig, den genauen Wert ihrer Investition in Bezug auf soziale Wirkung und finanzielle Rendite zu bestimmen. Der Trade-off muss also nicht nur auf der Grundlage von unmittelbaren finanziellen Erträgen bewertet werden, sondern auch durch die langfristige Auswirkung auf die Gesellschaft.</w:t>
      </w:r>
      <w:r>
        <w:rPr>
          <w:rStyle w:val="52"/>
          <w:rFonts w:hint="default" w:ascii="Times New Roman" w:hAnsi="Times New Roman" w:eastAsia="宋体" w:cs="Times New Roman"/>
          <w:lang w:val="de-DE" w:eastAsia="zh-CN"/>
        </w:rPr>
        <w:footnoteReference w:id="110"/>
      </w:r>
    </w:p>
    <w:p w14:paraId="0AC4BEB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5E15FA9F">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48" w:name="_Toc20526"/>
      <w:r>
        <w:rPr>
          <w:rFonts w:hint="default" w:ascii="Times New Roman" w:hAnsi="Times New Roman" w:eastAsia="宋体" w:cs="Times New Roman"/>
          <w:b/>
          <w:lang w:val="de-DE" w:eastAsia="zh-CN"/>
        </w:rPr>
        <w:t>Institutionelle und regulatorische Einflussfaktoren</w:t>
      </w:r>
      <w:bookmarkEnd w:id="48"/>
    </w:p>
    <w:p w14:paraId="1FD16D9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institutionellen und regulatorischen Rahmenbedingungen haben einen erheblichen Einfluss auf den Impact-Investing-Markt. Diese Faktoren bestimmen nicht nur, wie Investoren in soziale Projekte investieren können, sondern auch, welche Anforderungen an die Dokumentation der Wirkung und die Renditeerwartungen gestellt werden.</w:t>
      </w:r>
      <w:r>
        <w:rPr>
          <w:rStyle w:val="52"/>
          <w:rFonts w:hint="default" w:ascii="Times New Roman" w:hAnsi="Times New Roman" w:eastAsia="宋体" w:cs="Times New Roman"/>
          <w:lang w:val="de-DE" w:eastAsia="zh-CN"/>
        </w:rPr>
        <w:footnoteReference w:id="111"/>
      </w:r>
      <w:r>
        <w:rPr>
          <w:rFonts w:hint="default" w:ascii="Times New Roman" w:hAnsi="Times New Roman" w:eastAsia="宋体" w:cs="Times New Roman"/>
          <w:lang w:val="de-DE" w:eastAsia="zh-CN"/>
        </w:rPr>
        <w:t xml:space="preserve"> In vielen Ländern existieren gesetzliche Vorgaben, die den Bereich des Impact Investing beeinflussen, indem sie bestimmte Standards für die Wirkungsmessung festlegen oder Anreize für Investitionen in soziale Projekte schaffen. Diese Regelungen können sich auf die Struktur der Investitionen auswirken, da sie entweder den Zugang zu Kapital erleichtern oder erschweren können.</w:t>
      </w:r>
      <w:r>
        <w:rPr>
          <w:rStyle w:val="52"/>
          <w:rFonts w:hint="default" w:ascii="Times New Roman" w:hAnsi="Times New Roman" w:eastAsia="宋体" w:cs="Times New Roman"/>
          <w:lang w:val="de-DE" w:eastAsia="zh-CN"/>
        </w:rPr>
        <w:footnoteReference w:id="112"/>
      </w:r>
    </w:p>
    <w:p w14:paraId="30E52D3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Institutionelle Akteure wie Banken, Stiftungen oder staatliche Förderprogramme haben ebenfalls einen starken Einfluss auf die Gestaltung von Impact-Investitionen. Diese Organisationen können entweder als Investoren auftreten oder den Zugang zu Impact-Investment-Märkten durch ihre Finanzierungsentscheidungen prägen.</w:t>
      </w:r>
      <w:r>
        <w:rPr>
          <w:rStyle w:val="52"/>
          <w:rFonts w:hint="default" w:ascii="Times New Roman" w:hAnsi="Times New Roman" w:eastAsia="宋体" w:cs="Times New Roman"/>
          <w:lang w:val="de-DE" w:eastAsia="zh-CN"/>
        </w:rPr>
        <w:footnoteReference w:id="113"/>
      </w:r>
      <w:r>
        <w:rPr>
          <w:rFonts w:hint="default" w:ascii="Times New Roman" w:hAnsi="Times New Roman" w:eastAsia="宋体" w:cs="Times New Roman"/>
          <w:lang w:val="de-DE" w:eastAsia="zh-CN"/>
        </w:rPr>
        <w:t xml:space="preserve"> Viele dieser institutionellen Akteure setzen heute verstärkt auf nachhaltige Investitionsstrategien und beeinflussen damit die Entwicklung des Marktes für Impact Investing. Dies geschieht häufig durch die Bereitstellung von Risikokapital, das es Investoren ermöglicht, auch in Projekte zu investieren, die ohne diese Unterstützung möglicherweise nicht finanzierbar wären.</w:t>
      </w:r>
      <w:r>
        <w:rPr>
          <w:rStyle w:val="52"/>
          <w:rFonts w:hint="default" w:ascii="Times New Roman" w:hAnsi="Times New Roman" w:eastAsia="宋体" w:cs="Times New Roman"/>
          <w:lang w:val="de-DE" w:eastAsia="zh-CN"/>
        </w:rPr>
        <w:footnoteReference w:id="114"/>
      </w:r>
    </w:p>
    <w:p w14:paraId="67DAF60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Regulatorische Rahmenbedingungen können jedoch auch als Barrieren für Investoren wirken. In vielen Ländern gibt es noch keine einheitlichen Standards oder Vorschriften zur Messung der sozialen Wirkung von Investitionen, was Unsicherheiten für Investoren mit sich bringt. Gleichzeitig können strenge regulatorische Anforderungen in Bezug auf Transparenz und Rechenschaftspflicht zu höheren Verwaltungskosten führen, was die Rentabilität von Impact-Investitionen verringern könnte. Die Herausforderung liegt darin, eine Balance zwischen den regulatorischen Anforderungen und den Zielen der Investoren zu finden, die sowohl eine finanzielle Rendite als auch eine messbare soziale Wirkung erzielen möchten.</w:t>
      </w:r>
      <w:r>
        <w:rPr>
          <w:rStyle w:val="52"/>
          <w:rFonts w:hint="default" w:ascii="Times New Roman" w:hAnsi="Times New Roman" w:eastAsia="宋体" w:cs="Times New Roman"/>
          <w:lang w:val="de-DE" w:eastAsia="zh-CN"/>
        </w:rPr>
        <w:footnoteReference w:id="115"/>
      </w:r>
    </w:p>
    <w:p w14:paraId="6D8043E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2895BAB4">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de-DE" w:eastAsia="zh-CN"/>
        </w:rPr>
      </w:pPr>
      <w:bookmarkStart w:id="49" w:name="_Toc22833"/>
      <w:r>
        <w:rPr>
          <w:rFonts w:hint="default" w:ascii="Times New Roman" w:hAnsi="Times New Roman" w:eastAsia="宋体" w:cs="Times New Roman"/>
          <w:lang w:val="de-DE" w:eastAsia="zh-CN"/>
        </w:rPr>
        <w:t>Rendite- und Wirkungssteuerung durch Impact-Messung</w:t>
      </w:r>
      <w:bookmarkEnd w:id="49"/>
    </w:p>
    <w:p w14:paraId="52755091">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50" w:name="_Toc6325"/>
      <w:r>
        <w:rPr>
          <w:rFonts w:hint="default" w:ascii="Times New Roman" w:hAnsi="Times New Roman" w:eastAsia="宋体" w:cs="Times New Roman"/>
          <w:b/>
          <w:lang w:val="de-DE" w:eastAsia="zh-CN"/>
        </w:rPr>
        <w:t>Funktion der Impact-Messung im Investitionsprozess</w:t>
      </w:r>
      <w:bookmarkEnd w:id="50"/>
    </w:p>
    <w:p w14:paraId="209EBB3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Impact-Messung dient im Impact Investing als zentrales Instrument, um die tatsächliche soziale Wirkung einer Investition zu bewerten. Sie stellt sicher, dass die Investition nicht nur auf der finanziellen Rendite, sondern auch auf den sozialen oder ökologischen Zielen ausgerichtet ist.</w:t>
      </w:r>
      <w:r>
        <w:rPr>
          <w:rStyle w:val="52"/>
          <w:rFonts w:hint="default" w:ascii="Times New Roman" w:hAnsi="Times New Roman" w:eastAsia="宋体" w:cs="Times New Roman"/>
          <w:lang w:val="de-DE" w:eastAsia="zh-CN"/>
        </w:rPr>
        <w:footnoteReference w:id="116"/>
      </w:r>
      <w:r>
        <w:rPr>
          <w:rFonts w:hint="default" w:ascii="Times New Roman" w:hAnsi="Times New Roman" w:eastAsia="宋体" w:cs="Times New Roman"/>
          <w:lang w:val="de-DE" w:eastAsia="zh-CN"/>
        </w:rPr>
        <w:t xml:space="preserve"> Der Impact-Investing-Prozess umfasst mehrere Phasen, in denen die Messung die Zielverwirklichung unterstützt. Bereits vor der Investition werden durch die Messung klare Ziele für die soziale Wirkung definiert. Dies ermöglicht es, zu überprüfen, ob die gewünschten Auswirkungen erreicht werden können. Während der Laufzeit eines Projekts hilft die Impact-Messung dabei, den Fortschritt zu verfolgen und gegebenenfalls Anpassungen vorzunehmen, um die Ziele zu erreichen.</w:t>
      </w:r>
      <w:r>
        <w:rPr>
          <w:rStyle w:val="52"/>
          <w:rFonts w:hint="default" w:ascii="Times New Roman" w:hAnsi="Times New Roman" w:eastAsia="宋体" w:cs="Times New Roman"/>
          <w:lang w:val="de-DE" w:eastAsia="zh-CN"/>
        </w:rPr>
        <w:footnoteReference w:id="117"/>
      </w:r>
    </w:p>
    <w:p w14:paraId="5B39A8F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Messung der sozialen Wirkung wird auch dazu genutzt, die Erfolgskriterien eines Projekts festzulegen und die Investoren zu informieren. Sie ermöglicht eine transparente Darstellung der Fortschritte und stellt sicher, dass die eingesetzten Mittel tatsächlich den gewünschten Nutzen bringen. In diesem Zusammenhang wird Impact-Messung nicht nur als ein Werkzeug zur Überwachung von Projekten verstanden, sondern auch als ein Mittel zur Steuerung von Investitionsentscheidungen. So können Investoren frühzeitig erkennen, ob das Projekt auf dem richtigen Weg ist oder ob eine Anpassung der Investitionsstrategie notwendig ist.</w:t>
      </w:r>
      <w:r>
        <w:rPr>
          <w:rStyle w:val="52"/>
          <w:rFonts w:hint="default" w:ascii="Times New Roman" w:hAnsi="Times New Roman" w:eastAsia="宋体" w:cs="Times New Roman"/>
          <w:lang w:val="de-DE" w:eastAsia="zh-CN"/>
        </w:rPr>
        <w:footnoteReference w:id="118"/>
      </w:r>
    </w:p>
    <w:p w14:paraId="6DEC321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Darüber hinaus ermöglicht die Impact-Messung eine Vergleichbarkeit von Projekten, was insbesondere für Investoren wichtig ist, die mehrere Projekte gleichzeitig finanzieren. Durch eine standardisierte Messung können Investoren feststellen, welche Projekte die größten sozialen Veränderungen erzielen und ob sie in der Lage sind, ihre finanziellen Erwartungen zu erfüllen. Die Wirkung von Investitionen wird so messbar und nachvollziehbar, was letztlich zu einer besseren Entscheidungsfindung beiträgt.</w:t>
      </w:r>
      <w:r>
        <w:rPr>
          <w:rStyle w:val="52"/>
          <w:rFonts w:hint="default" w:ascii="Times New Roman" w:hAnsi="Times New Roman" w:eastAsia="宋体" w:cs="Times New Roman"/>
          <w:lang w:val="de-DE" w:eastAsia="zh-CN"/>
        </w:rPr>
        <w:footnoteReference w:id="119"/>
      </w:r>
    </w:p>
    <w:p w14:paraId="5A80F71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17EBB66B">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51" w:name="_Toc27377"/>
      <w:r>
        <w:rPr>
          <w:rFonts w:hint="default" w:ascii="Times New Roman" w:hAnsi="Times New Roman" w:eastAsia="宋体" w:cs="Times New Roman"/>
          <w:b/>
          <w:lang w:val="de-DE" w:eastAsia="zh-CN"/>
        </w:rPr>
        <w:t>Zentrale Ansätze und Instrumente der Impact-Messung</w:t>
      </w:r>
      <w:bookmarkEnd w:id="51"/>
    </w:p>
    <w:p w14:paraId="07534BE7">
      <w:pPr>
        <w:pStyle w:val="8"/>
        <w:keepNext/>
        <w:pageBreakBefore w:val="0"/>
        <w:widowControl/>
        <w:kinsoku/>
        <w:wordWrap/>
        <w:overflowPunct/>
        <w:topLinePunct w:val="0"/>
        <w:autoSpaceDE/>
        <w:autoSpaceDN/>
        <w:bidi w:val="0"/>
        <w:adjustRightInd/>
        <w:snapToGrid/>
        <w:spacing w:before="240" w:after="120" w:line="360" w:lineRule="auto"/>
        <w:textAlignment w:val="auto"/>
        <w:outlineLvl w:val="3"/>
        <w:rPr>
          <w:rFonts w:hint="default" w:ascii="Times New Roman" w:hAnsi="Times New Roman" w:eastAsia="宋体" w:cs="Times New Roman"/>
          <w:b/>
          <w:lang w:val="de-DE" w:eastAsia="zh-CN"/>
        </w:rPr>
      </w:pPr>
      <w:bookmarkStart w:id="52" w:name="_Toc8340"/>
      <w:r>
        <w:rPr>
          <w:rFonts w:hint="default" w:ascii="Times New Roman" w:hAnsi="Times New Roman" w:eastAsia="宋体" w:cs="Times New Roman"/>
          <w:b/>
          <w:lang w:val="de-DE" w:eastAsia="zh-CN"/>
        </w:rPr>
        <w:t>Social Return on Investment (SROI)</w:t>
      </w:r>
      <w:bookmarkEnd w:id="52"/>
    </w:p>
    <w:p w14:paraId="4FC50DC0">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Der Social Return on Investment (SROI) ist ein weit verbreitetes Instrument zur Messung der sozialen Wirkung von Investitionen. SROI bewertet den sozialen Nutzen, der durch eine Investition erzielt wird, indem er in monetäre Einheiten übersetzt wird. Dies ermöglicht es, die sozialen Ergebnisse mit den finanziellen Kosten der Investition zu vergleichen. Der SROI-Prozess umfasst die Identifizierung von Inputs, Aktivitäten, Outputs und Ergebnissen, die im Zusammenhang mit einem Projekt stehen. Diese werden dann miteinander verknüpft, um die Auswirkungen der Investition auf die Zielgruppen zu quantifizieren.</w:t>
      </w:r>
      <w:r>
        <w:rPr>
          <w:rStyle w:val="52"/>
          <w:rFonts w:hint="default" w:ascii="Times New Roman" w:hAnsi="Times New Roman" w:cs="Times New Roman"/>
          <w:lang w:val="de-DE" w:eastAsia="zh-CN"/>
        </w:rPr>
        <w:footnoteReference w:id="120"/>
      </w:r>
    </w:p>
    <w:p w14:paraId="4A87B720">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Ein wesentlicher Vorteil von SROI liegt in seiner Fähigkeit, verschiedene soziale Ergebnisse zu bewerten, die auf den ersten Blick schwer messbar erscheinen. Beispielsweise können gesundheitliche Verbesserungen, Bildungsgewinne oder Reduzierungen der Armut in einem finanziellen Wert dargestellt werden. Dies erleichtert die Kommunikation der Wirkung und ermöglicht es Investoren, den Wert ihrer Investition in einem ganzheitlichen Kontext zu erkennen.</w:t>
      </w:r>
      <w:r>
        <w:rPr>
          <w:rStyle w:val="52"/>
          <w:rFonts w:hint="default" w:ascii="Times New Roman" w:hAnsi="Times New Roman" w:cs="Times New Roman"/>
          <w:lang w:val="de-DE" w:eastAsia="zh-CN"/>
        </w:rPr>
        <w:footnoteReference w:id="121"/>
      </w:r>
    </w:p>
    <w:p w14:paraId="708BAFCD">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Allerdings gibt es auch Herausforderungen bei der Anwendung von SROI. Die Berechnung setzt voraus, dass alle relevanten sozialen Ergebnisse und deren monetären Wert korrekt identifiziert werden. In vielen Fällen ist dies schwierig, da soziale Effekte oft langfristig und schwer quantifizierbar sind. Zudem erfordert die Durchführung einer SROI-Analyse umfassende Daten und Ressourcen, was insbesondere für kleinere soziale Projekte eine Hürde darstellen kann. Dennoch bietet SROI eine nützliche Grundlage für die Bewertung der sozialen Rentabilität von Impact-Investitionen.</w:t>
      </w:r>
      <w:r>
        <w:rPr>
          <w:rStyle w:val="52"/>
          <w:rFonts w:hint="default" w:ascii="Times New Roman" w:hAnsi="Times New Roman" w:cs="Times New Roman"/>
          <w:lang w:val="de-DE" w:eastAsia="zh-CN"/>
        </w:rPr>
        <w:footnoteReference w:id="122"/>
      </w:r>
    </w:p>
    <w:p w14:paraId="434E20BA">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734C80CA">
      <w:pPr>
        <w:pStyle w:val="8"/>
        <w:keepNext/>
        <w:pageBreakBefore w:val="0"/>
        <w:widowControl/>
        <w:kinsoku/>
        <w:wordWrap/>
        <w:overflowPunct/>
        <w:topLinePunct w:val="0"/>
        <w:autoSpaceDE/>
        <w:autoSpaceDN/>
        <w:bidi w:val="0"/>
        <w:adjustRightInd/>
        <w:snapToGrid/>
        <w:spacing w:before="240" w:after="120" w:line="360" w:lineRule="auto"/>
        <w:textAlignment w:val="auto"/>
        <w:outlineLvl w:val="3"/>
        <w:rPr>
          <w:rFonts w:hint="default" w:ascii="Times New Roman" w:hAnsi="Times New Roman" w:eastAsia="宋体" w:cs="Times New Roman"/>
          <w:b/>
          <w:lang w:val="de-DE" w:eastAsia="zh-CN"/>
        </w:rPr>
      </w:pPr>
      <w:bookmarkStart w:id="53" w:name="_Toc7826"/>
      <w:r>
        <w:rPr>
          <w:rFonts w:hint="default" w:ascii="Times New Roman" w:hAnsi="Times New Roman" w:eastAsia="宋体" w:cs="Times New Roman"/>
          <w:b/>
          <w:lang w:val="de-DE" w:eastAsia="zh-CN"/>
        </w:rPr>
        <w:t>Impact Reporting and Investment Standards (IRIS)</w:t>
      </w:r>
      <w:bookmarkEnd w:id="53"/>
    </w:p>
    <w:p w14:paraId="06A5982C">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Die Impact Reporting and Investment Standards (IRIS) bieten ein standardisiertes System zur Messung und Berichterstattung der sozialen und ökologischen Wirkung von Impact-Investitionen. Entwickelt von der GIIN, stellt IRIS eine Sammlung von Kennzahlen und Metriken zur Verfügung, die Investoren und Organisationen bei der Bewertung der Ergebnisse ihrer Investitionen unterstützen. Im Gegensatz zu anderen Messinstrumenten bietet IRIS eine umfassende Sammlung von standardisierten Indikatoren, die es ermöglichen, die Wirkung von Investitionen systematisch und vergleichbar zu erfassen.</w:t>
      </w:r>
      <w:r>
        <w:rPr>
          <w:rStyle w:val="52"/>
          <w:rFonts w:hint="default" w:ascii="Times New Roman" w:hAnsi="Times New Roman" w:cs="Times New Roman"/>
          <w:lang w:val="de-DE" w:eastAsia="zh-CN"/>
        </w:rPr>
        <w:footnoteReference w:id="123"/>
      </w:r>
    </w:p>
    <w:p w14:paraId="46F1E459">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IRIS umfasst eine Vielzahl von Metriken, die auf verschiedene Sektoren und Themenbereiche zugeschnitten sind. So können Investoren beispielsweise die Auswirkungen von Investitionen auf den Bildungsbereich, die Umwelt oder die Armutsbekämpfung messen. Diese Flexibilität ermöglicht es IRIS, in unterschiedlichen Bereichen des Impact Investing eingesetzt zu werden, was es zu einem wichtigen Instrument für eine breite Palette von Investoren macht.</w:t>
      </w:r>
      <w:r>
        <w:rPr>
          <w:rStyle w:val="52"/>
          <w:rFonts w:hint="default" w:ascii="Times New Roman" w:hAnsi="Times New Roman" w:cs="Times New Roman"/>
          <w:lang w:val="de-DE" w:eastAsia="zh-CN"/>
        </w:rPr>
        <w:footnoteReference w:id="124"/>
      </w:r>
    </w:p>
    <w:p w14:paraId="0E70AC15">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r>
        <w:rPr>
          <w:rFonts w:hint="default" w:ascii="Times New Roman" w:hAnsi="Times New Roman" w:cs="Times New Roman"/>
          <w:lang w:val="de-DE" w:eastAsia="zh-CN"/>
        </w:rPr>
        <w:t>Trotz der vielen Vorteile bietet IRIS auch einige Herausforderungen. Ein kritischer Punkt ist, dass die Anwendung von IRIS auf bestimmte Projekte, insbesondere kleinere, nicht immer einfach ist. Die umfangreiche Sammlung von Indikatoren kann in einigen Fällen zu einer Überwältigung führen, insbesondere wenn keine klaren Leitlinien zur Auswahl der passenden Metriken vorliegen.</w:t>
      </w:r>
      <w:r>
        <w:rPr>
          <w:rStyle w:val="52"/>
          <w:rFonts w:hint="default" w:ascii="Times New Roman" w:hAnsi="Times New Roman" w:cs="Times New Roman"/>
          <w:lang w:val="de-DE" w:eastAsia="zh-CN"/>
        </w:rPr>
        <w:footnoteReference w:id="125"/>
      </w:r>
      <w:r>
        <w:rPr>
          <w:rFonts w:hint="default" w:ascii="Times New Roman" w:hAnsi="Times New Roman" w:cs="Times New Roman"/>
          <w:lang w:val="de-DE" w:eastAsia="zh-CN"/>
        </w:rPr>
        <w:t xml:space="preserve"> Darüber hinaus müssen Organisationen, die IRIS verwenden, über die nötigen Ressourcen und Daten verfügen, um die erforderlichen Kennzahlen zu erheben und zu berichten. In vielen Fällen kann dies eine Herausforderung darstellen, da gerade kleinere soziale Projekte oft nicht über die Infrastruktur oder das Fachwissen verfügen, um eine umfassende IRIS-Berichterstattung zu gewährleisten.</w:t>
      </w:r>
      <w:r>
        <w:rPr>
          <w:rStyle w:val="52"/>
          <w:rFonts w:hint="default" w:ascii="Times New Roman" w:hAnsi="Times New Roman" w:cs="Times New Roman"/>
          <w:lang w:val="de-DE" w:eastAsia="zh-CN"/>
        </w:rPr>
        <w:footnoteReference w:id="126"/>
      </w:r>
    </w:p>
    <w:p w14:paraId="1311E16D">
      <w:pPr>
        <w:pStyle w:val="2"/>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cs="Times New Roman"/>
          <w:lang w:val="de-DE" w:eastAsia="zh-CN"/>
        </w:rPr>
      </w:pPr>
    </w:p>
    <w:p w14:paraId="1532C440">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54" w:name="_Toc7186"/>
      <w:r>
        <w:rPr>
          <w:rFonts w:hint="default" w:ascii="Times New Roman" w:hAnsi="Times New Roman" w:eastAsia="宋体" w:cs="Times New Roman"/>
          <w:b/>
          <w:lang w:val="de-DE" w:eastAsia="zh-CN"/>
        </w:rPr>
        <w:t>Herausforderungen der Messung bei kleinen sozialen Projekten</w:t>
      </w:r>
      <w:bookmarkEnd w:id="54"/>
    </w:p>
    <w:p w14:paraId="0146F2B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Messung der sozialen Wirkung ist bei kleinen sozialen Projekten besonders herausfordernd. Im Gegensatz zu großen Unternehmen, die über die nötigen Ressourcen und Infrastruktur verfügen, um Wirkung effizient zu messen, sehen sich kleinere Projekte häufig mit finanziellen und personellen Einschränkungen konfrontiert. Dies erschwert nicht nur die genaue Erhebung relevanter Daten, sondern auch die Entwicklung von Messinstrumenten, die den spezifischen Kontext dieser Projekte berücksichtigen.</w:t>
      </w:r>
      <w:r>
        <w:rPr>
          <w:rStyle w:val="52"/>
          <w:rFonts w:hint="default" w:ascii="Times New Roman" w:hAnsi="Times New Roman" w:eastAsia="宋体" w:cs="Times New Roman"/>
          <w:lang w:val="de-DE" w:eastAsia="zh-CN"/>
        </w:rPr>
        <w:footnoteReference w:id="127"/>
      </w:r>
    </w:p>
    <w:p w14:paraId="5E57CF3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Problem besteht darin, dass kleinere Projekte oft keine standardisierten Verfahren zur Wirkungsmessung implementieren können. Die Resultate von Sozialprojekten lassen sich nicht immer in klar quantifizierbare Einheiten übersetzen, was die Messung noch komplizierter macht.</w:t>
      </w:r>
      <w:r>
        <w:rPr>
          <w:rStyle w:val="52"/>
          <w:rFonts w:hint="default" w:ascii="Times New Roman" w:hAnsi="Times New Roman" w:eastAsia="宋体" w:cs="Times New Roman"/>
          <w:lang w:val="de-DE" w:eastAsia="zh-CN"/>
        </w:rPr>
        <w:footnoteReference w:id="128"/>
      </w:r>
      <w:r>
        <w:rPr>
          <w:rFonts w:hint="default" w:ascii="Times New Roman" w:hAnsi="Times New Roman" w:eastAsia="宋体" w:cs="Times New Roman"/>
          <w:lang w:val="de-DE" w:eastAsia="zh-CN"/>
        </w:rPr>
        <w:t xml:space="preserve"> Es gibt viele Faktoren, die das Ergebnis beeinflussen, darunter kulturelle, soziale und politische Rahmenbedingungen, die in den Messprozessen berücksichtigt werden müssen. Die Entwicklung von maßgeschneiderten Messmethoden, die flexibel genug sind, um die unterschiedlichen Gegebenheiten von kleinen sozialen Projekten zu berücksichtigen, ist daher von entscheidender Bedeutung.</w:t>
      </w:r>
      <w:r>
        <w:rPr>
          <w:rStyle w:val="52"/>
          <w:rFonts w:hint="default" w:ascii="Times New Roman" w:hAnsi="Times New Roman" w:eastAsia="宋体" w:cs="Times New Roman"/>
          <w:lang w:val="de-DE" w:eastAsia="zh-CN"/>
        </w:rPr>
        <w:footnoteReference w:id="129"/>
      </w:r>
    </w:p>
    <w:p w14:paraId="5208C26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Hindernis für die Messung von Wirkung bei kleinen Projekten ist die zeitliche Perspektive. Oftmals erfordern sozial ausgerichtete Projekte langfristige Zeiträume, um signifikante Veränderungen zu bewirken. Dies stellt eine Herausforderung für Investoren dar, die schnelle, messbare Ergebnisse erwarten. In einigen Fällen sind die Auswirkungen eines Projekts erst nach Jahren oder sogar Jahrzehnten vollständig sichtbar. Diese langfristige Dimension macht die Wirkungsmessung kompliziert, da die Messung der Erfolge von sozialen Projekten oft nicht sofort oder in einem klaren, messbaren Zeitraum erfolgen kann.</w:t>
      </w:r>
      <w:r>
        <w:rPr>
          <w:rStyle w:val="52"/>
          <w:rFonts w:hint="default" w:ascii="Times New Roman" w:hAnsi="Times New Roman" w:eastAsia="宋体" w:cs="Times New Roman"/>
          <w:lang w:val="de-DE" w:eastAsia="zh-CN"/>
        </w:rPr>
        <w:footnoteReference w:id="130"/>
      </w:r>
    </w:p>
    <w:p w14:paraId="6125C14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10B1E052">
      <w:pPr>
        <w:pStyle w:val="3"/>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en-US" w:eastAsia="zh-CN"/>
        </w:rPr>
      </w:pPr>
      <w:r>
        <w:rPr>
          <w:rFonts w:hint="default" w:ascii="Times New Roman" w:hAnsi="Times New Roman" w:cs="Times New Roman"/>
        </w:rPr>
        <w:br w:type="page"/>
      </w:r>
      <w:bookmarkStart w:id="55" w:name="_Toc148"/>
      <w:bookmarkStart w:id="56" w:name="_Toc18362"/>
      <w:r>
        <w:rPr>
          <w:rFonts w:hint="default" w:ascii="Times New Roman" w:hAnsi="Times New Roman" w:cs="Times New Roman"/>
          <w:highlight w:val="none"/>
        </w:rPr>
        <w:t>Beispiele für kleine soziale Projekte im Impact Investing</w:t>
      </w:r>
      <w:bookmarkEnd w:id="55"/>
      <w:bookmarkEnd w:id="56"/>
    </w:p>
    <w:p w14:paraId="28E5C505">
      <w:pPr>
        <w:pStyle w:val="5"/>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lang w:val="en-US" w:eastAsia="zh-CN"/>
        </w:rPr>
      </w:pPr>
      <w:bookmarkStart w:id="57" w:name="_Toc12731"/>
      <w:r>
        <w:rPr>
          <w:rFonts w:hint="default" w:ascii="Times New Roman" w:hAnsi="Times New Roman" w:eastAsia="宋体" w:cs="Times New Roman"/>
          <w:lang w:val="de-DE" w:eastAsia="zh-CN"/>
        </w:rPr>
        <w:t>SKS Microfinance</w:t>
      </w:r>
      <w:bookmarkEnd w:id="57"/>
    </w:p>
    <w:p w14:paraId="64923D1C">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en-US" w:eastAsia="zh-CN"/>
        </w:rPr>
      </w:pPr>
      <w:bookmarkStart w:id="58" w:name="_Toc24885"/>
      <w:r>
        <w:rPr>
          <w:rFonts w:hint="default" w:ascii="Times New Roman" w:hAnsi="Times New Roman" w:eastAsia="宋体" w:cs="Times New Roman"/>
          <w:lang w:val="de-DE" w:eastAsia="zh-CN"/>
        </w:rPr>
        <w:t>Unternehmensprofil und soziales Wirkungsziel</w:t>
      </w:r>
      <w:bookmarkEnd w:id="58"/>
    </w:p>
    <w:p w14:paraId="6AC5B4C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SKS Microfinance wurde 1997 in Indien gegründet und begann 1998 als gemeinnützige Mikrofinanz-Organisation, die armen Menschen in ländlichen Regionen Kredite zur Verfügung stellte. Später wandelte sich das Unternehmen in eine gewinnorientierte Non-Banking Financial Company (NBFC) und wurde unter dem Namen „Bharat Financial Inclusion Limited“ bekannt. Die Gründungsidee war, finanzielle Dienstleistungen zu jenen Bevölkerungsgruppen zu bringen, die durch traditionelle Banken ausgeschlossen sind. Diese Zielsetzung gründet auf der Beobachtung, dass Menschen ohne Zugang zu formellen Krediten häufig auf informelle Geldverleiher angewiesen sind, die extrem hohe Zinsen verlangen und so zur Armut beitragen.</w:t>
      </w:r>
      <w:r>
        <w:rPr>
          <w:rStyle w:val="52"/>
          <w:rFonts w:hint="default" w:ascii="Times New Roman" w:hAnsi="Times New Roman" w:eastAsia="宋体" w:cs="Times New Roman"/>
          <w:lang w:val="de-DE" w:eastAsia="zh-CN"/>
        </w:rPr>
        <w:footnoteReference w:id="131"/>
      </w:r>
    </w:p>
    <w:p w14:paraId="2F2D136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Das soziale Wirkungsziel von SKS liegt primär in der Förderung finanzieller Inklusion. SKS vergibt Mikrokredite an Frauen in ärmeren Dörfern, um ihnen die Möglichkeit zu geben, eigene Kleinstunternehmen zu gründen oder bestehende Familienbetriebe zu erweitern. Die Ausrichtung auf Frauen basiert auf der Idee, dass diese ihre Einkommenserzielung oft direkt in den Unterhalt und die Bildung ihrer Kinder investieren.</w:t>
      </w:r>
      <w:r>
        <w:rPr>
          <w:rStyle w:val="52"/>
          <w:rFonts w:hint="default" w:ascii="Times New Roman" w:hAnsi="Times New Roman" w:eastAsia="宋体" w:cs="Times New Roman"/>
          <w:lang w:val="de-DE" w:eastAsia="zh-CN"/>
        </w:rPr>
        <w:footnoteReference w:id="132"/>
      </w:r>
    </w:p>
    <w:p w14:paraId="297EF80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SKS nutzt ein Gruppenbürgschaftsmodell, wobei fünf Mitglieder gemeinsam für einzelne Kredite einstehen. Dieses Konzept ersetzt klassische Sicherheiten und nutzt soziale Vernetzung als eine Art „sozialen Kollateral“. Gemeinschaftlicher Druck, gegenseitige Verantwortung und regelmäßige Treffen sollen helfen, Ausfälle zu minimieren.</w:t>
      </w:r>
      <w:r>
        <w:rPr>
          <w:rStyle w:val="52"/>
          <w:rFonts w:hint="default" w:ascii="Times New Roman" w:hAnsi="Times New Roman" w:eastAsia="宋体" w:cs="Times New Roman"/>
          <w:lang w:val="de-DE" w:eastAsia="zh-CN"/>
        </w:rPr>
        <w:footnoteReference w:id="133"/>
      </w:r>
    </w:p>
    <w:p w14:paraId="6F53B36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Das Unternehmen arbeitete ursprünglich mit Partnerorganisationen und Stiftungen zusammen und gewann im Laufe der Zeit auch große kommerzielle Akteure als Finanzpartner. Während in der Anfangszeit Non-Profit-Organisationen das Projekt unterstützten, kamen später internationale Investoren und Kapitalgeber hinzu. </w:t>
      </w:r>
    </w:p>
    <w:p w14:paraId="1A4450B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SKS’ Arbeit wurde teilweise kontrovers diskutiert, insbesondere im Zusammenhang mit der raschen Expansion und der Marketing-Strategie über provisionsbasierte Vertriebsnetze. Dennoch verstand sich SKS langfristig als soziale Initiative mit dem Ziel, Armut langfristig zu reduzieren, indem finanzielle Ressourcen dort bereitgestellt werden, wo formelle Institutionen sie nicht anbieten.</w:t>
      </w:r>
      <w:r>
        <w:rPr>
          <w:rStyle w:val="52"/>
          <w:rFonts w:hint="default" w:ascii="Times New Roman" w:hAnsi="Times New Roman" w:eastAsia="宋体" w:cs="Times New Roman"/>
          <w:lang w:val="de-DE" w:eastAsia="zh-CN"/>
        </w:rPr>
        <w:footnoteReference w:id="134"/>
      </w:r>
    </w:p>
    <w:p w14:paraId="3A39E76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20659F7E">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59" w:name="_Toc11561"/>
      <w:r>
        <w:rPr>
          <w:rFonts w:hint="default" w:ascii="Times New Roman" w:hAnsi="Times New Roman" w:eastAsia="宋体" w:cs="Times New Roman"/>
          <w:lang w:val="de-DE" w:eastAsia="zh-CN"/>
        </w:rPr>
        <w:t>Eingesetzte Investmentinstrumente und Finanzierungsstruktur</w:t>
      </w:r>
      <w:bookmarkEnd w:id="59"/>
    </w:p>
    <w:p w14:paraId="039B133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SKS Microfinance hat unterschiedliche Finanzierungskanäle genutzt, um ihre Kreditvergabearbeit zu realisieren, wobei sowohl Eigen- als auch Fremdkapital eine Rolle spielen. In den Anfangsjahren erhielt SKS Beteiligungskapital von internationalen Investoren und Venture-Capital-Firmen. Solche Eigenkapitalzuflüsse ermöglichten dem Unternehmen, rasch sein Kreditportfolio aufzubauen und geografisch zu expandieren, ohne allein auf operative Einnahmen angewiesen zu sein.</w:t>
      </w:r>
      <w:r>
        <w:rPr>
          <w:rStyle w:val="52"/>
          <w:rFonts w:hint="default" w:ascii="Times New Roman" w:hAnsi="Times New Roman" w:eastAsia="宋体" w:cs="Times New Roman"/>
          <w:lang w:val="de-DE" w:eastAsia="zh-CN"/>
        </w:rPr>
        <w:footnoteReference w:id="135"/>
      </w:r>
    </w:p>
    <w:p w14:paraId="7E14C56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Ergänzend nutzte SKS Fremdfinanzierungen über Bankkredite, Anleihen und andere externe Kapitalquellen. Institutionelle Finanzinstitute stellten Kredite bereit, die speziell für die Vergabe an einkommensschwache Kundinnen und Kunden bestimmt waren. Diese Fremdkapitalströme erlaubten eine größere Kreditvergabe, ohne dass das Eigenkapital sofort ausgeschöpft wurde. Die Reserve Bank of India überwachte und regulierte diese Finanzierungen, indem sie Rahmenbedingungen für NBFC-MFI-Institutionen wie SKS definierte.</w:t>
      </w:r>
      <w:r>
        <w:rPr>
          <w:rStyle w:val="52"/>
          <w:rFonts w:hint="default" w:ascii="Times New Roman" w:hAnsi="Times New Roman" w:eastAsia="宋体" w:cs="Times New Roman"/>
          <w:lang w:val="de-DE" w:eastAsia="zh-CN"/>
        </w:rPr>
        <w:footnoteReference w:id="136"/>
      </w:r>
    </w:p>
    <w:p w14:paraId="2BFA28E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prägendes Ereignis war der Börsengang im Jahr 2010. SKS führte die erste Mikrofinanz-IPO Indiens durch, was bedeutende internationale Investoren anlockte und erhebliche Kapitalbeträge generierte. Durch diesen Schritt konnten auch kleinere Anleger an der Entwicklung teilhaben. Die Kapitalaufnahme aus dem öffentlichen Markt verstärkte die Liquiditätsbasis und erleichterte Investitionen in neue Märkte und Lokationen.</w:t>
      </w:r>
      <w:r>
        <w:rPr>
          <w:rStyle w:val="52"/>
          <w:rFonts w:hint="default" w:ascii="Times New Roman" w:hAnsi="Times New Roman" w:eastAsia="宋体" w:cs="Times New Roman"/>
          <w:lang w:val="de-DE" w:eastAsia="zh-CN"/>
        </w:rPr>
        <w:footnoteReference w:id="137"/>
      </w:r>
    </w:p>
    <w:p w14:paraId="6BB71D1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Kurzfristige Kapitalbedarfe deckte SKS überwiegend durch Bankdarlehen und kurzfristige Kreditlinien ab. Diese Finanzierungsinstrumente boten Flexibilität und schnelle Liquidität, die für operative Zwecke wichtig war. Langfristige Finanzierungen kamen hingegen durch Eigenkapital, IPO-Mittel und institutionelle Förderprogramme herein. Eine solche Kombination unterschiedlicher Finanzierungsformen half, Liquiditätsengpässe zu vermeiden und zugleich stabile Kapitalquellen für die langfristige Geschäftsentwicklung zu sichern.</w:t>
      </w:r>
      <w:r>
        <w:rPr>
          <w:rStyle w:val="52"/>
          <w:rFonts w:hint="default" w:ascii="Times New Roman" w:hAnsi="Times New Roman" w:eastAsia="宋体" w:cs="Times New Roman"/>
          <w:lang w:val="de-DE" w:eastAsia="zh-CN"/>
        </w:rPr>
        <w:footnoteReference w:id="138"/>
      </w:r>
    </w:p>
    <w:p w14:paraId="2C044BD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SKS investierte zudem in Risikomanagement-Systeme und standardisierte Kreditprozesse. Diese Instrumente dienten nicht direkt der Finanzierung, verbesserten jedoch die Qualität des Kreditportfolios und reduzierten Kreditrisiken. Datenbankgestützte Systeme zur Überwachung von Rückzahlungen und Risiken unterstützten die Entscheidungsprozesse bei der Kapitalallokation, was für Finanzpartner und Investoren wichtig war.</w:t>
      </w:r>
      <w:r>
        <w:rPr>
          <w:rStyle w:val="52"/>
          <w:rFonts w:hint="default" w:ascii="Times New Roman" w:hAnsi="Times New Roman" w:eastAsia="宋体" w:cs="Times New Roman"/>
          <w:lang w:val="de-DE" w:eastAsia="zh-CN"/>
        </w:rPr>
        <w:footnoteReference w:id="139"/>
      </w:r>
    </w:p>
    <w:p w14:paraId="1B3BE8B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Zusätzlich baute SKS institutionelle Partnerschaften auf, etwa mit globalen Mikrofinanznetzwerken oder Entwicklungsinstitutionen. Solche Kooperationen eröffneten Zugang zu technischen Unterstützungsprogrammen, zu Fördermitteln und zu gemeinsamen Finanzierungsvereinbarungen, die sowohl Finanzierungskosten senken als auch Know-how-Transfer begünstigen. Insgesamt zeigt die Finanzierungsstruktur von SKS eine Mischung aus traditionellen Bankkrediten, Kapitalmarkt-Instrumenten und Impact-orientierten Beteiligungen, die darauf ausgerichtet ist, soziale Wirkung und finanzielle Nachhaltigkeit zugleich zu ermöglichen.</w:t>
      </w:r>
      <w:r>
        <w:rPr>
          <w:rStyle w:val="52"/>
          <w:rFonts w:hint="default" w:ascii="Times New Roman" w:hAnsi="Times New Roman" w:eastAsia="宋体" w:cs="Times New Roman"/>
          <w:lang w:val="de-DE" w:eastAsia="zh-CN"/>
        </w:rPr>
        <w:footnoteReference w:id="140"/>
      </w:r>
    </w:p>
    <w:p w14:paraId="33D6091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C024C9D">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0" w:name="_Toc4243"/>
      <w:r>
        <w:rPr>
          <w:rFonts w:hint="default" w:ascii="Times New Roman" w:hAnsi="Times New Roman" w:eastAsia="宋体" w:cs="Times New Roman"/>
          <w:b/>
          <w:lang w:val="de-DE" w:eastAsia="zh-CN"/>
        </w:rPr>
        <w:t>Renditeerwartungen und wirtschaftliche Tragfähigkeit</w:t>
      </w:r>
      <w:bookmarkEnd w:id="60"/>
    </w:p>
    <w:p w14:paraId="506F8F3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Renditeerwartungen bei SKS Microfinance, heute Bharat Financial Inclusion Ltd., sind nicht mit klassischen Hochzinsanlagen zu vergleichen, sondern orientieren sich an stabilen, moderaten Erträgen, die aus operativer Leistung und einer wachsenden Kreditvergabe resultieren. Im Geschäftsjahr bis zum 31. März 2024 konnte das Unternehmen seine Einnahmen deutlich steigern und erreichte etwa ₹2.335 Crore, im Vergleich zu etwa ₹1.736 Crore im Vorjahr, was auf eine Expansion der Kreditvergabe und stärkere Marktdurchdringung hindeutet. Diese Zunahme entspricht einem Wachstum von rund 34 %, trotz widriger externer Bedingungen.</w:t>
      </w:r>
      <w:r>
        <w:rPr>
          <w:rStyle w:val="52"/>
          <w:rFonts w:hint="default" w:ascii="Times New Roman" w:hAnsi="Times New Roman" w:eastAsia="宋体" w:cs="Times New Roman"/>
          <w:lang w:val="de-DE" w:eastAsia="zh-CN"/>
        </w:rPr>
        <w:footnoteReference w:id="141"/>
      </w:r>
      <w:r>
        <w:rPr>
          <w:rFonts w:hint="default" w:ascii="Times New Roman" w:hAnsi="Times New Roman" w:eastAsia="宋体" w:cs="Times New Roman"/>
          <w:lang w:val="de-DE" w:eastAsia="zh-CN"/>
        </w:rPr>
        <w:t xml:space="preserve"> </w:t>
      </w:r>
    </w:p>
    <w:p w14:paraId="2620294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betrieblichen Einnahmen lagen nahezu auf dem Niveau der Gesamterlöse, was darauf schließen lässt, dass operative Prozesse effizient gestaltet sind. Nach Abzug von Kosten konnte SKS allerdings nur einen relativ kleinen Nettogewinn von etwa ₹27 Crore ausweisen, was einer Nettomarge von circa 1,2 % entspricht. Die vergleichsweise niedrige Profitabilität erklärt sich durch erhöhte Aufwendungen, insbesondere für Personal und operative Entwicklung, die im Geschäftsjahr zu spüren waren. Gleichzeitig sind Finanzkosten und Risikovorsorge angesichts zunehmender Kreditstress-Indikatoren im Sektor relevant.</w:t>
      </w:r>
      <w:r>
        <w:rPr>
          <w:rStyle w:val="52"/>
          <w:rFonts w:hint="default" w:ascii="Times New Roman" w:hAnsi="Times New Roman" w:eastAsia="宋体" w:cs="Times New Roman"/>
          <w:lang w:val="de-DE" w:eastAsia="zh-CN"/>
        </w:rPr>
        <w:footnoteReference w:id="142"/>
      </w:r>
      <w:r>
        <w:rPr>
          <w:rFonts w:hint="default" w:ascii="Times New Roman" w:hAnsi="Times New Roman" w:eastAsia="宋体" w:cs="Times New Roman"/>
          <w:lang w:val="de-DE" w:eastAsia="zh-CN"/>
        </w:rPr>
        <w:t xml:space="preserve"> </w:t>
      </w:r>
    </w:p>
    <w:p w14:paraId="7499E99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Indikator für die wirtschaftliche Stärke ist das Nettovermögen. Dieses wuchs im betrachteten Zeitraum auf etwa ₹449 Crore, was auf eine gewisse Stabilität im Eigenkapital und eine Pufferwirkung gegenüber volatilen Erträgen hinweist. Die gestiegenen Personal- und Betriebskosten zeigen jedoch, dass Effizienzsteigerungen und Kostenkontrolle weiterhin zentral für die Tragfähigkeit bleiben.</w:t>
      </w:r>
      <w:r>
        <w:rPr>
          <w:rStyle w:val="52"/>
          <w:rFonts w:hint="default" w:ascii="Times New Roman" w:hAnsi="Times New Roman" w:eastAsia="宋体" w:cs="Times New Roman"/>
          <w:lang w:val="de-DE" w:eastAsia="zh-CN"/>
        </w:rPr>
        <w:footnoteReference w:id="143"/>
      </w:r>
    </w:p>
    <w:p w14:paraId="3F184EB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Renditeerwartung für Investoren setzt daher eher auf langfristige, moderate, aber stabile Erträge statt auf kurzfristige hohe Gewinne. Eine jüngere RBI-Analyse offenbarte, dass die Asset-Qualität im Mikrofinanzsektor unter Druck geraten ist, zum Beispiel stieg die Quote der Kredite, die mehr als 31 bis 180 Tage überfällig sind, auf etwa 4,3 % im Jahr 2024, was die Ertragslage belasten kann.</w:t>
      </w:r>
      <w:r>
        <w:rPr>
          <w:rStyle w:val="52"/>
          <w:rFonts w:hint="default" w:ascii="Times New Roman" w:hAnsi="Times New Roman" w:eastAsia="宋体" w:cs="Times New Roman"/>
          <w:lang w:val="de-DE" w:eastAsia="zh-CN"/>
        </w:rPr>
        <w:footnoteReference w:id="144"/>
      </w:r>
      <w:r>
        <w:rPr>
          <w:rFonts w:hint="default" w:ascii="Times New Roman" w:hAnsi="Times New Roman" w:eastAsia="宋体" w:cs="Times New Roman"/>
          <w:lang w:val="de-DE" w:eastAsia="zh-CN"/>
        </w:rPr>
        <w:t xml:space="preserve"> </w:t>
      </w:r>
    </w:p>
    <w:p w14:paraId="491C7C1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Trotz der Herausforderungen zeigt die Geschäftsentwicklung von SKS, dass das Unternehmen auch in schwierigen Phasen positive Ergebnisse erzielen kann und über eine solide operative Basis verfügt. Die Stabilität des Eigenkapitals, das Wachstum des Gesamtportfolios und eine relativ hohe operative Effizienz unterstützen die wirtschaftliche Tragfähigkeit. Investoren müssen jedoch die makroökonomischen Rahmenbedingungen und Kreditrisiken im Blick behalten, da diese Faktoren maßgeblich die zukünftigen Renditen beeinflussen.</w:t>
      </w:r>
      <w:r>
        <w:rPr>
          <w:rStyle w:val="52"/>
          <w:rFonts w:hint="default" w:ascii="Times New Roman" w:hAnsi="Times New Roman" w:eastAsia="宋体" w:cs="Times New Roman"/>
          <w:lang w:val="de-DE" w:eastAsia="zh-CN"/>
        </w:rPr>
        <w:footnoteReference w:id="145"/>
      </w:r>
    </w:p>
    <w:p w14:paraId="2A4E3DD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03C8EC2A">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1" w:name="_Toc19759"/>
      <w:r>
        <w:rPr>
          <w:rFonts w:hint="default" w:ascii="Times New Roman" w:hAnsi="Times New Roman" w:eastAsia="宋体" w:cs="Times New Roman"/>
          <w:b/>
          <w:lang w:val="de-DE" w:eastAsia="zh-CN"/>
        </w:rPr>
        <w:t>Soziale Wirkung und Herausforderungen der Impact-Messung</w:t>
      </w:r>
      <w:bookmarkEnd w:id="61"/>
    </w:p>
    <w:p w14:paraId="1D33AF8B">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soziale Wirkung der Mikrofinanzbranche in Indien war 2024/25 erneut ausgeprägt, auch wenn strukturelle Herausforderungen bei der Messung bestehen. Laut Bharat Microfinance Report 2024 erreichte das gesamte Kreditvolumen im Sektor etwa ₹4,43 Lakh Crore, wobei sich rund 8,67 Crore aktive Kreditnehmerinnen und Kreditnehmer registrieren ließen. Ein herausragender Befund ist der sehr hohe Anteil weiblicher Kreditnehmerinnen: etwa 99 % der aktiven Kunden sind Frauen, was eine starke Ausrichtung auf finanzielle Inklusion benachteiligter Gruppen zeigt.</w:t>
      </w:r>
      <w:r>
        <w:rPr>
          <w:rStyle w:val="52"/>
          <w:rFonts w:hint="default" w:ascii="Times New Roman" w:hAnsi="Times New Roman" w:eastAsia="宋体" w:cs="Times New Roman"/>
          <w:lang w:val="de-DE" w:eastAsia="zh-CN"/>
        </w:rPr>
        <w:footnoteReference w:id="146"/>
      </w:r>
      <w:r>
        <w:rPr>
          <w:rFonts w:hint="default" w:ascii="Times New Roman" w:hAnsi="Times New Roman" w:eastAsia="宋体" w:cs="Times New Roman"/>
          <w:lang w:val="de-DE" w:eastAsia="zh-CN"/>
        </w:rPr>
        <w:t xml:space="preserve"> </w:t>
      </w:r>
    </w:p>
    <w:p w14:paraId="350507E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Der Großteil der ausgegebenen Mikrokredite wurde laut Branchenberichten für einkommensschaffende Aktivitäten genutzt. In rund 94 % der Fälle flossen die Mittel in Unternehmungen wie Kleinhandel, landwirtschaftliche Tätigkeiten oder handwerkliche Produktion. Diese Investitionen haben dazu beigetragen, das Haushaltseinkommen nachhaltig zu erhöhen und wirtschaftliche Selbstständigkeit zu fördern.</w:t>
      </w:r>
      <w:r>
        <w:rPr>
          <w:rStyle w:val="52"/>
          <w:rFonts w:hint="default" w:ascii="Times New Roman" w:hAnsi="Times New Roman" w:eastAsia="宋体" w:cs="Times New Roman"/>
          <w:lang w:val="de-DE" w:eastAsia="zh-CN"/>
        </w:rPr>
        <w:footnoteReference w:id="147"/>
      </w:r>
      <w:r>
        <w:rPr>
          <w:rFonts w:hint="default" w:ascii="Times New Roman" w:hAnsi="Times New Roman" w:eastAsia="宋体" w:cs="Times New Roman"/>
          <w:lang w:val="de-DE" w:eastAsia="zh-CN"/>
        </w:rPr>
        <w:t xml:space="preserve"> </w:t>
      </w:r>
    </w:p>
    <w:p w14:paraId="03BC8C9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Gleichzeitig zeigen die Daten, dass der Sektor strukturellen Stress zu bewältigen hat. Im Fiskaljahr 2024-25 schrumpfte das Gesamtvolumen auf etwa ₹3,81 Lakh Crore und die aktive Kreditnehmerbasis ging zurück, was auf eine Konsolidierung des Kreditmarkts und strengere Kreditvergabestandards hindeutet.</w:t>
      </w:r>
      <w:r>
        <w:rPr>
          <w:rStyle w:val="52"/>
          <w:rFonts w:hint="default" w:ascii="Times New Roman" w:hAnsi="Times New Roman" w:eastAsia="宋体" w:cs="Times New Roman"/>
          <w:lang w:val="de-DE" w:eastAsia="zh-CN"/>
        </w:rPr>
        <w:footnoteReference w:id="148"/>
      </w:r>
      <w:r>
        <w:rPr>
          <w:rFonts w:hint="default" w:ascii="Times New Roman" w:hAnsi="Times New Roman" w:eastAsia="宋体" w:cs="Times New Roman"/>
          <w:lang w:val="de-DE" w:eastAsia="zh-CN"/>
        </w:rPr>
        <w:t xml:space="preserve"> </w:t>
      </w:r>
    </w:p>
    <w:p w14:paraId="67C9CCB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Zudem steigen die Delinquenzraten im Sektor. Nach RBI-Daten erhöhte sich der Anteil überfälliger Kredite (mehr als 31 bis 180 Tage überfällig) auf etwa 4,3 % Mitte 2024, und weitere Stresserhöhungen folgten im Jahr 2025. Diese Entwicklung erschwert die Wirkungsmessung, weil finanzielle Belastungen von einzelnen Kreditnehmern auch auf externe Einflüsse wie wirtschaftliche Rahmenbedingungen und multiplen Kreditzugang zurückgeführt werden müssen.</w:t>
      </w:r>
      <w:r>
        <w:rPr>
          <w:rStyle w:val="52"/>
          <w:rFonts w:hint="default" w:ascii="Times New Roman" w:hAnsi="Times New Roman" w:eastAsia="宋体" w:cs="Times New Roman"/>
          <w:lang w:val="de-DE" w:eastAsia="zh-CN"/>
        </w:rPr>
        <w:footnoteReference w:id="149"/>
      </w:r>
      <w:r>
        <w:rPr>
          <w:rFonts w:hint="default" w:ascii="Times New Roman" w:hAnsi="Times New Roman" w:eastAsia="宋体" w:cs="Times New Roman"/>
          <w:lang w:val="de-DE" w:eastAsia="zh-CN"/>
        </w:rPr>
        <w:t xml:space="preserve"> </w:t>
      </w:r>
    </w:p>
    <w:p w14:paraId="4C3E1BC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Impact-Messung erfordert sowohl quantitative als auch qualitative Daten. Klassische Indikatoren - wie Anzahl der Kreditnehmerinnen, Höhe der ausstehenden Kredite oder der Anteil produktiver Kreditverwendung - liefern wichtige Messpunkte, decken jedoch nicht automatisch Veränderungen in Lebensqualität, Bildungszugang oder sozialer Stabilität ab. Qualitative Erhebungen, Befragungen vor Ort und longitudinale Studien können diese Aspekte ergänzen, doch ihre Erhebung ist aufwendig.</w:t>
      </w:r>
      <w:r>
        <w:rPr>
          <w:rStyle w:val="52"/>
          <w:rFonts w:hint="default" w:ascii="Times New Roman" w:hAnsi="Times New Roman" w:eastAsia="宋体" w:cs="Times New Roman"/>
          <w:lang w:val="de-DE" w:eastAsia="zh-CN"/>
        </w:rPr>
        <w:footnoteReference w:id="150"/>
      </w:r>
    </w:p>
    <w:p w14:paraId="5DFB8DA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Problem ist die Attribution von Wirkung. Verbesserungen im Einkommen oder im Lebensstandard können durch die Mikrokredite beeinflusst worden sein, aber auch durch staatliche Programme oder lokale Marktentwicklungen. Ohne geeignete Kontrollgruppen und statistische Methoden lässt sich der tatsächliche Beitrag schwer isolieren.</w:t>
      </w:r>
      <w:r>
        <w:rPr>
          <w:rStyle w:val="52"/>
          <w:rFonts w:hint="default" w:ascii="Times New Roman" w:hAnsi="Times New Roman" w:eastAsia="宋体" w:cs="Times New Roman"/>
          <w:lang w:val="de-DE" w:eastAsia="zh-CN"/>
        </w:rPr>
        <w:footnoteReference w:id="151"/>
      </w:r>
    </w:p>
    <w:p w14:paraId="494795E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5427D00B">
      <w:pPr>
        <w:pStyle w:val="5"/>
        <w:keepNext/>
        <w:keepLines/>
        <w:pageBreakBefore w:val="0"/>
        <w:widowControl/>
        <w:kinsoku/>
        <w:wordWrap/>
        <w:overflowPunct/>
        <w:topLinePunct w:val="0"/>
        <w:autoSpaceDE/>
        <w:autoSpaceDN/>
        <w:bidi w:val="0"/>
        <w:adjustRightInd/>
        <w:snapToGrid/>
        <w:spacing w:before="240" w:after="120" w:line="360" w:lineRule="auto"/>
        <w:ind w:left="578" w:hanging="578"/>
        <w:textAlignment w:val="auto"/>
        <w:rPr>
          <w:rFonts w:hint="default" w:ascii="Times New Roman" w:hAnsi="Times New Roman" w:eastAsia="宋体" w:cs="Times New Roman"/>
          <w:lang w:val="de-DE" w:eastAsia="zh-CN"/>
        </w:rPr>
      </w:pPr>
      <w:bookmarkStart w:id="62" w:name="_Toc31964"/>
      <w:bookmarkStart w:id="63" w:name="_Toc27839"/>
      <w:r>
        <w:rPr>
          <w:rFonts w:hint="default" w:ascii="Times New Roman" w:hAnsi="Times New Roman" w:eastAsia="宋体" w:cs="Times New Roman"/>
          <w:highlight w:val="none"/>
          <w:lang w:val="de-DE" w:eastAsia="zh-CN"/>
        </w:rPr>
        <w:t>Ecoligo</w:t>
      </w:r>
      <w:bookmarkEnd w:id="62"/>
      <w:bookmarkEnd w:id="63"/>
    </w:p>
    <w:p w14:paraId="6A50598C">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4" w:name="_Toc12310"/>
      <w:r>
        <w:rPr>
          <w:rFonts w:hint="default" w:ascii="Times New Roman" w:hAnsi="Times New Roman" w:eastAsia="宋体" w:cs="Times New Roman"/>
          <w:b/>
          <w:lang w:val="de-DE" w:eastAsia="zh-CN"/>
        </w:rPr>
        <w:t>Geschäftsmodell und Zielsetzung des Unternehmens</w:t>
      </w:r>
      <w:bookmarkEnd w:id="64"/>
    </w:p>
    <w:p w14:paraId="5467A94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Ecoligo ist ein deutsches Impact-Unternehmen mit Sitz in Berlin, das Finanzierungslösungen für kommerzielle und industrielle Solaranlagen in Schwellen- und Entwicklungsländern anbietet. Das Geschäftsmodell basiert auf dem Prinzip „Solar-as-a-Service“: Ecoligo entwickelt, besitzt und betreibt Photovoltaiksysteme, die vor Ort bei Firmen installiert werden. Diese Firmen sparen Energiekosten und beziehen den Solarstrom zu fest vereinbarten Konditionen, ohne hohe Anfangsinvestitionen zu leisten. Investoren finanzieren die Projekte über Ecoligos Online-Plattform und erhalten im Gegenzug regelmäßige Zinszahlungen.</w:t>
      </w:r>
      <w:r>
        <w:rPr>
          <w:rStyle w:val="52"/>
          <w:rFonts w:hint="default" w:ascii="Times New Roman" w:hAnsi="Times New Roman" w:eastAsia="宋体" w:cs="Times New Roman"/>
          <w:lang w:val="de-DE" w:eastAsia="zh-CN"/>
        </w:rPr>
        <w:footnoteReference w:id="152"/>
      </w:r>
      <w:r>
        <w:rPr>
          <w:rFonts w:hint="default" w:ascii="Times New Roman" w:hAnsi="Times New Roman" w:eastAsia="宋体" w:cs="Times New Roman"/>
          <w:lang w:val="de-DE" w:eastAsia="zh-CN"/>
        </w:rPr>
        <w:t xml:space="preserve"> </w:t>
      </w:r>
    </w:p>
    <w:p w14:paraId="22ECF15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Gründer Martin Baart und Markus Schwaninger erkannten 2016 eine Finanzierungslücke für kleine bis mittlere Solarprojekte in Märkten wie Kenia, Ghana, Vietnam, Chile oder den Philippinen. Diese Lücke füllt Ecoligo, indem das Unternehmen Solaranlagen mit externem Kapital finanziert und gleichzeitig technische Lösungen und Wartung anbietet. Ecoligo investiert in lokale Teams und Partner, die Installation und Service vor Ort übernehmen, was die Umsetzung und langfristige Betreuung effizienter macht.</w:t>
      </w:r>
      <w:r>
        <w:rPr>
          <w:rStyle w:val="52"/>
          <w:rFonts w:hint="default" w:ascii="Times New Roman" w:hAnsi="Times New Roman" w:eastAsia="宋体" w:cs="Times New Roman"/>
          <w:lang w:val="de-DE" w:eastAsia="zh-CN"/>
        </w:rPr>
        <w:footnoteReference w:id="153"/>
      </w:r>
      <w:r>
        <w:rPr>
          <w:rFonts w:hint="default" w:ascii="Times New Roman" w:hAnsi="Times New Roman" w:eastAsia="宋体" w:cs="Times New Roman"/>
          <w:lang w:val="de-DE" w:eastAsia="zh-CN"/>
        </w:rPr>
        <w:t xml:space="preserve"> </w:t>
      </w:r>
    </w:p>
    <w:p w14:paraId="11FCFAF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zentrales Ziel ist die Verbindung von ökologischer Nachhaltigkeit und wirtschaftlicher Rentabilität. Durch Solarinvestitionen wird nicht nur CO₂ reduziert, sondern auch Unternehmen geholfen, ihre Betriebskosten zu senken, was sich positiv auf Produktion und Wettbewerbsfähigkeit auswirkt. Laut Firmenangaben trugen Projekte dazu bei, mehr als 1,7 Millionen Tonnen CO₂ bis 2024 einzusparen.</w:t>
      </w:r>
      <w:r>
        <w:rPr>
          <w:rStyle w:val="52"/>
          <w:rFonts w:hint="default" w:ascii="Times New Roman" w:hAnsi="Times New Roman" w:eastAsia="宋体" w:cs="Times New Roman"/>
          <w:lang w:val="de-DE" w:eastAsia="zh-CN"/>
        </w:rPr>
        <w:footnoteReference w:id="154"/>
      </w:r>
      <w:r>
        <w:rPr>
          <w:rFonts w:hint="default" w:ascii="Times New Roman" w:hAnsi="Times New Roman" w:eastAsia="宋体" w:cs="Times New Roman"/>
          <w:lang w:val="de-DE" w:eastAsia="zh-CN"/>
        </w:rPr>
        <w:t xml:space="preserve"> </w:t>
      </w:r>
    </w:p>
    <w:p w14:paraId="52D87A1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Ecoligo ist heute mehr als eine reine Crowdinvesting-Plattform. Das Unternehmen hat sich regulatorisch weiterentwickelt und ist in Deutschland unter der Finanzaufsicht von BaFin aktiv, was einen rechtssicheren Vertrieb von Investmentprodukten ermöglicht. Die Struktur mit zwei juristischen Einheiten - Ecoligo GmbH für Projekte und ecoligo invest GmbH für die Plattform - sorgt für klare Rollen und Verantwortlichkeiten. </w:t>
      </w:r>
    </w:p>
    <w:p w14:paraId="434EFEC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weiteres Ziel ist die Skalierung der Wirkung über mehrere Kontinente. Bis Mitte 2025 wurden laut eigenen Angaben bereits über 160 Solarprojekte in rund elf Ländern finanziert und mehr als €56 Millionen an Investments kanalisiert. Dies deutet auf eine starke Nachfrage bei nachhaltigen Unternehmenslösungen im Solarbereich hin.</w:t>
      </w:r>
      <w:r>
        <w:rPr>
          <w:rStyle w:val="52"/>
          <w:rFonts w:hint="default" w:ascii="Times New Roman" w:hAnsi="Times New Roman" w:eastAsia="宋体" w:cs="Times New Roman"/>
          <w:lang w:val="de-DE" w:eastAsia="zh-CN"/>
        </w:rPr>
        <w:footnoteReference w:id="155"/>
      </w:r>
      <w:r>
        <w:rPr>
          <w:rFonts w:hint="default" w:ascii="Times New Roman" w:hAnsi="Times New Roman" w:eastAsia="宋体" w:cs="Times New Roman"/>
          <w:lang w:val="de-DE" w:eastAsia="zh-CN"/>
        </w:rPr>
        <w:t xml:space="preserve"> </w:t>
      </w:r>
    </w:p>
    <w:p w14:paraId="4451A46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Ecoligo versteht sich als Bindeglied zwischen Impact-Investoren, Technologiepartnern und Endkunden in Schwellenländern. Das Geschäftsmodell nutzt digitale Plattformen, institutionelle Finanzierungsrunden und lokale Projektentwicklung, um erneuerbare Energien zugänglich und finanzierbar zu machen. Das Unternehmen trägt so zur Energie- und Klimawende bei, indem es gleichzeitig finanzielle Renditen für Investoren ermöglicht.</w:t>
      </w:r>
      <w:r>
        <w:rPr>
          <w:rStyle w:val="52"/>
          <w:rFonts w:hint="default" w:ascii="Times New Roman" w:hAnsi="Times New Roman" w:eastAsia="宋体" w:cs="Times New Roman"/>
          <w:lang w:val="de-DE" w:eastAsia="zh-CN"/>
        </w:rPr>
        <w:footnoteReference w:id="156"/>
      </w:r>
      <w:r>
        <w:rPr>
          <w:rFonts w:hint="default" w:ascii="Times New Roman" w:hAnsi="Times New Roman" w:eastAsia="宋体" w:cs="Times New Roman"/>
          <w:lang w:val="de-DE" w:eastAsia="zh-CN"/>
        </w:rPr>
        <w:t xml:space="preserve"> </w:t>
      </w:r>
    </w:p>
    <w:p w14:paraId="5111C524">
      <w:pPr>
        <w:pStyle w:val="2"/>
        <w:rPr>
          <w:rFonts w:hint="default"/>
          <w:lang w:val="de-DE" w:eastAsia="zh-CN"/>
        </w:rPr>
      </w:pPr>
    </w:p>
    <w:p w14:paraId="2F8DDBD6">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5" w:name="_Toc22891"/>
      <w:r>
        <w:rPr>
          <w:rFonts w:hint="default" w:ascii="Times New Roman" w:hAnsi="Times New Roman" w:eastAsia="宋体" w:cs="Times New Roman"/>
          <w:b/>
          <w:lang w:val="de-DE" w:eastAsia="zh-CN"/>
        </w:rPr>
        <w:t>Impact-Investing-Mechanismen und Anlegerstruktur</w:t>
      </w:r>
      <w:bookmarkEnd w:id="65"/>
    </w:p>
    <w:p w14:paraId="7BCA8E9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Ecoligo nutzt mehrere Mechanismen des Impact Investing, um Kapital für Solarprojekte zu mobilisieren. Im Kern steht eine Crowdinvesting-Plattform, die private Anleger mit gewerblichen Solarprojekten verbindet. Über diese Plattform können Investoren mit niedrigen Mindestbeträgen bei einzelnen Projekten einsteigen und einen festen Zinssatz erhalten, der aus den Zahlungen der Kunden resultiert. Diese Zinsrenditen liegen typischerweise zwischen 6 % und 9 % jährlich und reflektieren sowohl den längeren Anlagehorizont als auch länderspezifische Risiken. </w:t>
      </w:r>
    </w:p>
    <w:p w14:paraId="556E875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rechtliche Struktur der Produkte ist meist als Nachrangdarlehen gestaltet. Das bedeutet, dass Anleger nachrangige Gläubiger sind, also im Falle einer Zahlungsunfähigkeit des Projektträgers zuerst andere vorrangige Ansprüche bedient werden. Diese nachrangige Position führt zu einem erhöhten Risiko, wird jedoch durch höhere Zinsen kompensiert.</w:t>
      </w:r>
      <w:r>
        <w:rPr>
          <w:rStyle w:val="52"/>
          <w:rFonts w:hint="default" w:ascii="Times New Roman" w:hAnsi="Times New Roman" w:eastAsia="宋体" w:cs="Times New Roman"/>
          <w:lang w:val="de-DE" w:eastAsia="zh-CN"/>
        </w:rPr>
        <w:footnoteReference w:id="157"/>
      </w:r>
      <w:r>
        <w:rPr>
          <w:rFonts w:hint="default" w:ascii="Times New Roman" w:hAnsi="Times New Roman" w:eastAsia="宋体" w:cs="Times New Roman"/>
          <w:lang w:val="de-DE" w:eastAsia="zh-CN"/>
        </w:rPr>
        <w:t xml:space="preserve"> </w:t>
      </w:r>
    </w:p>
    <w:p w14:paraId="38F98AC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Im Jahr 2023 und 2024 hat Ecoligo sein Angebot erweitert, indem ecoStart Solar Bonds eingeführt wurden. Diese Bonds bündeln mehrere Solarprojekte in einem Wertpapier, das mit einem EU-konformen Prospekt ausgestattet ist. Die Bonds richten sich vor allem an größere EU-Investoren und haben typischerweise kürzere Laufzeiten (etwa drei Jahre) mit attraktiven Zinszahlungen rund um 8 % bis 9 %.</w:t>
      </w:r>
      <w:r>
        <w:rPr>
          <w:rStyle w:val="52"/>
          <w:rFonts w:hint="default" w:ascii="Times New Roman" w:hAnsi="Times New Roman" w:eastAsia="宋体" w:cs="Times New Roman"/>
          <w:lang w:val="de-DE" w:eastAsia="zh-CN"/>
        </w:rPr>
        <w:footnoteReference w:id="158"/>
      </w:r>
    </w:p>
    <w:p w14:paraId="603F5CD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Institutionelle Investoren tragen ebenfalls zur Kapitalbasis bei. So investierten Impact-Fonds wie der Energy Entrepreneurs Growth Fund und der Gaia Impact Fund im Jahr 2024 etwa €11 Millionen in Ecoligo, um das Wachstum zu beschleunigen. Solche Fonds bringen nicht nur Kapital, sondern auch strategische Expertise und Zugang zu Netzwerken, was die Projektpipeline stärkt.</w:t>
      </w:r>
      <w:r>
        <w:rPr>
          <w:rStyle w:val="52"/>
          <w:rFonts w:hint="default" w:ascii="Times New Roman" w:hAnsi="Times New Roman" w:eastAsia="宋体" w:cs="Times New Roman"/>
          <w:lang w:val="de-DE" w:eastAsia="zh-CN"/>
        </w:rPr>
        <w:footnoteReference w:id="159"/>
      </w:r>
    </w:p>
    <w:p w14:paraId="28CC427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Darüber hinaus engagieren sich externe Finanzpartner für spezifische Marktsegmente. Ein Beispiel ist der Mirova Gigaton Fund, der fast €10 Millionen an seniorer Finanzierung in vietnamesische Solarprojekte einbrachte, was institutionelle Kapitalschichten in die Impact-Investitionen integriert.</w:t>
      </w:r>
      <w:r>
        <w:rPr>
          <w:rStyle w:val="52"/>
          <w:rFonts w:hint="default" w:ascii="Times New Roman" w:hAnsi="Times New Roman" w:eastAsia="宋体" w:cs="Times New Roman"/>
          <w:lang w:val="de-DE" w:eastAsia="zh-CN"/>
        </w:rPr>
        <w:footnoteReference w:id="160"/>
      </w:r>
    </w:p>
    <w:p w14:paraId="3BF5D6B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Mechanismus sind Green Bonds, etwa eine im Jahr 2024 platzierte Anleihe mit einem Zeichnungsvolumen von bis zu 50 Millionen US-Dollar, die mehrere Solaranlagen in Vietnam finanzierte. Diese grünen Anleihen entsprechen internationalen Standards und erleichtern institutionelle Finanzierungen mit klar definierten Umweltzielen.</w:t>
      </w:r>
      <w:r>
        <w:rPr>
          <w:rStyle w:val="52"/>
          <w:rFonts w:hint="default" w:ascii="Times New Roman" w:hAnsi="Times New Roman" w:eastAsia="宋体" w:cs="Times New Roman"/>
          <w:lang w:val="de-DE" w:eastAsia="zh-CN"/>
        </w:rPr>
        <w:footnoteReference w:id="161"/>
      </w:r>
    </w:p>
    <w:p w14:paraId="7B723CB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Anlegerstruktur bei Ecoligo ist deshalb vielfältig: Sie umfasst private Kleinanleger über die Crowd, institutionelle Impact-Fonds, strategische Finanzpartner und manchmal auch entwicklungsorientierte Investmentvehikel. Diese Diversität ermöglicht eine breite Streuung des Kapitals und fördert gleichzeitig unterschiedliche Investorenprofile mit variierenden Risiko- und Renditeerwartungen zu bedienen.</w:t>
      </w:r>
      <w:r>
        <w:rPr>
          <w:rStyle w:val="52"/>
          <w:rFonts w:hint="default" w:ascii="Times New Roman" w:hAnsi="Times New Roman" w:eastAsia="宋体" w:cs="Times New Roman"/>
          <w:lang w:val="de-DE" w:eastAsia="zh-CN"/>
        </w:rPr>
        <w:footnoteReference w:id="162"/>
      </w:r>
    </w:p>
    <w:p w14:paraId="260FEC6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DE1D7D0">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6" w:name="_Toc14097"/>
      <w:r>
        <w:rPr>
          <w:rFonts w:hint="default" w:ascii="Times New Roman" w:hAnsi="Times New Roman" w:eastAsia="宋体" w:cs="Times New Roman"/>
          <w:b/>
          <w:lang w:val="de-DE" w:eastAsia="zh-CN"/>
        </w:rPr>
        <w:t>Renditeorientierung und Risiko-Rendite-Profil</w:t>
      </w:r>
      <w:bookmarkEnd w:id="66"/>
    </w:p>
    <w:p w14:paraId="1B9BA54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Ecoligo bietet Renditechancen, die über klassische Impact Investing-Standards hinausgehen, da Investoren sowohl einen positiven ökologischen Beitrag als auch einen finanziellen Ertrag erwarten können. Die angebotenen Projekte generieren regelmäßige Cashflows, indem gewerbliche Kunden Solarstrom beziehen und dafür feste Zahlungen leisten. Diese wiederkehrenden Zahlungen dienen als Grundlage für jährliche Zinsrenditen an die Anleger, die meist im Bereich von 5 % bis 8 % liegen und in einigen Projekten bis zu etwa 9 % erreicht werden.</w:t>
      </w:r>
      <w:r>
        <w:rPr>
          <w:rStyle w:val="52"/>
          <w:rFonts w:hint="default" w:ascii="Times New Roman" w:hAnsi="Times New Roman" w:eastAsia="宋体" w:cs="Times New Roman"/>
          <w:lang w:val="de-DE" w:eastAsia="zh-CN"/>
        </w:rPr>
        <w:footnoteReference w:id="163"/>
      </w:r>
    </w:p>
    <w:p w14:paraId="06F1E75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charakteristisches Merkmal des Renditeprofils ist der langfristige Anlagehorizont. Typische Laufzeiten reichen von drei bis acht Jahren, abhängig von der Projektgröße und der gewählten Finanzierungsform. Solche Zeiträume ermöglichen es, stabile Einnahmen zu erzielen und zugleich die Investitionssumme über die gesamte Laufzeit effizient zu nutzen. Für Investoren ergibt sich daraus ein regelmäßiger Zinsfluss, der planbare Erträge schafft.</w:t>
      </w:r>
      <w:r>
        <w:rPr>
          <w:rStyle w:val="52"/>
          <w:rFonts w:hint="default" w:ascii="Times New Roman" w:hAnsi="Times New Roman" w:eastAsia="宋体" w:cs="Times New Roman"/>
          <w:lang w:val="de-DE" w:eastAsia="zh-CN"/>
        </w:rPr>
        <w:footnoteReference w:id="164"/>
      </w:r>
      <w:r>
        <w:rPr>
          <w:rFonts w:hint="default" w:ascii="Times New Roman" w:hAnsi="Times New Roman" w:eastAsia="宋体" w:cs="Times New Roman"/>
          <w:lang w:val="de-DE" w:eastAsia="zh-CN"/>
        </w:rPr>
        <w:t xml:space="preserve"> </w:t>
      </w:r>
    </w:p>
    <w:p w14:paraId="7869AF1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Das Risiko-Rendite-Profil wird wesentlich von mehreren Faktoren geprägt. Länder- und Marktbedingungen, zum Beispiel politische Stabilität oder Währungsschwankungen in Schwellenländern, können die Einnahmeseite der Projekte beeinflussen. Solche Risiken sind typischerweise höher als in entwickelten Märkten, was höhere Renditen erklärt. Darüber hinaus sind Nachrangdarlehen ein zentrales Risikoereignis, da Investoren im Insolvenzfall nachrangig bedient werden und daher ein höheres Ausfallrisiko tragen als seniorere Finanzgeber.</w:t>
      </w:r>
      <w:r>
        <w:rPr>
          <w:rStyle w:val="52"/>
          <w:rFonts w:hint="default" w:ascii="Times New Roman" w:hAnsi="Times New Roman" w:eastAsia="宋体" w:cs="Times New Roman"/>
          <w:lang w:val="de-DE" w:eastAsia="zh-CN"/>
        </w:rPr>
        <w:footnoteReference w:id="165"/>
      </w:r>
    </w:p>
    <w:p w14:paraId="48A1626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Trotz dieser Risiken zeigt die Performance der Plattform eine hohe Ausfallsicherheit. Seit 2016 ist nur ein Projekt ausgefallen - ein Solarvorhaben in Afrika im Jahr 2023, bei dem etwa 39 % des eingesetzten Kapitals verloren gingen. Dieser Einzelfall stellt jedoch eine sehr geringe relative Verlustquote von etwa 0,13 % des gesamten Investitionsvolumens dar und belegt die Stabilität des Portfolios angesichts über 160 Finanzierungen.</w:t>
      </w:r>
      <w:r>
        <w:rPr>
          <w:rStyle w:val="52"/>
          <w:rFonts w:hint="default" w:ascii="Times New Roman" w:hAnsi="Times New Roman" w:eastAsia="宋体" w:cs="Times New Roman"/>
          <w:lang w:val="de-DE" w:eastAsia="zh-CN"/>
        </w:rPr>
        <w:footnoteReference w:id="166"/>
      </w:r>
    </w:p>
    <w:p w14:paraId="53271D4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Auf der anderen Seite hatten viele Projekte pünktliche Zins- und Kapitalrückzahlungen, und Anleger beobachteten durchschnittliche Renditen, die oft nahe 8 % pro Jahr lagen, nachdem Gebühren berücksichtigt wurden. Positive Erfahrungsberichte von registrierten Nutzern bestätigen die Attraktivität der Renditen im Vergleich zu traditionellen festverzinslichen Anlagen.</w:t>
      </w:r>
    </w:p>
    <w:p w14:paraId="7473CB48">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Faktor ist die regulatorische Struktur. Ecoligo nutzt BaFin-regulierte Plattformstrukturen in Deutschland, was Transparenz und Rechtssicherheit für Anleger gewährleistet. Solche Rahmenbedingungen können für institutionelle Investoren attraktiv sein, da sie erhöhte Mindeststandards hinsichtlich Berichtspflichten und Anlegerschutz bieten.</w:t>
      </w:r>
      <w:r>
        <w:rPr>
          <w:rStyle w:val="52"/>
          <w:rFonts w:hint="default" w:ascii="Times New Roman" w:hAnsi="Times New Roman" w:eastAsia="宋体" w:cs="Times New Roman"/>
          <w:lang w:val="de-DE" w:eastAsia="zh-CN"/>
        </w:rPr>
        <w:footnoteReference w:id="167"/>
      </w:r>
    </w:p>
    <w:p w14:paraId="0AE757C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5603A0F8">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7" w:name="_Toc13857"/>
      <w:r>
        <w:rPr>
          <w:rFonts w:hint="default" w:ascii="Times New Roman" w:hAnsi="Times New Roman" w:eastAsia="宋体" w:cs="Times New Roman"/>
          <w:b/>
          <w:lang w:val="de-DE" w:eastAsia="zh-CN"/>
        </w:rPr>
        <w:t>Wirkungsbeitrag und Messbarkeit des Impacts</w:t>
      </w:r>
      <w:bookmarkEnd w:id="67"/>
    </w:p>
    <w:p w14:paraId="36785B3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Ecoligo verfolgt mit seinen Projekten einen klaren Wirkungsbeitrag in ökologischer und wirtschaftlicher Hinsicht. Der Kern der Wirkung besteht in der Förderung erneuerbarer Energien in Regionen, die historisch stark von fossiler Stromversorgung abhängig sind. Seit der Gründung hat Ecoligo Photovoltaikanlagen mit einer kombinierten Kapazität von über 100 MW realisiert, die Unternehmen in mindestens elf Ländern Zugang zu sauberer Solarenergie bieten.</w:t>
      </w:r>
      <w:r>
        <w:rPr>
          <w:rStyle w:val="52"/>
          <w:rFonts w:hint="default" w:ascii="Times New Roman" w:hAnsi="Times New Roman" w:eastAsia="宋体" w:cs="Times New Roman"/>
          <w:lang w:val="de-DE" w:eastAsia="zh-CN"/>
        </w:rPr>
        <w:footnoteReference w:id="168"/>
      </w:r>
    </w:p>
    <w:p w14:paraId="48390A3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Durch die Bereitstellung von Solaranlagen konnten viele Kunden ihre Energiekosten deutlich reduzieren. Vor Ort dokumentieren Beispiele aus Kenia, Vietnam oder Chile Einsparungen von 20 % bis 30 % bei den Stromkosten, was für kleine und mittlere Unternehmen die Wettbewerbsfähigkeit erhöht und zusätzliche finanzielle Ressourcen freisetzt.</w:t>
      </w:r>
      <w:r>
        <w:rPr>
          <w:rStyle w:val="52"/>
          <w:rFonts w:hint="default" w:ascii="Times New Roman" w:hAnsi="Times New Roman" w:eastAsia="宋体" w:cs="Times New Roman"/>
          <w:lang w:val="de-DE" w:eastAsia="zh-CN"/>
        </w:rPr>
        <w:footnoteReference w:id="169"/>
      </w:r>
    </w:p>
    <w:p w14:paraId="1CAEEDF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anderer zentraler Impact-Parameter ist die Reduktion von Treibhausgasemissionen. Projekte von Ecoligo sollen laut Plattformstatistiken dazu beitragen, über 1,7 Millionen Tonnen CO₂ einzusparen, indem fossile Energien durch Solarstrom ersetzt werden. Solche Einsparungen sind messbar und bieten Anlegern klare ökologische Kennzahlen für ihre Investments.</w:t>
      </w:r>
      <w:r>
        <w:rPr>
          <w:rStyle w:val="52"/>
          <w:rFonts w:hint="default" w:ascii="Times New Roman" w:hAnsi="Times New Roman" w:eastAsia="宋体" w:cs="Times New Roman"/>
          <w:lang w:val="de-DE" w:eastAsia="zh-CN"/>
        </w:rPr>
        <w:footnoteReference w:id="170"/>
      </w:r>
    </w:p>
    <w:p w14:paraId="05E54DE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Messbarkeit des Impacts erfolgt auf mehreren Ebenen. Quantitative Daten wie die Anzahl der finanzierten Projekte, die erzeugte Solarstrommenge oder die eingesparte CO₂-Menge werden regelmäßig auf der digitalen Plattform veröffentlicht. Diese Kennzahlen erlauben es Anlegern, den konkreten Beitrag jedes Projekts nachzuvollziehen und Umweltwirkungen transparent zu dokumentieren.</w:t>
      </w:r>
      <w:r>
        <w:rPr>
          <w:rStyle w:val="52"/>
          <w:rFonts w:hint="default" w:ascii="Times New Roman" w:hAnsi="Times New Roman" w:eastAsia="宋体" w:cs="Times New Roman"/>
          <w:lang w:val="de-DE" w:eastAsia="zh-CN"/>
        </w:rPr>
        <w:footnoteReference w:id="171"/>
      </w:r>
    </w:p>
    <w:p w14:paraId="640C0C2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Zusätzlich werden auch qualitative Wirkungen sichtbar. Unternehmen, die dank Solarenergie stabile Stromkosten haben, berichten häufig von einer verbesserten wirtschaftlichen Planungssicherheit, neuer technologischer Kapazität und der Möglichkeit, Arbeitsplätze zu sichern oder auszubauen. Solche nicht-finanziellen Wirkungen können durch Umfragen oder Fallstudien weiter erfasst werden, um ein umfassenderes Verständnis der sozialen und ökonomischen Effekte zu erhalten.</w:t>
      </w:r>
      <w:r>
        <w:rPr>
          <w:rStyle w:val="52"/>
          <w:rFonts w:hint="default" w:ascii="Times New Roman" w:hAnsi="Times New Roman" w:eastAsia="宋体" w:cs="Times New Roman"/>
          <w:lang w:val="de-DE" w:eastAsia="zh-CN"/>
        </w:rPr>
        <w:footnoteReference w:id="172"/>
      </w:r>
    </w:p>
    <w:p w14:paraId="10D13FE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aktuelles Beispiel für die gesteigerte Wirkungsmessbarkeit ist die Platzierung von Green Bonds im Jahr 2024. Diese Anleihen wurden nach internationalen Standards platziert, wodurch zusätzliche externe Bewertungskriterien zur Verfügung stehen, um ökologische Ziele messbar zu machen und institutionelle Anleger anzusprechen.</w:t>
      </w:r>
    </w:p>
    <w:p w14:paraId="06E6443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Trotz dieser Fortschritte bleibt die Impact-Messung komplex. CO₂-Einsparungen lassen sich relativ direkt quantifizieren, doch Veränderungen in Beschäftigung, Lebensqualität oder langfristiger wirtschaftlicher Entwicklung erfordern tiefere Datenanalysen und oft externe Evaluationsprozesse. Diese qualitativen Aspekte ergänzen quantitative Indikatoren wie Projektzahlen oder Emissionswerte.</w:t>
      </w:r>
      <w:r>
        <w:rPr>
          <w:rStyle w:val="52"/>
          <w:rFonts w:hint="default" w:ascii="Times New Roman" w:hAnsi="Times New Roman" w:eastAsia="宋体" w:cs="Times New Roman"/>
          <w:lang w:val="de-DE" w:eastAsia="zh-CN"/>
        </w:rPr>
        <w:footnoteReference w:id="173"/>
      </w:r>
    </w:p>
    <w:p w14:paraId="7E874445">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06E80AE">
      <w:pPr>
        <w:pStyle w:val="5"/>
        <w:keepNext/>
        <w:keepLines/>
        <w:pageBreakBefore w:val="0"/>
        <w:widowControl/>
        <w:kinsoku/>
        <w:wordWrap/>
        <w:overflowPunct/>
        <w:topLinePunct w:val="0"/>
        <w:autoSpaceDE/>
        <w:autoSpaceDN/>
        <w:bidi w:val="0"/>
        <w:adjustRightInd/>
        <w:snapToGrid/>
        <w:spacing w:before="240" w:after="120" w:line="360" w:lineRule="auto"/>
        <w:ind w:left="578" w:hanging="578"/>
        <w:textAlignment w:val="auto"/>
        <w:rPr>
          <w:rFonts w:hint="default" w:ascii="Times New Roman" w:hAnsi="Times New Roman" w:eastAsia="宋体" w:cs="Times New Roman"/>
          <w:highlight w:val="none"/>
          <w:lang w:val="de-DE" w:eastAsia="zh-CN"/>
        </w:rPr>
      </w:pPr>
      <w:bookmarkStart w:id="68" w:name="_Toc16921"/>
      <w:r>
        <w:rPr>
          <w:rFonts w:hint="default" w:ascii="Times New Roman" w:hAnsi="Times New Roman" w:eastAsia="宋体" w:cs="Times New Roman"/>
          <w:highlight w:val="none"/>
          <w:lang w:val="de-DE" w:eastAsia="zh-CN"/>
        </w:rPr>
        <w:t>Vergleichende Analyse und Einordnung der Ergebnisse</w:t>
      </w:r>
      <w:bookmarkEnd w:id="68"/>
    </w:p>
    <w:p w14:paraId="0936E75A">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69" w:name="_Toc20264"/>
      <w:r>
        <w:rPr>
          <w:rFonts w:hint="default" w:ascii="Times New Roman" w:hAnsi="Times New Roman" w:eastAsia="宋体" w:cs="Times New Roman"/>
          <w:b/>
          <w:lang w:val="de-DE" w:eastAsia="zh-CN"/>
        </w:rPr>
        <w:t>Vergleich der Investmentinstrumente und Renditemodelle</w:t>
      </w:r>
      <w:bookmarkEnd w:id="69"/>
    </w:p>
    <w:p w14:paraId="7EDDB6A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Investmentinstrumente von SKS Microfinance und Ecoligo unterscheiden sich deutlich, obwohl beide unter dem Oberbegriff Impact Investing zusammengefasst werden können. SKS setzte traditionell auf eine Mischung aus Eigen- und Fremdkapital, darunter Bankfinanzierungen, Venture Capital-Investitionen sowie eine bedeutende Börseneinführung im Jahr 2010, die internationale Anleger ansprach. Solche Instrumente werden überwiegend im nicht börsennotierten Bereich eingesetzt und ermöglichen institutionellen und größeren privaten Kapitalgebern eine Beteiligung an der finanziellen Entwicklung von Mikrofinanzierungen, ohne direkt in einzelne Kleinprojekte investieren zu müssen.</w:t>
      </w:r>
      <w:r>
        <w:rPr>
          <w:rStyle w:val="52"/>
          <w:rFonts w:hint="default" w:ascii="Times New Roman" w:hAnsi="Times New Roman" w:eastAsia="宋体" w:cs="Times New Roman"/>
          <w:lang w:val="de-DE" w:eastAsia="zh-CN"/>
        </w:rPr>
        <w:footnoteReference w:id="174"/>
      </w:r>
    </w:p>
    <w:p w14:paraId="33A4C3D0">
      <w:pPr>
        <w:pStyle w:val="16"/>
        <w:keepNext w:val="0"/>
        <w:keepLines w:val="0"/>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sz w:val="24"/>
          <w:szCs w:val="24"/>
          <w:lang w:val="de-DE" w:eastAsia="zh-CN"/>
        </w:rPr>
      </w:pPr>
      <w:r>
        <w:rPr>
          <w:sz w:val="24"/>
          <w:szCs w:val="24"/>
        </w:rPr>
        <w:t xml:space="preserve">Tabelle </w:t>
      </w:r>
      <w:r>
        <w:rPr>
          <w:sz w:val="24"/>
          <w:szCs w:val="24"/>
        </w:rPr>
        <w:fldChar w:fldCharType="begin"/>
      </w:r>
      <w:r>
        <w:rPr>
          <w:sz w:val="24"/>
          <w:szCs w:val="24"/>
        </w:rPr>
        <w:instrText xml:space="preserve"> SEQ Tabelle \* ARABIC </w:instrText>
      </w:r>
      <w:r>
        <w:rPr>
          <w:sz w:val="24"/>
          <w:szCs w:val="24"/>
        </w:rPr>
        <w:fldChar w:fldCharType="separate"/>
      </w:r>
      <w:r>
        <w:rPr>
          <w:sz w:val="24"/>
          <w:szCs w:val="24"/>
        </w:rPr>
        <w:t>2</w:t>
      </w:r>
      <w:r>
        <w:rPr>
          <w:sz w:val="24"/>
          <w:szCs w:val="24"/>
        </w:rPr>
        <w:fldChar w:fldCharType="end"/>
      </w:r>
      <w:bookmarkStart w:id="70" w:name="_Toc15011"/>
      <w:r>
        <w:rPr>
          <w:rFonts w:hint="default"/>
          <w:sz w:val="24"/>
          <w:szCs w:val="24"/>
          <w:lang w:val="de-DE"/>
        </w:rPr>
        <w:t xml:space="preserve">: </w:t>
      </w:r>
      <w:r>
        <w:rPr>
          <w:rFonts w:hint="default" w:ascii="Times New Roman" w:hAnsi="Times New Roman" w:eastAsia="宋体" w:cs="Times New Roman"/>
          <w:b/>
          <w:sz w:val="24"/>
          <w:szCs w:val="24"/>
          <w:lang w:val="de-DE" w:eastAsia="zh-CN"/>
        </w:rPr>
        <w:t>Vergleich der Investmentinstrumente und Renditemodelle</w:t>
      </w:r>
      <w:bookmarkEnd w:id="70"/>
    </w:p>
    <w:p w14:paraId="0AF4FB3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drawing>
          <wp:inline distT="0" distB="0" distL="114300" distR="114300">
            <wp:extent cx="5398770" cy="2708910"/>
            <wp:effectExtent l="0" t="0" r="1143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398770" cy="2708910"/>
                    </a:xfrm>
                    <a:prstGeom prst="rect">
                      <a:avLst/>
                    </a:prstGeom>
                    <a:noFill/>
                    <a:ln>
                      <a:noFill/>
                    </a:ln>
                  </pic:spPr>
                </pic:pic>
              </a:graphicData>
            </a:graphic>
          </wp:inline>
        </w:drawing>
      </w:r>
    </w:p>
    <w:p w14:paraId="6249C45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sz w:val="20"/>
          <w:szCs w:val="20"/>
          <w:lang w:val="de-DE" w:eastAsia="zh-CN"/>
        </w:rPr>
      </w:pPr>
      <w:r>
        <w:rPr>
          <w:rFonts w:hint="default" w:ascii="Times New Roman" w:hAnsi="Times New Roman" w:eastAsia="宋体" w:cs="Times New Roman"/>
          <w:sz w:val="20"/>
          <w:szCs w:val="20"/>
          <w:lang w:val="de-DE" w:eastAsia="zh-CN"/>
        </w:rPr>
        <w:t xml:space="preserve">Quelle: </w:t>
      </w:r>
      <w:r>
        <w:rPr>
          <w:rFonts w:hint="default" w:ascii="Times New Roman" w:hAnsi="Times New Roman" w:cs="Times New Roman"/>
          <w:i/>
          <w:iCs/>
          <w:sz w:val="20"/>
          <w:szCs w:val="20"/>
        </w:rPr>
        <w:t>Dunbar, K</w:t>
      </w:r>
      <w:r>
        <w:rPr>
          <w:rFonts w:hint="default" w:ascii="Times New Roman" w:hAnsi="Times New Roman" w:cs="Times New Roman"/>
          <w:i/>
          <w:iCs/>
          <w:sz w:val="20"/>
          <w:szCs w:val="20"/>
          <w:lang w:val="de-DE"/>
        </w:rPr>
        <w:t xml:space="preserve">. u. a., </w:t>
      </w:r>
      <w:r>
        <w:rPr>
          <w:rFonts w:hint="default" w:ascii="Times New Roman" w:hAnsi="Times New Roman" w:cs="Times New Roman"/>
          <w:sz w:val="20"/>
          <w:szCs w:val="20"/>
        </w:rPr>
        <w:t>FinTech</w:t>
      </w:r>
      <w:r>
        <w:rPr>
          <w:rFonts w:hint="default" w:ascii="Times New Roman" w:hAnsi="Times New Roman" w:cs="Times New Roman"/>
          <w:sz w:val="20"/>
          <w:szCs w:val="20"/>
          <w:lang w:val="de-DE"/>
        </w:rPr>
        <w:t xml:space="preserve">, </w:t>
      </w:r>
      <w:r>
        <w:rPr>
          <w:rFonts w:hint="default" w:ascii="Times New Roman" w:hAnsi="Times New Roman" w:cs="Times New Roman"/>
          <w:sz w:val="20"/>
          <w:szCs w:val="20"/>
        </w:rPr>
        <w:t>2024</w:t>
      </w:r>
      <w:r>
        <w:rPr>
          <w:rFonts w:hint="default" w:ascii="Times New Roman" w:hAnsi="Times New Roman" w:cs="Times New Roman"/>
          <w:sz w:val="20"/>
          <w:szCs w:val="20"/>
          <w:lang w:val="de-DE"/>
        </w:rPr>
        <w:t xml:space="preserve">, S. 23; </w:t>
      </w:r>
      <w:r>
        <w:rPr>
          <w:rFonts w:hint="default" w:ascii="Times New Roman" w:hAnsi="Times New Roman" w:cs="Times New Roman"/>
          <w:i/>
          <w:iCs/>
          <w:sz w:val="20"/>
          <w:szCs w:val="20"/>
        </w:rPr>
        <w:t>Tchuigoua, H</w:t>
      </w:r>
      <w:r>
        <w:rPr>
          <w:rFonts w:hint="default" w:ascii="Times New Roman" w:hAnsi="Times New Roman" w:cs="Times New Roman"/>
          <w:i/>
          <w:iCs/>
          <w:sz w:val="20"/>
          <w:szCs w:val="20"/>
          <w:lang w:val="de-DE"/>
        </w:rPr>
        <w:t>.</w:t>
      </w:r>
      <w:r>
        <w:rPr>
          <w:rFonts w:hint="default" w:ascii="Times New Roman" w:hAnsi="Times New Roman" w:cs="Times New Roman"/>
          <w:sz w:val="20"/>
          <w:szCs w:val="20"/>
          <w:lang w:val="de-DE"/>
        </w:rPr>
        <w:t xml:space="preserve"> </w:t>
      </w:r>
      <w:r>
        <w:rPr>
          <w:rFonts w:hint="default" w:ascii="Times New Roman" w:hAnsi="Times New Roman" w:cs="Times New Roman"/>
          <w:i/>
          <w:iCs/>
          <w:sz w:val="20"/>
          <w:szCs w:val="20"/>
        </w:rPr>
        <w:t>T</w:t>
      </w:r>
      <w:r>
        <w:rPr>
          <w:rFonts w:hint="default" w:ascii="Times New Roman" w:hAnsi="Times New Roman" w:cs="Times New Roman"/>
          <w:i/>
          <w:iCs/>
          <w:sz w:val="20"/>
          <w:szCs w:val="20"/>
          <w:lang w:val="de-DE"/>
        </w:rPr>
        <w:t xml:space="preserve">., </w:t>
      </w:r>
      <w:r>
        <w:rPr>
          <w:rFonts w:hint="default" w:ascii="Times New Roman" w:hAnsi="Times New Roman" w:cs="Times New Roman"/>
          <w:sz w:val="20"/>
          <w:szCs w:val="20"/>
        </w:rPr>
        <w:t>Microfinance</w:t>
      </w:r>
      <w:r>
        <w:rPr>
          <w:rFonts w:hint="default" w:ascii="Times New Roman" w:hAnsi="Times New Roman" w:cs="Times New Roman"/>
          <w:sz w:val="20"/>
          <w:szCs w:val="20"/>
          <w:lang w:val="de-DE"/>
        </w:rPr>
        <w:t xml:space="preserve">, </w:t>
      </w:r>
      <w:r>
        <w:rPr>
          <w:rFonts w:hint="default" w:ascii="Times New Roman" w:hAnsi="Times New Roman" w:cs="Times New Roman"/>
          <w:sz w:val="20"/>
          <w:szCs w:val="20"/>
        </w:rPr>
        <w:t>2026</w:t>
      </w:r>
      <w:r>
        <w:rPr>
          <w:rFonts w:hint="default" w:ascii="Times New Roman" w:hAnsi="Times New Roman" w:cs="Times New Roman"/>
          <w:sz w:val="20"/>
          <w:szCs w:val="20"/>
          <w:lang w:val="de-DE"/>
        </w:rPr>
        <w:t>, S. 4.</w:t>
      </w:r>
    </w:p>
    <w:p w14:paraId="560C2FEE">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 xml:space="preserve">Die Tabelle </w:t>
      </w:r>
      <w:r>
        <w:rPr>
          <w:rFonts w:hint="eastAsia" w:ascii="Times New Roman" w:hAnsi="Times New Roman" w:eastAsia="宋体" w:cs="Times New Roman"/>
          <w:lang w:val="en-US" w:eastAsia="zh-CN"/>
        </w:rPr>
        <w:t xml:space="preserve">2 </w:t>
      </w:r>
      <w:r>
        <w:rPr>
          <w:rFonts w:hint="default" w:ascii="Times New Roman" w:hAnsi="Times New Roman" w:eastAsia="宋体" w:cs="Times New Roman"/>
          <w:lang w:val="de-DE" w:eastAsia="zh-CN"/>
        </w:rPr>
        <w:t>vergleicht die verschiedenen Investmentinstrumente und Renditemodelle von SKS Microfinance und Ecoligo, wobei die unterschiedlichen Finanzierungsstrukturen, Renditequellen und Risikoprofile der beiden Organisationen hervorgehoben werden. Während SKS auf eine Mischung aus Eigen- und Fremdkapital setzt, nutzt Ecoligo eine Crowdinvesting-Plattform für die Finanzierung von Solarprojekten.</w:t>
      </w:r>
      <w:r>
        <w:rPr>
          <w:rStyle w:val="52"/>
          <w:rFonts w:hint="default" w:ascii="Times New Roman" w:hAnsi="Times New Roman" w:eastAsia="宋体" w:cs="Times New Roman"/>
          <w:lang w:val="de-DE" w:eastAsia="zh-CN"/>
        </w:rPr>
        <w:footnoteReference w:id="175"/>
      </w:r>
    </w:p>
    <w:p w14:paraId="7963DBE7">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Ecoligo hingegen nutzt eine digitale Crowdinvesting-Plattform, über die viele Einzelinvestoren kleine Beträge in konkrete Solarprojekte einbringen. Diese Gelder werden meist in Nachrangdarlehen oder spezielle Solar-Bonds gebündelt, die über klar definierte Zinszahlungen (typisch 5-9 %) Renditen versprechen.</w:t>
      </w:r>
      <w:r>
        <w:rPr>
          <w:rStyle w:val="52"/>
          <w:rFonts w:hint="default" w:ascii="Times New Roman" w:hAnsi="Times New Roman" w:eastAsia="宋体" w:cs="Times New Roman"/>
          <w:lang w:val="de-DE" w:eastAsia="zh-CN"/>
        </w:rPr>
        <w:footnoteReference w:id="176"/>
      </w:r>
      <w:r>
        <w:rPr>
          <w:rFonts w:hint="default" w:ascii="Times New Roman" w:hAnsi="Times New Roman" w:eastAsia="宋体" w:cs="Times New Roman"/>
          <w:lang w:val="de-DE" w:eastAsia="zh-CN"/>
        </w:rPr>
        <w:t xml:space="preserve"> Anleger erhalten ihr Kapital und Zinsen über die Laufzeit der Projekte, die oft mehrere Jahre umfassen, und profitieren dadurch von wiederkehrenden Erträgen.</w:t>
      </w:r>
    </w:p>
    <w:p w14:paraId="029384C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Während bei SKS die Rendite stark von der Stabilität und Rückzahlung der Mikrokredite abhängt, sind bei Ecoligo die Zinszahlungen an die Energieproduktion und Stromabnahme gekoppelt. Diese Unterschiede im Renditeansatz spiegeln auch die unterschiedlichen Risikoprofile wider: SKS hat historisch niedrige Ausfallraten in Krediten, aber sensible Risiken im wirtschaftlichen Umfeld, während bei Ecoligo projektbezogene Risiken wie technologische Verzögerungen oder politische Einflüsse bestehen.</w:t>
      </w:r>
      <w:r>
        <w:rPr>
          <w:rStyle w:val="52"/>
          <w:rFonts w:hint="default" w:ascii="Times New Roman" w:hAnsi="Times New Roman" w:eastAsia="宋体" w:cs="Times New Roman"/>
          <w:lang w:val="de-DE" w:eastAsia="zh-CN"/>
        </w:rPr>
        <w:footnoteReference w:id="177"/>
      </w:r>
    </w:p>
    <w:p w14:paraId="40A8397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Anleger bei SKS erwarten in der Regel moderate, langfristige Erträge, oft gekoppelt an die Stabilität des Mikrofinanzmarkts und die Fähigkeit des Instituts, konsistente Rückzahlungen sicherzustellen.</w:t>
      </w:r>
      <w:r>
        <w:rPr>
          <w:rStyle w:val="52"/>
          <w:rFonts w:hint="default" w:ascii="Times New Roman" w:hAnsi="Times New Roman" w:eastAsia="宋体" w:cs="Times New Roman"/>
          <w:lang w:val="de-DE" w:eastAsia="zh-CN"/>
        </w:rPr>
        <w:footnoteReference w:id="178"/>
      </w:r>
      <w:r>
        <w:rPr>
          <w:rFonts w:hint="default" w:ascii="Times New Roman" w:hAnsi="Times New Roman" w:eastAsia="宋体" w:cs="Times New Roman"/>
          <w:lang w:val="de-DE" w:eastAsia="zh-CN"/>
        </w:rPr>
        <w:t xml:space="preserve"> Ecoligo-Investoren hingegen streben häufig eine klar definierte fixe Rendite an, die über feste Zinszahlungen aus den Solarprojekten generiert wird. Diese Renditeorientierung ist oft an klar messbare Leistungskriterien wie Energieproduktion gekoppelt, wodurch sich die Renditemodelle voneinander unterscheiden.</w:t>
      </w:r>
      <w:r>
        <w:rPr>
          <w:rStyle w:val="52"/>
          <w:rFonts w:hint="default" w:ascii="Times New Roman" w:hAnsi="Times New Roman" w:eastAsia="宋体" w:cs="Times New Roman"/>
          <w:lang w:val="de-DE" w:eastAsia="zh-CN"/>
        </w:rPr>
        <w:footnoteReference w:id="179"/>
      </w:r>
    </w:p>
    <w:p w14:paraId="2941D1B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31F4782B">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71" w:name="_Toc28615"/>
      <w:r>
        <w:rPr>
          <w:rFonts w:hint="default" w:ascii="Times New Roman" w:hAnsi="Times New Roman" w:eastAsia="宋体" w:cs="Times New Roman"/>
          <w:b/>
          <w:lang w:val="de-DE" w:eastAsia="zh-CN"/>
        </w:rPr>
        <w:t>Unterschiede im Impact-Ansatz und in der Skalierbarkeit</w:t>
      </w:r>
      <w:bookmarkEnd w:id="71"/>
    </w:p>
    <w:p w14:paraId="70981FED">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Der Impact-Ansatz von SKS Microfinance und Ecoligo unterscheidet sich sowohl in der Zielsetzung als auch in der Messmethode. SKS konzentrierte sich auf die finanzielle Inklusion benachteiligter Bevölkerungsgruppen, insbesondere von Frauen, in ländlichen Regionen Indiens. Durch die Vergabe kleiner Kredite sollte die wirtschaftliche Teilhabe dieser Gruppen gestärkt und Einkommen generiert werden. Diese soziale Wirkung zeigt sich in der erhöhten Kreditverwendung für einkommensschaffende Aktivitäten, was über quantitative Indikatoren wie Anzahl der Kreditnehmerinnen oder Kredithöhe messbar ist.</w:t>
      </w:r>
      <w:r>
        <w:rPr>
          <w:rStyle w:val="52"/>
          <w:rFonts w:hint="default" w:ascii="Times New Roman" w:hAnsi="Times New Roman" w:eastAsia="宋体" w:cs="Times New Roman"/>
          <w:lang w:val="de-DE" w:eastAsia="zh-CN"/>
        </w:rPr>
        <w:footnoteReference w:id="180"/>
      </w:r>
    </w:p>
    <w:p w14:paraId="4F66553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Bei Ecoligo hingegen ist der Impact primär ökologisch und wirtschaftlich ausgerichtet. Fest definierte Ziele wie CO₂-Reduktion durch Solarstrom-Projekte oder Einsparungen bei Energiekosten stehen im Zentrum. Diese Wirkung lässt sich oft in direkten Zahlen ausdrücken, etwa eingesparte Tonnen CO₂ oder produzierte Kilowattstunden Solarenergie. Das macht die Wirkung messbar und vergleichbar, da sowohl ökologische als auch finanzielle Daten durch die Plattform dokumentiert werden.</w:t>
      </w:r>
      <w:r>
        <w:rPr>
          <w:rStyle w:val="52"/>
          <w:rFonts w:hint="default" w:ascii="Times New Roman" w:hAnsi="Times New Roman" w:eastAsia="宋体" w:cs="Times New Roman"/>
          <w:lang w:val="de-DE" w:eastAsia="zh-CN"/>
        </w:rPr>
        <w:footnoteReference w:id="181"/>
      </w:r>
    </w:p>
    <w:p w14:paraId="7EE3426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Skalierbarkeit tritt bei beiden Modellen unterschiedlich hervor. SKS’ Impact hängt stark von der lokalen Struktur und Kreditaufnahmefähigkeit der Zielgruppen ab. Eine schnelle Skalierung über Regionen hinweg erfordert stabile regulatorische Rahmenbedingungen und geeignete Partner vor Ort. Im Vergleich dazu skaliert Ecoligo über die digitale Plattform technisch und geografisch leichter, da neue Projekte in unterschiedlichen Ländern ähnlich strukturiert und über Crowdinvesting-Kampagnen finanziert werden können. Dies erlaubt dem Unternehmen, schnell weitere Solaranlagen zu realisieren und gleichzeitig eine wachsende Investorenbasis zu bedienen.</w:t>
      </w:r>
      <w:r>
        <w:rPr>
          <w:rStyle w:val="52"/>
          <w:rFonts w:hint="default" w:ascii="Times New Roman" w:hAnsi="Times New Roman" w:eastAsia="宋体" w:cs="Times New Roman"/>
          <w:lang w:val="de-DE" w:eastAsia="zh-CN"/>
        </w:rPr>
        <w:footnoteReference w:id="182"/>
      </w:r>
    </w:p>
    <w:p w14:paraId="1958F8D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Unterschied liegt in der direkten Messbarkeit der Wirkung. Bei Mikrofinanzprojekten ist die Erfassung sozialer Wirkungen komplexer, da qualitative Veränderungen, z. B. in Lebensstandard oder Selbstständigkeit, oft durch längere Beobachtung und qualitative Studien erfasst werden müssen. Ecoligos Ansatz mit klar quantifizierbaren Umweltindikatoren ermöglicht eine leichter nachvollziehbare Wirkungsmessung, etwa durch konkrete SOCI-Zahlen oder Emissionswerte.</w:t>
      </w:r>
      <w:r>
        <w:rPr>
          <w:rStyle w:val="52"/>
          <w:rFonts w:hint="default" w:ascii="Times New Roman" w:hAnsi="Times New Roman" w:eastAsia="宋体" w:cs="Times New Roman"/>
          <w:lang w:val="de-DE" w:eastAsia="zh-CN"/>
        </w:rPr>
        <w:footnoteReference w:id="183"/>
      </w:r>
    </w:p>
    <w:p w14:paraId="31EF870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p>
    <w:p w14:paraId="65D778FE">
      <w:pPr>
        <w:pStyle w:val="7"/>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de-DE" w:eastAsia="zh-CN"/>
        </w:rPr>
      </w:pPr>
      <w:bookmarkStart w:id="72" w:name="_Toc26231"/>
      <w:r>
        <w:rPr>
          <w:rFonts w:hint="default" w:ascii="Times New Roman" w:hAnsi="Times New Roman" w:eastAsia="宋体" w:cs="Times New Roman"/>
          <w:b/>
          <w:lang w:val="de-DE" w:eastAsia="zh-CN"/>
        </w:rPr>
        <w:t>Übertragbarkeit der Ergebnisse auf kleinere soziale Projekte</w:t>
      </w:r>
      <w:bookmarkEnd w:id="72"/>
    </w:p>
    <w:p w14:paraId="2CAF833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Die Ergebnisse aus der Analyse von SKS Microfinance und Ecoligo lassen sich nicht ohne Weiteres in identischer Form auf alle kleineren sozialen Projekte übertragen, obwohl bestimmte Grundprinzipien übertragbar sind. Ein zentraler Aspekt ist die Bedeutung klarer Wirkungsziele. Beide Projekte definieren eindeutige soziale oder ökologische Effekte - bei SKS die finanzielle Teilhabe armer Bevölkerungsgruppen, bei Ecoligo die CO₂-Reduktion und Energiekosteneinsparungen. Diese klaren Zielsetzungen ermöglichen eine strukturierte Wirkungsmessung, die auch für kleinere soziale Projekte relevant ist.</w:t>
      </w:r>
      <w:r>
        <w:rPr>
          <w:rStyle w:val="52"/>
          <w:rFonts w:hint="default" w:ascii="Times New Roman" w:hAnsi="Times New Roman" w:eastAsia="宋体" w:cs="Times New Roman"/>
          <w:lang w:val="de-DE" w:eastAsia="zh-CN"/>
        </w:rPr>
        <w:footnoteReference w:id="184"/>
      </w:r>
    </w:p>
    <w:p w14:paraId="693A1444">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Wesentlich für die Übertragbarkeit ist zudem die Wahl der Finanzierungsinstrumente. Projekte mit ähnlichen Zielen wie Mikrofinanz oder erneuerbare Energie können von Instrumenten profitieren, die sowohl Kapital mobilisieren als auch Wirkung sichtbar machen. Crowdinvesting oder Impact-Fonds-Strukturen eignen sich beispielsweise für Vorhaben mit klar messbaren Wirkungen. In vielen Fällen ist jedoch bei stark lokal verankerten Projekten eine Kombination aus Spenden, Fördergeldern und sozialen Investitionen sinnvoller, da klassische Impact-Renditemodelle dort nur schwer funktionieren.</w:t>
      </w:r>
      <w:r>
        <w:rPr>
          <w:rStyle w:val="52"/>
          <w:rFonts w:hint="default" w:ascii="Times New Roman" w:hAnsi="Times New Roman" w:eastAsia="宋体" w:cs="Times New Roman"/>
          <w:lang w:val="de-DE" w:eastAsia="zh-CN"/>
        </w:rPr>
        <w:footnoteReference w:id="185"/>
      </w:r>
    </w:p>
    <w:p w14:paraId="2AA9146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weiterer übertragbarer Faktor ist die Transparenz in der Wirkungskommunikation. Sowohl bei Mikrofinanz- als auch bei Solarprojekten wird die Wirkung durch Kennzahlen dokumentiert, was Vertrauen bei Investoren schafft. Kleinere soziale Projekte sollten ebenso auf transparente Berichterstattung und nachvollziehbare Indikatoren setzen, um ihre Wirkung für Investoren und Stakeholder greifbar zu machen.</w:t>
      </w:r>
      <w:r>
        <w:rPr>
          <w:rStyle w:val="52"/>
          <w:rFonts w:hint="default" w:ascii="Times New Roman" w:hAnsi="Times New Roman" w:eastAsia="宋体" w:cs="Times New Roman"/>
          <w:lang w:val="de-DE" w:eastAsia="zh-CN"/>
        </w:rPr>
        <w:footnoteReference w:id="186"/>
      </w:r>
    </w:p>
    <w:p w14:paraId="756B680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Trotz dieser positiven Beispiele gibt es auch Einschränkungen. Mikrofinanz- und Solarprojekte verfügen über klar definierte Einnahmenmodelle - Zinsen bzw. Energieverkäufe - die für viele soziale Projekte nicht existieren. Projekte, die keine direkten Einnahmen generieren, etwa Beratungs- oder Bildungsinitiativen, müssen alternative Finanzierungsmodelle entwickeln, etwa über Social Impact Bonds oder institutionelle Förderprogramme, die nicht auf klassische Renditen angewiesen sind.</w:t>
      </w:r>
      <w:r>
        <w:rPr>
          <w:rStyle w:val="52"/>
          <w:rFonts w:hint="default" w:ascii="Times New Roman" w:hAnsi="Times New Roman" w:eastAsia="宋体" w:cs="Times New Roman"/>
          <w:lang w:val="de-DE" w:eastAsia="zh-CN"/>
        </w:rPr>
        <w:footnoteReference w:id="187"/>
      </w:r>
    </w:p>
    <w:p w14:paraId="77F644A6">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de-DE" w:eastAsia="zh-CN"/>
        </w:rPr>
      </w:pPr>
      <w:r>
        <w:rPr>
          <w:rFonts w:hint="default" w:ascii="Times New Roman" w:hAnsi="Times New Roman" w:eastAsia="宋体" w:cs="Times New Roman"/>
          <w:lang w:val="de-DE" w:eastAsia="zh-CN"/>
        </w:rPr>
        <w:t>Ein wichtiger Punkt ist schließlich die Anpassung an lokale Rahmenbedingungen. Nicht jedes soziale Projekt kann die gleichen Finanzierungsinstrumente nutzen, da rechtliche, kulturelle oder wirtschaftliche Unterschiede die Anwendbarkeit beeinflussen. Projekte müssen daher flexibel sein und Instrumente wählen, die zu ihrer Wirkung und zu ihrem Umfeld passen.</w:t>
      </w:r>
      <w:r>
        <w:rPr>
          <w:rStyle w:val="52"/>
          <w:rFonts w:hint="default" w:ascii="Times New Roman" w:hAnsi="Times New Roman" w:eastAsia="宋体" w:cs="Times New Roman"/>
          <w:lang w:val="de-DE" w:eastAsia="zh-CN"/>
        </w:rPr>
        <w:footnoteReference w:id="188"/>
      </w:r>
    </w:p>
    <w:p w14:paraId="661AA8B9">
      <w:pPr>
        <w:pStyle w:val="3"/>
        <w:keepNext/>
        <w:pageBreakBefore w:val="0"/>
        <w:widowControl/>
        <w:kinsoku/>
        <w:wordWrap/>
        <w:overflowPunct/>
        <w:topLinePunct w:val="0"/>
        <w:autoSpaceDE/>
        <w:autoSpaceDN/>
        <w:bidi w:val="0"/>
        <w:adjustRightInd/>
        <w:snapToGrid/>
        <w:spacing w:before="240" w:after="120" w:line="360" w:lineRule="auto"/>
        <w:textAlignment w:val="auto"/>
        <w:rPr>
          <w:rFonts w:hint="default" w:ascii="Times New Roman" w:hAnsi="Times New Roman" w:eastAsia="宋体" w:cs="Times New Roman"/>
          <w:b/>
          <w:lang w:val="en-US" w:eastAsia="zh-CN"/>
        </w:rPr>
      </w:pPr>
      <w:r>
        <w:rPr>
          <w:rFonts w:hint="default" w:ascii="Times New Roman" w:hAnsi="Times New Roman" w:cs="Times New Roman"/>
        </w:rPr>
        <w:br w:type="page"/>
      </w:r>
      <w:bookmarkStart w:id="73" w:name="_Toc10476"/>
      <w:r>
        <w:rPr>
          <w:rFonts w:hint="default" w:ascii="Times New Roman" w:hAnsi="Times New Roman" w:eastAsia="宋体" w:cs="Times New Roman"/>
          <w:b/>
          <w:lang w:val="en-US" w:eastAsia="zh-CN"/>
        </w:rPr>
        <w:t>Fazit und Ausblick</w:t>
      </w:r>
      <w:bookmarkEnd w:id="73"/>
    </w:p>
    <w:p w14:paraId="4B7E03A9">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Impact Investing hat sich in den letzten Jahren als eine vielversprechende Möglichkeit etabliert, Kapital in Projekte zu investieren, die sowohl soziale und ökologische Wirkung als auch finanzielle Rendite erzielen. Die Analyse von SKS Microfinance und Ecoligo zeigt die Vielfalt der Geschäftsmodelle innerhalb des Impact-Investing-Marktes und bietet wertvolle Einblicke in die unterschiedlichen Anforderungen und Herausforderungen, die mit dieser Form der Kapitalallokation verbunden sind.</w:t>
      </w:r>
    </w:p>
    <w:p w14:paraId="5FE96AFF">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SKS Microfinance verfolgt einen mikrofinanziellen Ansatz, bei dem kleine Kredite an benachteiligte Bevölkerungsgruppen vergeben werden, um wirtschaftliche Teilhabe und soziale Integration zu fördern. Durch den Fokus auf arme Haushalte in Indien unterstützt SKS Microfinance direkt die finanzielle Inklusion und trägt zur Reduzierung von Armut bei. Die Kredite werden durch Zinsen refinanziert, wobei die Einnahmen in erster Linie zur Deckung der laufenden Kosten und zur Expansion des Geschäfts genutzt werden. Im Vergleich dazu verfolgt Ecoligo ein ganz anderes Geschäftsmodell, das sich auf die Finanzierung von Solaranlagenprojekten in Schwellenländern konzentriert. Durch Crowdfunding ermöglicht Ecoligo es Privatpersonen und institutionellen Investoren, direkt in nachhaltige Energieprojekte zu investieren, die nicht nur eine wirtschaftliche Rendite versprechen, sondern auch einen messbaren positiven Einfluss auf die Umwelt haben. Hierbei liegt der Fokus auf der Transparenz der Projekte und der Vorhersehbarkeit der Cashflows, um das Vertrauen der Investoren zu gewinnen.</w:t>
      </w:r>
    </w:p>
    <w:p w14:paraId="6081629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Beide Modelle verdeutlichen, dass Impact Investing weit mehr umfasst als die rein finanzielle Rendite. Es geht darum, in Projekte zu investieren, die langfristige positive Veränderungen in der Gesellschaft oder der Umwelt bewirken. Dies hat weitreichende Implikationen für die Art und Weise, wie Kapital bereitgestellt und verwaltet wird. Während SKS Microfinance einen stabilen Kreditmarkt nutzt, um den sozialen Nutzen zu maximieren, setzt Ecoligo auf die Förderung erneuerbarer Energien, um gleichzeitig einen ökologischen und finanziellen Mehrwert zu schaffen. Der wesentliche Unterschied zwischen den beiden Geschäftsmodellen liegt in der Messbarkeit der Wirkung: Bei SKS Microfinance ist die soziale Wirkung durch Indikatoren wie Einkommenssteigerung und finanziellen Zugang messbar, während Ecoligo die ökologischen Vorteile durch CO₂-Reduktion und Energieproduktion quantifiziert.</w:t>
      </w:r>
    </w:p>
    <w:p w14:paraId="6885FD9A">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In Bezug auf die Renditeerwartungen und Risikostruktur ist der Unterschied ebenfalls deutlich: SKS Microfinance operiert in einem stabileren Umfeld mit einer etablierten Rückzahlungsstruktur, bei der Investoren eine moderate finanzielle Rendite erwarten. Ecoligo hingegen bietet Investoren eine festgelegte Verzinsung, die an den Erfolg der jeweiligen Solaranlage gekoppelt ist. Das Risiko bei Ecoligo ist daher stärker von der Projektdurchführung und den ökologischen Gegebenheiten abhängig. Beide Modelle zeigen jedoch, dass eine enge Verbindung zwischen Rendite und Wirkung erforderlich ist, um nachhaltigen Erfolg zu erzielen.</w:t>
      </w:r>
    </w:p>
    <w:p w14:paraId="00C0366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Die Herausforderungen bei der Messung der Wirkung sind für beide Unternehmen erheblich. Während SKS Microfinance mit den typischen Schwierigkeiten der sozialen Messung konfrontiert ist </w:t>
      </w:r>
      <w:r>
        <w:rPr>
          <w:rFonts w:hint="default" w:ascii="Times New Roman" w:hAnsi="Times New Roman" w:eastAsia="宋体" w:cs="Times New Roman"/>
          <w:lang w:val="de-DE" w:eastAsia="zh-CN"/>
        </w:rPr>
        <w:t>-</w:t>
      </w:r>
      <w:r>
        <w:rPr>
          <w:rFonts w:hint="default" w:ascii="Times New Roman" w:hAnsi="Times New Roman" w:eastAsia="宋体" w:cs="Times New Roman"/>
          <w:lang w:val="en-US" w:eastAsia="zh-CN"/>
        </w:rPr>
        <w:t xml:space="preserve"> etwa der langfristigen Wirkung von Mikrokrediten auf das Leben der Kreditnehmer </w:t>
      </w:r>
      <w:r>
        <w:rPr>
          <w:rFonts w:hint="default" w:ascii="Times New Roman" w:hAnsi="Times New Roman" w:eastAsia="宋体" w:cs="Times New Roman"/>
          <w:lang w:val="de-DE" w:eastAsia="zh-CN"/>
        </w:rPr>
        <w:t>-</w:t>
      </w:r>
      <w:r>
        <w:rPr>
          <w:rFonts w:hint="default" w:ascii="Times New Roman" w:hAnsi="Times New Roman" w:eastAsia="宋体" w:cs="Times New Roman"/>
          <w:lang w:val="en-US" w:eastAsia="zh-CN"/>
        </w:rPr>
        <w:t>, hat Ecoligo die Herausforderung, die Effizienz und Nachhaltigkeit der Energieprojekte zuverlässig zu dokumentieren. Dies wird besonders deutlich, wenn versucht wird, die genaue soziale oder ökologische Auswirkung eines einzelnen Projekts zu messen. Dennoch zeigen beide Beispiele, dass mit der richtigen Methodik und einem klaren Verständnis der Auswirkungen auch kleinere soziale Projekte wirksam sein können.</w:t>
      </w:r>
    </w:p>
    <w:p w14:paraId="2970C55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Der Ausblick auf Impact Investing zeigt, dass der Markt für soziale Investitionen weiter wächst, insbesondere in Bereichen, die sowohl ökologisch als auch sozial nachhaltige Ergebnisse versprechen. Die zunehmende Integration von technologischen Lösungen und digitaler Innovation könnte die Skalierbarkeit solcher Projekte weiter vorantreiben. Die Digitalisierung von Finanzierungsmechanismen, wie sie bei Ecoligo sichtbar wird, könnte helfen, das Vertrauen der Investoren zu stärken und gleichzeitig die sozialen und ökologischen Auswirkungen messbar zu machen.</w:t>
      </w:r>
    </w:p>
    <w:p w14:paraId="3CB49B22">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Allerdings bleiben die Herausforderungen hinsichtlich der Messung und Berichterstattung von Impact ein ungelöstes Thema, das die Skalierbarkeit vieler kleinerer sozialer Projekte hemmt. Die Forderung nach standardisierten Bewertungsmethoden und klaren, nachvollziehbaren Ergebnissen ist nach wie vor ein entscheidender Aspekt für den Erfolg von Impact-Investments. Hier könnte eine weitere Entwicklung von Instrumenten wie dem SROI und IRIS einen wesentlichen Beitrag leisten.</w:t>
      </w:r>
    </w:p>
    <w:p w14:paraId="1F4FFB61">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Für kleinere soziale Projekte bedeutet dies, dass die Entwicklung geeigneter Finanzierungsstrukturen und die Fähigkeit zur klaren Messung von sozialen und ökologischen Ergebnissen von entscheidender Bedeutung sind. Der Austausch von Best Practices und der Aufbau eines globalen Netzwerks für Impact Investing werden dabei helfen, die Akzeptanz und Wirkung dieser Finanzierungsform zu erhöhen. Die kommenden Jahre könnten daher entscheidend dafür sein, wie sich der Impact-Investing-Markt weiterentwickelt und welche Rolle kleinere, soziale Projekte in diesem Umfeld spielen werden.</w:t>
      </w:r>
    </w:p>
    <w:p w14:paraId="7AD252D3">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Die </w:t>
      </w:r>
      <w:r>
        <w:rPr>
          <w:rFonts w:hint="eastAsia" w:ascii="Times New Roman" w:hAnsi="Times New Roman" w:eastAsia="宋体" w:cs="Times New Roman"/>
          <w:lang w:val="en-US" w:eastAsia="zh-CN"/>
        </w:rPr>
        <w:t>Bachelor-Thesis</w:t>
      </w:r>
      <w:r>
        <w:rPr>
          <w:rFonts w:hint="default" w:ascii="Times New Roman" w:hAnsi="Times New Roman" w:eastAsia="宋体" w:cs="Times New Roman"/>
          <w:lang w:val="en-US" w:eastAsia="zh-CN"/>
        </w:rPr>
        <w:t xml:space="preserve"> hat gezeigt, dass Impact Investing nicht nur eine Kapitalquelle für kleinere soziale Projekte darstellt, sondern auch ein Instrument, das soziale und ökologische Transformationen vorantreiben kann. Dennoch bleibt es eine Herausforderung, die richtige Balance zwischen Rendite und Wirkung zu finden, insbesondere wenn die Wirkung nicht sofort messbar ist.</w:t>
      </w:r>
    </w:p>
    <w:p w14:paraId="33DF01D0">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p>
    <w:p w14:paraId="2A1A329C">
      <w:pPr>
        <w:keepNext w:val="0"/>
        <w:keepLines w:val="0"/>
        <w:pageBreakBefore w:val="0"/>
        <w:widowControl/>
        <w:kinsoku/>
        <w:wordWrap/>
        <w:overflowPunct/>
        <w:topLinePunct w:val="0"/>
        <w:autoSpaceDE/>
        <w:autoSpaceDN/>
        <w:bidi w:val="0"/>
        <w:adjustRightInd/>
        <w:snapToGrid/>
        <w:spacing w:after="120" w:line="360" w:lineRule="auto"/>
        <w:textAlignment w:val="auto"/>
        <w:rPr>
          <w:rFonts w:hint="default" w:ascii="Times New Roman" w:hAnsi="Times New Roman" w:eastAsia="宋体" w:cs="Times New Roman"/>
          <w:lang w:val="en-US" w:eastAsia="zh-CN"/>
        </w:rPr>
      </w:pPr>
    </w:p>
    <w:p w14:paraId="2D39B80A">
      <w:pPr>
        <w:pStyle w:val="3"/>
        <w:numPr>
          <w:ilvl w:val="0"/>
          <w:numId w:val="0"/>
        </w:numPr>
        <w:jc w:val="left"/>
        <w:rPr>
          <w:rFonts w:hint="default" w:ascii="Times New Roman" w:hAnsi="Times New Roman" w:cs="Times New Roman"/>
        </w:rPr>
      </w:pPr>
      <w:r>
        <w:rPr>
          <w:rFonts w:hint="default" w:ascii="Times New Roman" w:hAnsi="Times New Roman" w:cs="Times New Roman"/>
          <w:lang w:val="en-US"/>
        </w:rPr>
        <w:br w:type="page"/>
      </w:r>
      <w:bookmarkStart w:id="74" w:name="_Toc7535"/>
      <w:r>
        <w:rPr>
          <w:rFonts w:hint="default" w:ascii="Times New Roman" w:hAnsi="Times New Roman" w:cs="Times New Roman"/>
        </w:rPr>
        <w:t>Literaturverzeichnis</w:t>
      </w:r>
      <w:bookmarkEnd w:id="74"/>
    </w:p>
    <w:p w14:paraId="5C72B08A">
      <w:pPr>
        <w:pStyle w:val="2"/>
        <w:rPr>
          <w:rFonts w:hint="default" w:ascii="Times New Roman" w:hAnsi="Times New Roman" w:cs="Times New Roman"/>
          <w:lang w:val="de-DE"/>
        </w:rPr>
      </w:pPr>
      <w:r>
        <w:rPr>
          <w:rFonts w:hint="default" w:ascii="Times New Roman" w:hAnsi="Times New Roman" w:cs="Times New Roman"/>
          <w:sz w:val="28"/>
        </w:rPr>
        <w:t>Literatur</w:t>
      </w:r>
      <w:r>
        <w:rPr>
          <w:rFonts w:hint="default" w:ascii="Times New Roman" w:hAnsi="Times New Roman" w:cs="Times New Roman"/>
          <w:sz w:val="28"/>
          <w:lang w:val="de-DE"/>
        </w:rPr>
        <w:t>:</w:t>
      </w:r>
    </w:p>
    <w:p w14:paraId="0C537DB0">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Abendroth, Sören </w:t>
      </w:r>
      <w:r>
        <w:rPr>
          <w:rFonts w:hint="default" w:ascii="Times New Roman" w:hAnsi="Times New Roman" w:cs="Times New Roman"/>
          <w:lang w:val="de-DE"/>
        </w:rPr>
        <w:t xml:space="preserve">(Nachhaltigkeitsmanagement, 2023): Nachhaltigkeitsmanagement in Banken - Regulatorische Pflichtübung oder Beitrag gegen den Klimawandel?, in: </w:t>
      </w:r>
      <w:r>
        <w:rPr>
          <w:rFonts w:hint="default" w:ascii="Times New Roman" w:hAnsi="Times New Roman" w:cs="Times New Roman"/>
          <w:i/>
          <w:iCs/>
          <w:lang w:val="de-DE"/>
        </w:rPr>
        <w:t>Schöning, Stephan, Moch, Nils, Schütte-Biastoch, Sonja</w:t>
      </w:r>
      <w:r>
        <w:rPr>
          <w:rFonts w:hint="default" w:ascii="Times New Roman" w:hAnsi="Times New Roman" w:cs="Times New Roman"/>
          <w:lang w:val="de-DE"/>
        </w:rPr>
        <w:t xml:space="preserve"> (Hrsg.), Bank- und Finanzwirtschaft im Stress: Aktuelle Herausforderungen und Lösungsansätze, 2023, S. 1-21</w:t>
      </w:r>
    </w:p>
    <w:p w14:paraId="1E66361C">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Aebi, Carol</w:t>
      </w:r>
      <w:r>
        <w:rPr>
          <w:rFonts w:hint="default" w:ascii="Times New Roman" w:hAnsi="Times New Roman" w:cs="Times New Roman"/>
          <w:lang w:val="de-DE"/>
        </w:rPr>
        <w:t xml:space="preserve"> (Sustainability, 2025): Unifying Sustainability Information for Societal Automation: Leveraging Collective Intelligence, Cham: Springer, 2025</w:t>
      </w:r>
    </w:p>
    <w:p w14:paraId="25C6820C">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Bannick, Matt, Goldman, Paula, Kubzansky, Michael </w:t>
      </w:r>
      <w:r>
        <w:rPr>
          <w:rFonts w:hint="default" w:ascii="Times New Roman" w:hAnsi="Times New Roman" w:cs="Times New Roman"/>
          <w:lang w:val="de-DE"/>
        </w:rPr>
        <w:t>(Social Impact, 2015): Frontier Capital: Early Stage Investing for Financial Returns and Social Impact in Emerging Markets, o.O.: Omidyar Network, 2015</w:t>
      </w:r>
    </w:p>
    <w:p w14:paraId="4AAD3923">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 xml:space="preserve">Berkey, Judson </w:t>
      </w:r>
      <w:r>
        <w:rPr>
          <w:rFonts w:hint="default" w:ascii="Times New Roman" w:hAnsi="Times New Roman" w:cs="Times New Roman"/>
          <w:lang w:val="de-DE" w:eastAsia="zh-CN"/>
        </w:rPr>
        <w:t>(Sustainability, 2016): Sustainability legal pressure points for financial services, o.V., 2016</w:t>
      </w:r>
    </w:p>
    <w:p w14:paraId="1835E88E">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Bhattacharya, Prithwa, Ayertey, Samuel, Panditharathna, Roshan, Banor, Maxwell Ayertey</w:t>
      </w:r>
      <w:r>
        <w:rPr>
          <w:rFonts w:hint="default" w:ascii="Times New Roman" w:hAnsi="Times New Roman" w:cs="Times New Roman"/>
          <w:lang w:val="de-DE"/>
        </w:rPr>
        <w:t xml:space="preserve"> (TBL, 2025): Contributing to Environmental Sustainability Through Green Purchasing, Green Capabilities, and Triple Bottom Line Performance, in: </w:t>
      </w:r>
      <w:r>
        <w:rPr>
          <w:rFonts w:hint="default" w:ascii="Times New Roman" w:hAnsi="Times New Roman" w:cs="Times New Roman"/>
          <w:i/>
          <w:iCs/>
          <w:lang w:val="de-DE"/>
        </w:rPr>
        <w:t xml:space="preserve">Panditharathna, Roshan, Hyams-Ssekasi, Denis, Bamber, David </w:t>
      </w:r>
      <w:r>
        <w:rPr>
          <w:rFonts w:hint="default" w:ascii="Times New Roman" w:hAnsi="Times New Roman" w:cs="Times New Roman"/>
          <w:lang w:val="de-DE"/>
        </w:rPr>
        <w:t>(Hrsg.) Contemporary Marketing Solutions: Strategies for Growth in a Competitive Consumer Landscape, 2025, S. 221-239</w:t>
      </w:r>
    </w:p>
    <w:p w14:paraId="004986D1">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Bogsnes, Bjarte</w:t>
      </w:r>
      <w:r>
        <w:rPr>
          <w:rFonts w:hint="default" w:ascii="Times New Roman" w:hAnsi="Times New Roman" w:cs="Times New Roman"/>
          <w:lang w:val="de-DE" w:eastAsia="zh-CN"/>
        </w:rPr>
        <w:t xml:space="preserve"> (Performance potential, 2016): Implementing beyond budgeting: Unlocking the performance potential, 2. Aufl., Hoboken, New Jersey: Wiley, 2016</w:t>
      </w:r>
    </w:p>
    <w:p w14:paraId="76C86DD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Büchner, Peter</w:t>
      </w:r>
      <w:r>
        <w:rPr>
          <w:rFonts w:hint="default" w:ascii="Times New Roman" w:hAnsi="Times New Roman" w:cs="Times New Roman"/>
          <w:lang w:val="de-DE"/>
        </w:rPr>
        <w:t xml:space="preserve"> (S</w:t>
      </w:r>
      <w:r>
        <w:rPr>
          <w:rFonts w:hint="default" w:ascii="Times New Roman" w:hAnsi="Times New Roman" w:cs="Times New Roman"/>
        </w:rPr>
        <w:t>oziale Ungleichheit</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xml:space="preserve">): </w:t>
      </w:r>
      <w:r>
        <w:rPr>
          <w:rFonts w:hint="default" w:ascii="Times New Roman" w:hAnsi="Times New Roman" w:cs="Times New Roman"/>
        </w:rPr>
        <w:t>Bildung und soziale Ungleichheit</w:t>
      </w:r>
      <w:r>
        <w:rPr>
          <w:rFonts w:hint="default" w:ascii="Times New Roman" w:hAnsi="Times New Roman" w:cs="Times New Roman"/>
          <w:lang w:val="de-DE"/>
        </w:rPr>
        <w:t>, in:</w:t>
      </w:r>
      <w:r>
        <w:rPr>
          <w:rFonts w:hint="default" w:ascii="Times New Roman" w:hAnsi="Times New Roman" w:cs="Times New Roman"/>
        </w:rPr>
        <w:t xml:space="preserve"> </w:t>
      </w:r>
      <w:r>
        <w:rPr>
          <w:rFonts w:hint="default" w:ascii="Times New Roman" w:hAnsi="Times New Roman" w:cs="Times New Roman"/>
          <w:i/>
          <w:iCs/>
        </w:rPr>
        <w:t>Wimmer, Christopher</w:t>
      </w:r>
      <w:r>
        <w:rPr>
          <w:rFonts w:hint="default" w:ascii="Times New Roman" w:hAnsi="Times New Roman" w:cs="Times New Roman"/>
          <w:i/>
          <w:iCs/>
          <w:lang w:val="de-DE"/>
        </w:rPr>
        <w:t xml:space="preserve">, </w:t>
      </w:r>
      <w:r>
        <w:rPr>
          <w:rFonts w:hint="default" w:ascii="Times New Roman" w:hAnsi="Times New Roman" w:cs="Times New Roman"/>
          <w:i/>
          <w:iCs/>
        </w:rPr>
        <w:t>Tafner, Georg</w:t>
      </w:r>
      <w:r>
        <w:rPr>
          <w:rFonts w:hint="default" w:ascii="Times New Roman" w:hAnsi="Times New Roman" w:cs="Times New Roman"/>
          <w:lang w:val="de-DE"/>
        </w:rPr>
        <w:t xml:space="preserve"> (Hrsg.), </w:t>
      </w:r>
      <w:r>
        <w:rPr>
          <w:rFonts w:hint="default" w:ascii="Times New Roman" w:hAnsi="Times New Roman" w:cs="Times New Roman"/>
        </w:rPr>
        <w:t xml:space="preserve">Grundbildung und Habitus: Theorie </w:t>
      </w:r>
      <w:r>
        <w:rPr>
          <w:rFonts w:hint="default" w:ascii="Times New Roman" w:hAnsi="Times New Roman" w:cs="Times New Roman"/>
          <w:lang w:val="de-DE"/>
        </w:rPr>
        <w:t>-</w:t>
      </w:r>
      <w:r>
        <w:rPr>
          <w:rFonts w:hint="default" w:ascii="Times New Roman" w:hAnsi="Times New Roman" w:cs="Times New Roman"/>
        </w:rPr>
        <w:t xml:space="preserve"> Methode </w:t>
      </w:r>
      <w:r>
        <w:rPr>
          <w:rFonts w:hint="default" w:ascii="Times New Roman" w:hAnsi="Times New Roman" w:cs="Times New Roman"/>
          <w:lang w:val="de-DE"/>
        </w:rPr>
        <w:t>-</w:t>
      </w:r>
      <w:r>
        <w:rPr>
          <w:rFonts w:hint="default" w:ascii="Times New Roman" w:hAnsi="Times New Roman" w:cs="Times New Roman"/>
        </w:rPr>
        <w:t xml:space="preserve"> Praxis</w:t>
      </w:r>
      <w:r>
        <w:rPr>
          <w:rFonts w:hint="default" w:ascii="Times New Roman" w:hAnsi="Times New Roman" w:cs="Times New Roman"/>
          <w:lang w:val="de-DE"/>
        </w:rPr>
        <w:t>, 2025, S.</w:t>
      </w:r>
      <w:r>
        <w:rPr>
          <w:rFonts w:hint="default" w:ascii="Times New Roman" w:hAnsi="Times New Roman" w:cs="Times New Roman"/>
        </w:rPr>
        <w:t xml:space="preserve"> 149</w:t>
      </w:r>
      <w:r>
        <w:rPr>
          <w:rFonts w:hint="default" w:ascii="Times New Roman" w:hAnsi="Times New Roman" w:cs="Times New Roman"/>
          <w:lang w:val="de-DE"/>
        </w:rPr>
        <w:t>-</w:t>
      </w:r>
      <w:r>
        <w:rPr>
          <w:rFonts w:hint="default" w:ascii="Times New Roman" w:hAnsi="Times New Roman" w:cs="Times New Roman"/>
        </w:rPr>
        <w:t>170</w:t>
      </w:r>
    </w:p>
    <w:p w14:paraId="47F8B63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rPr>
        <w:t>Calderini, Mario</w:t>
      </w:r>
      <w:r>
        <w:rPr>
          <w:rFonts w:hint="default" w:ascii="Times New Roman" w:hAnsi="Times New Roman" w:cs="Times New Roman"/>
          <w:i/>
          <w:iCs/>
          <w:lang w:val="de-DE"/>
        </w:rPr>
        <w:t>,</w:t>
      </w:r>
      <w:r>
        <w:rPr>
          <w:rFonts w:hint="default" w:ascii="Times New Roman" w:hAnsi="Times New Roman" w:cs="Times New Roman"/>
          <w:i/>
          <w:iCs/>
        </w:rPr>
        <w:t xml:space="preserve"> Chiodo, Veronica</w:t>
      </w:r>
      <w:r>
        <w:rPr>
          <w:rFonts w:hint="default" w:ascii="Times New Roman" w:hAnsi="Times New Roman" w:cs="Times New Roman"/>
          <w:i/>
          <w:iCs/>
          <w:lang w:val="de-DE"/>
        </w:rPr>
        <w:t>,</w:t>
      </w:r>
      <w:r>
        <w:rPr>
          <w:rFonts w:hint="default" w:ascii="Times New Roman" w:hAnsi="Times New Roman" w:cs="Times New Roman"/>
          <w:i/>
          <w:iCs/>
        </w:rPr>
        <w:t xml:space="preserve"> Michelucci, Fania Valeria</w:t>
      </w:r>
      <w:r>
        <w:rPr>
          <w:rFonts w:hint="default" w:ascii="Times New Roman" w:hAnsi="Times New Roman" w:cs="Times New Roman"/>
          <w:lang w:val="de-DE"/>
        </w:rPr>
        <w:t xml:space="preserve"> (</w:t>
      </w:r>
      <w:r>
        <w:rPr>
          <w:rFonts w:hint="default" w:ascii="Times New Roman" w:hAnsi="Times New Roman" w:cs="Times New Roman"/>
        </w:rPr>
        <w:t>Wachsende Finanzierung</w:t>
      </w:r>
      <w:r>
        <w:rPr>
          <w:rFonts w:hint="default" w:ascii="Times New Roman" w:hAnsi="Times New Roman" w:cs="Times New Roman"/>
          <w:lang w:val="de-DE"/>
        </w:rPr>
        <w:t xml:space="preserve">, </w:t>
      </w:r>
      <w:r>
        <w:rPr>
          <w:rFonts w:hint="default" w:ascii="Times New Roman" w:hAnsi="Times New Roman" w:cs="Times New Roman"/>
        </w:rPr>
        <w:t>2023</w:t>
      </w:r>
      <w:r>
        <w:rPr>
          <w:rFonts w:hint="default" w:ascii="Times New Roman" w:hAnsi="Times New Roman" w:cs="Times New Roman"/>
          <w:lang w:val="de-DE"/>
        </w:rPr>
        <w:t xml:space="preserve">): </w:t>
      </w:r>
      <w:r>
        <w:rPr>
          <w:rFonts w:hint="default" w:ascii="Times New Roman" w:hAnsi="Times New Roman" w:cs="Times New Roman"/>
        </w:rPr>
        <w:t>Wachsende Finanzierung sozialer Auswirkungen</w:t>
      </w:r>
      <w:r>
        <w:rPr>
          <w:rFonts w:hint="default" w:ascii="Times New Roman" w:hAnsi="Times New Roman" w:cs="Times New Roman"/>
          <w:lang w:val="de-DE"/>
        </w:rPr>
        <w:t>.</w:t>
      </w:r>
      <w:r>
        <w:rPr>
          <w:rFonts w:hint="default" w:ascii="Times New Roman" w:hAnsi="Times New Roman" w:cs="Times New Roman"/>
        </w:rPr>
        <w:t xml:space="preserve"> Auswirkungen auf den öffentlichen Sektor</w:t>
      </w:r>
      <w:r>
        <w:rPr>
          <w:rFonts w:hint="default" w:ascii="Times New Roman" w:hAnsi="Times New Roman" w:cs="Times New Roman"/>
          <w:lang w:val="de-DE"/>
        </w:rPr>
        <w:t>, in:</w:t>
      </w:r>
      <w:r>
        <w:rPr>
          <w:rFonts w:hint="default" w:ascii="Times New Roman" w:hAnsi="Times New Roman" w:cs="Times New Roman"/>
        </w:rPr>
        <w:t xml:space="preserve"> </w:t>
      </w:r>
      <w:r>
        <w:rPr>
          <w:rFonts w:hint="default" w:ascii="Times New Roman" w:hAnsi="Times New Roman" w:cs="Times New Roman"/>
          <w:i/>
          <w:iCs/>
        </w:rPr>
        <w:t>Wendt, Karen</w:t>
      </w:r>
      <w:r>
        <w:rPr>
          <w:rFonts w:hint="default" w:ascii="Times New Roman" w:hAnsi="Times New Roman" w:cs="Times New Roman"/>
          <w:lang w:val="de-DE"/>
        </w:rPr>
        <w:t xml:space="preserve"> (Hrsg.), </w:t>
      </w:r>
      <w:r>
        <w:rPr>
          <w:rFonts w:hint="default" w:ascii="Times New Roman" w:hAnsi="Times New Roman" w:cs="Times New Roman"/>
        </w:rPr>
        <w:t>Positives Impact Investing: Eine nachhaltige Brücke zwischen Strategie, Innovation, Wandel und Lernen</w:t>
      </w:r>
      <w:r>
        <w:rPr>
          <w:rFonts w:hint="default" w:ascii="Times New Roman" w:hAnsi="Times New Roman" w:cs="Times New Roman"/>
          <w:lang w:val="de-DE"/>
        </w:rPr>
        <w:t xml:space="preserve">, 2023, S. </w:t>
      </w:r>
      <w:r>
        <w:rPr>
          <w:rFonts w:hint="default" w:ascii="Times New Roman" w:hAnsi="Times New Roman" w:cs="Times New Roman"/>
        </w:rPr>
        <w:t>31</w:t>
      </w:r>
      <w:r>
        <w:rPr>
          <w:rFonts w:hint="default" w:ascii="Times New Roman" w:hAnsi="Times New Roman" w:cs="Times New Roman"/>
          <w:lang w:val="de-DE"/>
        </w:rPr>
        <w:t>-</w:t>
      </w:r>
      <w:r>
        <w:rPr>
          <w:rFonts w:hint="default" w:ascii="Times New Roman" w:hAnsi="Times New Roman" w:cs="Times New Roman"/>
        </w:rPr>
        <w:t>43</w:t>
      </w:r>
    </w:p>
    <w:p w14:paraId="3975F3D8">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Chakrabarti, Rajesh, Sanyal, Kaushiki </w:t>
      </w:r>
      <w:r>
        <w:rPr>
          <w:rFonts w:hint="default" w:ascii="Times New Roman" w:hAnsi="Times New Roman" w:cs="Times New Roman"/>
          <w:lang w:val="de-DE"/>
        </w:rPr>
        <w:t xml:space="preserve">(Microfinance, 2016): Microfinance and Financial Inclusion in India, in: </w:t>
      </w:r>
      <w:r>
        <w:rPr>
          <w:rFonts w:hint="default" w:ascii="Times New Roman" w:hAnsi="Times New Roman" w:cs="Times New Roman"/>
          <w:i/>
          <w:iCs/>
          <w:lang w:val="de-DE"/>
        </w:rPr>
        <w:t>Gopalan, Sasidaran, Kikuchi, Tomoo</w:t>
      </w:r>
      <w:r>
        <w:rPr>
          <w:rFonts w:hint="default" w:ascii="Times New Roman" w:hAnsi="Times New Roman" w:cs="Times New Roman"/>
          <w:lang w:val="de-DE"/>
        </w:rPr>
        <w:t xml:space="preserve"> (Hrsg.), Financial Inclusion in Asia: Issues and Policy Concerns, 2016, S. 209-256</w:t>
      </w:r>
    </w:p>
    <w:p w14:paraId="73C48261">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da Silva, Amélia Ferreira, Carreira, Francisco, Cepêda, Catarina</w:t>
      </w:r>
      <w:r>
        <w:rPr>
          <w:rFonts w:hint="default" w:ascii="Times New Roman" w:hAnsi="Times New Roman" w:cs="Times New Roman"/>
          <w:lang w:val="de-DE"/>
        </w:rPr>
        <w:t xml:space="preserve"> (ESG Performance, 2025): Does Corporate Governance Impact ESG Performance Reporting in Healthcare?, in: </w:t>
      </w:r>
      <w:r>
        <w:rPr>
          <w:rFonts w:hint="default" w:ascii="Times New Roman" w:hAnsi="Times New Roman" w:cs="Times New Roman"/>
          <w:i/>
          <w:iCs/>
          <w:lang w:val="de-DE"/>
        </w:rPr>
        <w:t xml:space="preserve">Machado, Andreia de bem, Sousa, Maria Jose, Brambilla, Andrea, Pesqueira, Antonio, Rocha, Alvaro </w:t>
      </w:r>
      <w:r>
        <w:rPr>
          <w:rFonts w:hint="default" w:ascii="Times New Roman" w:hAnsi="Times New Roman" w:cs="Times New Roman"/>
          <w:lang w:val="de-DE"/>
        </w:rPr>
        <w:t>(Hrsg.), Environmental, Social, Governance and Digital Transformation in Organizations, 2025, S. 51-72</w:t>
      </w:r>
    </w:p>
    <w:p w14:paraId="082D8CD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Daggers, Jess, Nicholls, Alex</w:t>
      </w:r>
      <w:r>
        <w:rPr>
          <w:rFonts w:hint="default" w:ascii="Times New Roman" w:hAnsi="Times New Roman" w:cs="Times New Roman"/>
          <w:lang w:val="de-DE" w:eastAsia="zh-CN"/>
        </w:rPr>
        <w:t xml:space="preserve"> (Impact Investment, 2016). The landscape of social impact investment research: Trends and opportunities, </w:t>
      </w:r>
      <w:r>
        <w:rPr>
          <w:rFonts w:hint="default" w:ascii="Times New Roman" w:hAnsi="Times New Roman" w:cs="Times New Roman"/>
        </w:rPr>
        <w:t>New York: Oxford University Press</w:t>
      </w:r>
      <w:r>
        <w:rPr>
          <w:rFonts w:hint="default" w:ascii="Times New Roman" w:hAnsi="Times New Roman" w:cs="Times New Roman"/>
          <w:lang w:val="de-DE"/>
        </w:rPr>
        <w:t>,</w:t>
      </w:r>
      <w:r>
        <w:rPr>
          <w:rFonts w:hint="default" w:ascii="Times New Roman" w:hAnsi="Times New Roman" w:cs="Times New Roman"/>
          <w:lang w:val="en-US" w:eastAsia="zh-CN"/>
        </w:rPr>
        <w:t xml:space="preserve"> </w:t>
      </w:r>
      <w:r>
        <w:rPr>
          <w:rFonts w:hint="default" w:ascii="Times New Roman" w:hAnsi="Times New Roman" w:cs="Times New Roman"/>
          <w:lang w:val="de-DE" w:eastAsia="zh-CN"/>
        </w:rPr>
        <w:t>2016</w:t>
      </w:r>
    </w:p>
    <w:p w14:paraId="58413FF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 xml:space="preserve">Dahlbeck, Elke, Jochimsen, Kerstin, Esch, Dajana </w:t>
      </w:r>
      <w:r>
        <w:rPr>
          <w:rFonts w:hint="default" w:ascii="Times New Roman" w:hAnsi="Times New Roman" w:cs="Times New Roman"/>
          <w:lang w:val="de-DE"/>
        </w:rPr>
        <w:t xml:space="preserve">(Finanzierungsmodelle, 2022): Finanzierungs- und Organisationsmodelle zur Sicherung gesellschaftlicher Dienste im Quartier, in: </w:t>
      </w:r>
      <w:r>
        <w:rPr>
          <w:rFonts w:hint="default" w:ascii="Times New Roman" w:hAnsi="Times New Roman" w:cs="Times New Roman"/>
          <w:i/>
          <w:iCs/>
          <w:lang w:val="de-DE"/>
        </w:rPr>
        <w:t>Abt, Jan, Blecken, Lutke, Bock, Stephanie, Diringer, Julia, Fahrenkrug, Katrin</w:t>
      </w:r>
      <w:r>
        <w:rPr>
          <w:rFonts w:hint="default" w:ascii="Times New Roman" w:hAnsi="Times New Roman" w:cs="Times New Roman"/>
          <w:lang w:val="de-DE"/>
        </w:rPr>
        <w:t xml:space="preserve"> (Hrsg.), Von Beteiligung zur Koproduktion: Wege der Zusammenarbeit von Kommune und Bürgerschaft für eine zukunftsfähige kommunale Entwicklung, 2022, S. 303-334</w:t>
      </w:r>
    </w:p>
    <w:p w14:paraId="231BAA50">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Dalal, Sonal Pandya, Bonham, Curan, Silvani, Agustin</w:t>
      </w:r>
      <w:r>
        <w:rPr>
          <w:rFonts w:hint="default" w:ascii="Times New Roman" w:hAnsi="Times New Roman" w:cs="Times New Roman"/>
          <w:lang w:val="de-DE" w:eastAsia="zh-CN"/>
        </w:rPr>
        <w:t xml:space="preserve"> (Investment Products, 2015): An Investigation on Ecosystem Services, the Role of Investment Banks, and Investment Products to Foster Conservation, in:</w:t>
      </w:r>
      <w:r>
        <w:rPr>
          <w:rFonts w:hint="default" w:ascii="Times New Roman" w:hAnsi="Times New Roman" w:cs="Times New Roman"/>
          <w:i/>
          <w:iCs/>
          <w:lang w:val="de-DE" w:eastAsia="zh-CN"/>
        </w:rPr>
        <w:t xml:space="preserve"> Wendt, Karen</w:t>
      </w:r>
      <w:r>
        <w:rPr>
          <w:rFonts w:hint="default" w:ascii="Times New Roman" w:hAnsi="Times New Roman" w:cs="Times New Roman"/>
          <w:lang w:val="de-DE" w:eastAsia="zh-CN"/>
        </w:rPr>
        <w:t xml:space="preserve"> (Hrsg.), Responsible Investment Banking: Risk Management Frameworks, Sustainable Financial Innovation and Softlaw Standards, 2015, S. 285-300</w:t>
      </w:r>
    </w:p>
    <w:p w14:paraId="1DC3061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Dilg, Martin</w:t>
      </w:r>
      <w:r>
        <w:rPr>
          <w:rFonts w:hint="default" w:ascii="Times New Roman" w:hAnsi="Times New Roman" w:cs="Times New Roman"/>
          <w:lang w:val="de-DE"/>
        </w:rPr>
        <w:t xml:space="preserve"> (Nachhaltigkeit investieren, 2024): Verantwortlich in Nachhaltigkeit investieren- Eine pragmatische Aufbereitung kontroverser Ansichten</w:t>
      </w:r>
      <w:r>
        <w:rPr>
          <w:rFonts w:hint="default" w:ascii="Times New Roman" w:hAnsi="Times New Roman" w:cs="Times New Roman"/>
          <w:sz w:val="20"/>
          <w:szCs w:val="20"/>
          <w:highlight w:val="none"/>
          <w:lang w:val="de-DE" w:eastAsia="zh-CN"/>
        </w:rPr>
        <w:t xml:space="preserve">, </w:t>
      </w:r>
      <w:r>
        <w:rPr>
          <w:rFonts w:hint="default" w:ascii="Times New Roman" w:hAnsi="Times New Roman" w:cs="Times New Roman"/>
          <w:sz w:val="20"/>
          <w:szCs w:val="20"/>
          <w:lang w:val="de-DE" w:eastAsia="zh-CN"/>
        </w:rPr>
        <w:t>Wiesbaden: Springer Gabler, 2024</w:t>
      </w:r>
    </w:p>
    <w:p w14:paraId="03121DF2">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eastAsia="宋体" w:cs="Times New Roman"/>
          <w:lang w:val="en-US" w:eastAsia="zh-CN"/>
        </w:rPr>
      </w:pPr>
      <w:r>
        <w:rPr>
          <w:rFonts w:hint="default" w:ascii="Times New Roman" w:hAnsi="Times New Roman" w:cs="Times New Roman"/>
          <w:i/>
          <w:iCs/>
          <w:lang w:val="de-DE"/>
        </w:rPr>
        <w:t>Eisenreich, Thomas, Scholz, Stephanie</w:t>
      </w:r>
      <w:r>
        <w:rPr>
          <w:rFonts w:hint="default" w:ascii="Times New Roman" w:hAnsi="Times New Roman" w:cs="Times New Roman"/>
          <w:lang w:val="de-DE"/>
        </w:rPr>
        <w:t xml:space="preserve"> (Finanzierung, 2018): Finanzierung sozialer Innovationen auf europäischer und nationaler Ebene, in: </w:t>
      </w:r>
      <w:r>
        <w:rPr>
          <w:rFonts w:hint="default" w:ascii="Times New Roman" w:hAnsi="Times New Roman" w:cs="Times New Roman"/>
          <w:i/>
          <w:iCs/>
          <w:lang w:val="de-DE"/>
        </w:rPr>
        <w:t>Eurich, Johannes, Glatz-Schmallegger, Markus, Parpan-Blaser, Anne</w:t>
      </w:r>
      <w:r>
        <w:rPr>
          <w:rFonts w:hint="default" w:ascii="Times New Roman" w:hAnsi="Times New Roman" w:cs="Times New Roman"/>
          <w:lang w:val="de-DE"/>
        </w:rPr>
        <w:t xml:space="preserve"> (Hrsg.), Gestaltung von Innovationen in Organisationen des Sozialwesens: Rahmenbedingungen, Konzepte und Praxisbezüge, 2018, S. 199-224</w:t>
      </w:r>
    </w:p>
    <w:p w14:paraId="12C0A863">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Emmanuel, Jeremiah Arigu, Samaratunge, Ramanie, Prajogo, Daniel</w:t>
      </w:r>
      <w:r>
        <w:rPr>
          <w:rFonts w:hint="default" w:ascii="Times New Roman" w:hAnsi="Times New Roman" w:cs="Times New Roman"/>
          <w:lang w:val="de-DE"/>
        </w:rPr>
        <w:t xml:space="preserve"> (Impact Investors, 2024): Social Enterprises and Impact Investors: Partnerships that Sustain Emerging Countries, Cham: Springer, 2024</w:t>
      </w:r>
    </w:p>
    <w:p w14:paraId="3E88B403">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EMPEA</w:t>
      </w:r>
      <w:r>
        <w:rPr>
          <w:rFonts w:hint="default" w:ascii="Times New Roman" w:hAnsi="Times New Roman" w:cs="Times New Roman"/>
          <w:lang w:val="de-DE" w:eastAsia="zh-CN"/>
        </w:rPr>
        <w:t xml:space="preserve"> (Impact Investing, 2015): How Private Equity Models and Practitioners Can Advance Impact Investing in Emerging Markets, in:</w:t>
      </w:r>
      <w:r>
        <w:rPr>
          <w:rFonts w:hint="default" w:ascii="Times New Roman" w:hAnsi="Times New Roman" w:cs="Times New Roman"/>
          <w:i/>
          <w:iCs/>
          <w:lang w:val="de-DE" w:eastAsia="zh-CN"/>
        </w:rPr>
        <w:t xml:space="preserve"> Wendt, Karen</w:t>
      </w:r>
      <w:r>
        <w:rPr>
          <w:rFonts w:hint="default" w:ascii="Times New Roman" w:hAnsi="Times New Roman" w:cs="Times New Roman"/>
          <w:lang w:val="de-DE" w:eastAsia="zh-CN"/>
        </w:rPr>
        <w:t xml:space="preserve"> (Hrsg.), Responsible Investment Banking: Risk Management Frameworks, Sustainable Financial Innovation and Softlaw Standards, 2015, S. 563-574</w:t>
      </w:r>
    </w:p>
    <w:p w14:paraId="4BFFFE2C">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Fabisch, Nicole</w:t>
      </w:r>
      <w:r>
        <w:rPr>
          <w:rFonts w:hint="default" w:ascii="Times New Roman" w:hAnsi="Times New Roman" w:cs="Times New Roman"/>
          <w:lang w:val="de-DE"/>
        </w:rPr>
        <w:t xml:space="preserve"> (Nachhaltigkeitsziel, 2025): Die Rolle der Banken bei der Erreichung des 8. Nachhaltigkeitsziels, in: </w:t>
      </w:r>
      <w:r>
        <w:rPr>
          <w:rFonts w:hint="default" w:ascii="Times New Roman" w:hAnsi="Times New Roman" w:cs="Times New Roman"/>
          <w:i/>
          <w:iCs/>
          <w:lang w:val="de-DE"/>
        </w:rPr>
        <w:t>Fabisch, Nicole, Schmidpeter, René, Schuster, Gabriele, Sihn-Weber, Andrea</w:t>
      </w:r>
      <w:r>
        <w:rPr>
          <w:rFonts w:hint="default" w:ascii="Times New Roman" w:hAnsi="Times New Roman" w:cs="Times New Roman"/>
          <w:lang w:val="de-DE"/>
        </w:rPr>
        <w:t xml:space="preserve"> (Hrsg.), SDG 8: Menschenwürdige Arbeit und Wirtschaftswachstum, 2025, S. 631-654</w:t>
      </w:r>
    </w:p>
    <w:p w14:paraId="0F26AA22">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Finance Center for South-South Cooperation</w:t>
      </w:r>
      <w:r>
        <w:rPr>
          <w:rFonts w:hint="default" w:ascii="Times New Roman" w:hAnsi="Times New Roman" w:cs="Times New Roman"/>
          <w:lang w:val="de-DE"/>
        </w:rPr>
        <w:t xml:space="preserve"> (Impact Investing, 2023): Definition of Impact Investing, in: </w:t>
      </w:r>
      <w:r>
        <w:rPr>
          <w:rFonts w:hint="default" w:ascii="Times New Roman" w:hAnsi="Times New Roman" w:cs="Times New Roman"/>
          <w:i/>
          <w:iCs/>
          <w:lang w:val="de-DE"/>
        </w:rPr>
        <w:t>Finance Center for South-South Cooperation</w:t>
      </w:r>
      <w:r>
        <w:rPr>
          <w:rFonts w:hint="default" w:ascii="Times New Roman" w:hAnsi="Times New Roman" w:cs="Times New Roman"/>
          <w:lang w:val="de-DE"/>
        </w:rPr>
        <w:t xml:space="preserve"> (Hrsg.), Impact Investing: Global Trends and China’s Practices, 2023, S. 1-14</w:t>
      </w:r>
    </w:p>
    <w:p w14:paraId="4292E1B8">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Freiling, Jörg, Harima, Jan</w:t>
      </w:r>
      <w:r>
        <w:rPr>
          <w:rFonts w:hint="default" w:ascii="Times New Roman" w:hAnsi="Times New Roman" w:cs="Times New Roman"/>
          <w:lang w:val="de-DE"/>
        </w:rPr>
        <w:t xml:space="preserve"> (Entrepreneurship, 2024): Entrepreneurship: Gründung und Skalierung von Startups</w:t>
      </w:r>
      <w:r>
        <w:rPr>
          <w:rFonts w:hint="default" w:ascii="Times New Roman" w:hAnsi="Times New Roman" w:cs="Times New Roman"/>
          <w:sz w:val="20"/>
          <w:szCs w:val="20"/>
          <w:highlight w:val="none"/>
          <w:lang w:val="de-DE" w:eastAsia="zh-CN"/>
        </w:rPr>
        <w:t xml:space="preserve">, 2. Aufl., </w:t>
      </w:r>
      <w:r>
        <w:rPr>
          <w:rFonts w:hint="default" w:ascii="Times New Roman" w:hAnsi="Times New Roman" w:cs="Times New Roman"/>
          <w:sz w:val="20"/>
          <w:szCs w:val="20"/>
          <w:lang w:val="de-DE" w:eastAsia="zh-CN"/>
        </w:rPr>
        <w:t>Wiesbaden: Springer Gabler, 2024</w:t>
      </w:r>
    </w:p>
    <w:p w14:paraId="53FC6A1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Frick, Andreas</w:t>
      </w:r>
      <w:r>
        <w:rPr>
          <w:rFonts w:hint="default" w:ascii="Times New Roman" w:hAnsi="Times New Roman" w:cs="Times New Roman"/>
          <w:lang w:val="de-DE"/>
        </w:rPr>
        <w:t xml:space="preserve"> (Projektmanagement, 2023): Projekt- und Multiprojektmanagement richtig aufbauen. Baukasten und Leitfaden zur Steuerung projektorientierter Organisationen, Wiesbaden: Springer Gabler, 2023</w:t>
      </w:r>
    </w:p>
    <w:p w14:paraId="19EE04F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00" w:leftChars="0" w:hanging="400" w:hangingChars="200"/>
        <w:jc w:val="both"/>
        <w:textAlignment w:val="auto"/>
        <w:rPr>
          <w:rFonts w:hint="default" w:ascii="Times New Roman" w:hAnsi="Times New Roman" w:cs="Times New Roman"/>
          <w:lang w:val="de-DE"/>
        </w:rPr>
      </w:pPr>
      <w:r>
        <w:rPr>
          <w:rFonts w:hint="default" w:ascii="Times New Roman" w:hAnsi="Times New Roman" w:cs="Times New Roman"/>
          <w:i/>
          <w:iCs/>
          <w:sz w:val="20"/>
          <w:szCs w:val="20"/>
          <w:highlight w:val="none"/>
          <w:lang w:val="en-US" w:eastAsia="zh-CN"/>
        </w:rPr>
        <w:t>Glänzel</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Gunnar</w:t>
      </w:r>
      <w:r>
        <w:rPr>
          <w:rFonts w:hint="default" w:ascii="Times New Roman" w:hAnsi="Times New Roman" w:cs="Times New Roman"/>
          <w:i/>
          <w:iCs/>
          <w:sz w:val="20"/>
          <w:szCs w:val="20"/>
          <w:highlight w:val="none"/>
          <w:lang w:val="de-DE" w:eastAsia="zh-CN"/>
        </w:rPr>
        <w:t>,</w:t>
      </w:r>
      <w:r>
        <w:rPr>
          <w:rFonts w:hint="default" w:ascii="Times New Roman" w:hAnsi="Times New Roman" w:cs="Times New Roman"/>
          <w:i/>
          <w:iCs/>
          <w:sz w:val="20"/>
          <w:szCs w:val="20"/>
          <w:highlight w:val="none"/>
          <w:lang w:val="en-US" w:eastAsia="zh-CN"/>
        </w:rPr>
        <w:t xml:space="preserve"> Scheuerle</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Thomas</w:t>
      </w:r>
      <w:r>
        <w:rPr>
          <w:rFonts w:hint="default" w:ascii="Times New Roman" w:hAnsi="Times New Roman" w:cs="Times New Roman"/>
          <w:sz w:val="20"/>
          <w:szCs w:val="20"/>
          <w:highlight w:val="none"/>
          <w:lang w:val="en-US" w:eastAsia="zh-CN"/>
        </w:rPr>
        <w:t xml:space="preserve"> </w:t>
      </w:r>
      <w:r>
        <w:rPr>
          <w:rFonts w:hint="default" w:ascii="Times New Roman" w:hAnsi="Times New Roman" w:cs="Times New Roman"/>
          <w:sz w:val="20"/>
          <w:szCs w:val="20"/>
          <w:highlight w:val="none"/>
          <w:lang w:val="de-DE" w:eastAsia="zh-CN"/>
        </w:rPr>
        <w:t>(</w:t>
      </w:r>
      <w:r>
        <w:rPr>
          <w:rFonts w:hint="default" w:ascii="Times New Roman" w:hAnsi="Times New Roman" w:cs="Times New Roman"/>
          <w:sz w:val="20"/>
          <w:szCs w:val="20"/>
          <w:highlight w:val="none"/>
          <w:lang w:val="en-US" w:eastAsia="zh-CN"/>
        </w:rPr>
        <w:t>Impact Investing</w:t>
      </w:r>
      <w:r>
        <w:rPr>
          <w:rFonts w:hint="default" w:ascii="Times New Roman" w:hAnsi="Times New Roman" w:cs="Times New Roman"/>
          <w:sz w:val="20"/>
          <w:szCs w:val="20"/>
          <w:highlight w:val="none"/>
          <w:lang w:val="de-DE" w:eastAsia="zh-CN"/>
        </w:rPr>
        <w:t xml:space="preserve">, 2019): </w:t>
      </w:r>
      <w:r>
        <w:rPr>
          <w:rFonts w:hint="default" w:ascii="Times New Roman" w:hAnsi="Times New Roman" w:cs="Times New Roman"/>
          <w:sz w:val="20"/>
          <w:szCs w:val="20"/>
          <w:highlight w:val="none"/>
          <w:lang w:val="en-US" w:eastAsia="zh-CN"/>
        </w:rPr>
        <w:t xml:space="preserve">Social Impact Investing und Social Enterprise in Deutschland </w:t>
      </w:r>
      <w:r>
        <w:rPr>
          <w:rFonts w:hint="default" w:ascii="Times New Roman" w:hAnsi="Times New Roman" w:cs="Times New Roman"/>
          <w:sz w:val="20"/>
          <w:szCs w:val="20"/>
          <w:highlight w:val="none"/>
          <w:lang w:val="de-DE" w:eastAsia="zh-CN"/>
        </w:rPr>
        <w:t>-</w:t>
      </w:r>
      <w:r>
        <w:rPr>
          <w:rFonts w:hint="default" w:ascii="Times New Roman" w:hAnsi="Times New Roman" w:cs="Times New Roman"/>
          <w:sz w:val="20"/>
          <w:szCs w:val="20"/>
          <w:highlight w:val="none"/>
          <w:lang w:val="en-US" w:eastAsia="zh-CN"/>
        </w:rPr>
        <w:t xml:space="preserve"> Eine Bestandaufnahme</w:t>
      </w:r>
      <w:r>
        <w:rPr>
          <w:rFonts w:hint="default" w:ascii="Times New Roman" w:hAnsi="Times New Roman" w:cs="Times New Roman"/>
          <w:sz w:val="20"/>
          <w:szCs w:val="20"/>
          <w:highlight w:val="none"/>
          <w:lang w:val="de-DE" w:eastAsia="zh-CN"/>
        </w:rPr>
        <w:t xml:space="preserve">, in: </w:t>
      </w:r>
      <w:r>
        <w:rPr>
          <w:rFonts w:hint="default" w:ascii="Times New Roman" w:hAnsi="Times New Roman" w:cs="Times New Roman"/>
          <w:i/>
          <w:iCs/>
          <w:sz w:val="20"/>
          <w:szCs w:val="20"/>
          <w:highlight w:val="none"/>
          <w:lang w:val="de-DE" w:eastAsia="zh-CN"/>
        </w:rPr>
        <w:t>Kraemer, Alexander, Edinger-Schons, Laura Marie</w:t>
      </w:r>
      <w:r>
        <w:rPr>
          <w:rFonts w:hint="default" w:ascii="Times New Roman" w:hAnsi="Times New Roman" w:cs="Times New Roman"/>
          <w:sz w:val="20"/>
          <w:szCs w:val="20"/>
          <w:highlight w:val="none"/>
          <w:lang w:val="de-DE" w:eastAsia="zh-CN"/>
        </w:rPr>
        <w:t xml:space="preserve"> (Hrsg.), CSR und Social Enterprise: Beeinflussungsprozesse und effektives Schnittstellenmanagement, 2019, S. 105-122</w:t>
      </w:r>
    </w:p>
    <w:p w14:paraId="5DBBC54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Golka</w:t>
      </w:r>
      <w:r>
        <w:rPr>
          <w:rFonts w:hint="default" w:ascii="Times New Roman" w:hAnsi="Times New Roman" w:cs="Times New Roman"/>
          <w:i/>
          <w:iCs/>
          <w:lang w:val="en-US" w:eastAsia="zh-CN"/>
        </w:rPr>
        <w:t xml:space="preserve">, </w:t>
      </w:r>
      <w:r>
        <w:rPr>
          <w:rFonts w:hint="default" w:ascii="Times New Roman" w:hAnsi="Times New Roman" w:cs="Times New Roman"/>
          <w:i/>
          <w:iCs/>
          <w:lang w:val="de-DE"/>
        </w:rPr>
        <w:t>Philipp</w:t>
      </w:r>
      <w:r>
        <w:rPr>
          <w:rFonts w:hint="default" w:ascii="Times New Roman" w:hAnsi="Times New Roman" w:cs="Times New Roman"/>
          <w:lang w:val="de-DE"/>
        </w:rPr>
        <w:t xml:space="preserve"> </w:t>
      </w:r>
      <w:r>
        <w:rPr>
          <w:rFonts w:hint="default" w:ascii="Times New Roman" w:hAnsi="Times New Roman" w:cs="Times New Roman"/>
          <w:lang w:val="en-US" w:eastAsia="zh-CN"/>
        </w:rPr>
        <w:t>(</w:t>
      </w:r>
      <w:r>
        <w:rPr>
          <w:rFonts w:hint="default" w:ascii="Times New Roman" w:hAnsi="Times New Roman" w:cs="Times New Roman"/>
          <w:lang w:val="de-DE"/>
        </w:rPr>
        <w:t>Financialization</w:t>
      </w:r>
      <w:r>
        <w:rPr>
          <w:rFonts w:hint="default" w:ascii="Times New Roman" w:hAnsi="Times New Roman" w:cs="Times New Roman"/>
          <w:lang w:val="en-US" w:eastAsia="zh-CN"/>
        </w:rPr>
        <w:t xml:space="preserve">, 2019): </w:t>
      </w:r>
      <w:r>
        <w:rPr>
          <w:rFonts w:hint="default" w:ascii="Times New Roman" w:hAnsi="Times New Roman" w:cs="Times New Roman"/>
          <w:lang w:val="de-DE"/>
        </w:rPr>
        <w:t>Financialization as Welfare</w:t>
      </w:r>
      <w:r>
        <w:rPr>
          <w:rFonts w:hint="default" w:ascii="Times New Roman" w:hAnsi="Times New Roman" w:cs="Times New Roman"/>
          <w:lang w:val="en-US" w:eastAsia="zh-CN"/>
        </w:rPr>
        <w:t>.</w:t>
      </w:r>
      <w:r>
        <w:rPr>
          <w:rFonts w:hint="default" w:ascii="Times New Roman" w:hAnsi="Times New Roman" w:cs="Times New Roman"/>
          <w:lang w:val="de-DE"/>
        </w:rPr>
        <w:t xml:space="preserve"> Social Impact Investing and British Social Policy, 1997-2016</w:t>
      </w:r>
      <w:r>
        <w:rPr>
          <w:rFonts w:hint="default" w:ascii="Times New Roman" w:hAnsi="Times New Roman" w:cs="Times New Roman"/>
          <w:lang w:val="en-US" w:eastAsia="zh-CN"/>
        </w:rPr>
        <w:t xml:space="preserve">, Cham: </w:t>
      </w:r>
      <w:r>
        <w:rPr>
          <w:rFonts w:hint="default" w:ascii="Times New Roman" w:hAnsi="Times New Roman" w:cs="Times New Roman"/>
          <w:lang w:val="de-DE"/>
        </w:rPr>
        <w:t>Springer Gabler, 20</w:t>
      </w:r>
      <w:r>
        <w:rPr>
          <w:rFonts w:hint="default" w:ascii="Times New Roman" w:hAnsi="Times New Roman" w:cs="Times New Roman"/>
          <w:lang w:val="en-US" w:eastAsia="zh-CN"/>
        </w:rPr>
        <w:t>19</w:t>
      </w:r>
    </w:p>
    <w:p w14:paraId="62BB9F4A">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Graf Adelmann v. A., Quirin</w:t>
      </w:r>
      <w:r>
        <w:rPr>
          <w:rFonts w:hint="default" w:ascii="Times New Roman" w:hAnsi="Times New Roman" w:cs="Times New Roman"/>
          <w:lang w:val="de-DE"/>
        </w:rPr>
        <w:t xml:space="preserve"> (Unternehmensfinanzierung, 2023): Formen der (alternativen) Unternehmensfinanzierung: Ihr Zugang zu Geld und Chancengleichheit</w:t>
      </w:r>
      <w:r>
        <w:rPr>
          <w:rFonts w:hint="default" w:ascii="Times New Roman" w:hAnsi="Times New Roman" w:cs="Times New Roman"/>
          <w:sz w:val="20"/>
          <w:szCs w:val="20"/>
          <w:highlight w:val="none"/>
          <w:lang w:val="de-DE" w:eastAsia="zh-CN"/>
        </w:rPr>
        <w:t xml:space="preserve">, </w:t>
      </w:r>
      <w:r>
        <w:rPr>
          <w:rFonts w:hint="default" w:ascii="Times New Roman" w:hAnsi="Times New Roman" w:cs="Times New Roman"/>
          <w:sz w:val="20"/>
          <w:szCs w:val="20"/>
          <w:lang w:val="de-DE" w:eastAsia="zh-CN"/>
        </w:rPr>
        <w:t>Wiesbaden: Springer Gabler, 2023</w:t>
      </w:r>
    </w:p>
    <w:p w14:paraId="3C49B1DD">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Grillitsch, Waltraud, Sagmeister, Monika</w:t>
      </w:r>
      <w:r>
        <w:rPr>
          <w:rFonts w:hint="default" w:ascii="Times New Roman" w:hAnsi="Times New Roman" w:cs="Times New Roman"/>
          <w:lang w:val="de-DE"/>
        </w:rPr>
        <w:t xml:space="preserve"> (Sozialwirtschaft, 2021): Projektmanagement in Organisationen der Sozialwirtschaft. Eine Einführung, Wiesbaden: Springer VS, 2022</w:t>
      </w:r>
    </w:p>
    <w:p w14:paraId="4C77D2E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00" w:leftChars="0" w:hanging="400" w:hangingChars="200"/>
        <w:jc w:val="both"/>
        <w:textAlignment w:val="auto"/>
        <w:rPr>
          <w:rFonts w:hint="default" w:ascii="Times New Roman" w:hAnsi="Times New Roman" w:cs="Times New Roman"/>
          <w:sz w:val="20"/>
          <w:szCs w:val="20"/>
          <w:lang w:val="de-DE" w:eastAsia="zh-CN"/>
        </w:rPr>
      </w:pPr>
      <w:r>
        <w:rPr>
          <w:rFonts w:hint="default" w:ascii="Times New Roman" w:hAnsi="Times New Roman" w:cs="Times New Roman"/>
          <w:i/>
          <w:iCs/>
          <w:sz w:val="20"/>
          <w:szCs w:val="20"/>
          <w:lang w:val="de-DE"/>
        </w:rPr>
        <w:t>Grunow, Hans-Werner, Stassinet, Sandra, Zender, Christoph</w:t>
      </w:r>
      <w:r>
        <w:rPr>
          <w:rFonts w:hint="default" w:ascii="Times New Roman" w:hAnsi="Times New Roman" w:cs="Times New Roman"/>
          <w:sz w:val="20"/>
          <w:szCs w:val="20"/>
          <w:lang w:val="de-DE"/>
        </w:rPr>
        <w:t xml:space="preserve"> (Sustainable Finance, 2025): Sustainable Finance. Einsatz nachhaltiger Finanzierungen in Unternehmen, </w:t>
      </w:r>
      <w:r>
        <w:rPr>
          <w:rFonts w:hint="default" w:ascii="Times New Roman" w:hAnsi="Times New Roman" w:cs="Times New Roman"/>
          <w:sz w:val="20"/>
          <w:szCs w:val="20"/>
          <w:lang w:val="de-DE" w:eastAsia="zh-CN"/>
        </w:rPr>
        <w:t>Wiesbaden: Springer Gabler, 2025</w:t>
      </w:r>
    </w:p>
    <w:p w14:paraId="6596031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Gutterman, Alan S.</w:t>
      </w:r>
      <w:r>
        <w:rPr>
          <w:rFonts w:hint="default" w:ascii="Times New Roman" w:hAnsi="Times New Roman" w:cs="Times New Roman"/>
          <w:lang w:val="de-DE"/>
        </w:rPr>
        <w:t xml:space="preserve"> (Sustainable Financ, 2021): Sustainable Finance and Impact Investing, </w:t>
      </w:r>
      <w:r>
        <w:rPr>
          <w:rFonts w:hint="default" w:ascii="Times New Roman" w:hAnsi="Times New Roman" w:cs="Times New Roman"/>
          <w:lang w:val="de-DE" w:eastAsia="zh-CN"/>
        </w:rPr>
        <w:t xml:space="preserve">New York: </w:t>
      </w:r>
      <w:r>
        <w:rPr>
          <w:rFonts w:hint="default" w:ascii="Times New Roman" w:hAnsi="Times New Roman" w:cs="Times New Roman"/>
          <w:lang w:val="de-DE"/>
        </w:rPr>
        <w:t>Business Expert Press, 2021</w:t>
      </w:r>
    </w:p>
    <w:p w14:paraId="6777FA32">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Heller, Peter W.</w:t>
      </w:r>
      <w:r>
        <w:rPr>
          <w:rFonts w:hint="default" w:ascii="Times New Roman" w:hAnsi="Times New Roman" w:cs="Times New Roman"/>
          <w:lang w:val="de-DE"/>
        </w:rPr>
        <w:t xml:space="preserve"> (Microcredit, 2021): The Lessons of Microcredit, in: Wendt, Karen (Hrsg.), Theories of Change: Change Leadership Tools, Models and Applications for Investing in Sustainable Development, 2021, S. 153-168</w:t>
      </w:r>
    </w:p>
    <w:p w14:paraId="500C5320">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Jackson, Edward T., Harji, Karim</w:t>
      </w:r>
      <w:r>
        <w:rPr>
          <w:rFonts w:hint="default" w:ascii="Times New Roman" w:hAnsi="Times New Roman" w:cs="Times New Roman"/>
          <w:lang w:val="de-DE"/>
        </w:rPr>
        <w:t xml:space="preserve"> (Impact Investing, 2016): Evaluating Impact Investing in Africa, o.O.: Jackson &amp; Associates Ltd and The Rockefeller Foundation, 2016</w:t>
      </w:r>
    </w:p>
    <w:p w14:paraId="46F7D2F8">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Jacob, Michael</w:t>
      </w:r>
      <w:r>
        <w:rPr>
          <w:rFonts w:hint="default" w:ascii="Times New Roman" w:hAnsi="Times New Roman" w:cs="Times New Roman"/>
          <w:lang w:val="de-DE"/>
        </w:rPr>
        <w:t xml:space="preserve"> (Ökonomische Nachhaltigkeit, 2025): Ökonomische Nachhaltigkeit - Interdisziplinäre Perspektiven, Wiesbaden: Springer Vieweg, 2025</w:t>
      </w:r>
    </w:p>
    <w:p w14:paraId="15F890C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Kahle, Ute</w:t>
      </w:r>
      <w:r>
        <w:rPr>
          <w:rFonts w:hint="default" w:ascii="Times New Roman" w:hAnsi="Times New Roman" w:cs="Times New Roman"/>
          <w:lang w:val="de-DE"/>
        </w:rPr>
        <w:t xml:space="preserve"> (Betriebssozialarbeit, 2025): Plattformökonomie und Betriebssozialarbeit: Herausforderungen und neue Aufgaben unter den Bedingungen der Digitalität. Versuch einer Neuverortung, in:</w:t>
      </w:r>
      <w:r>
        <w:rPr>
          <w:rFonts w:hint="default" w:ascii="Times New Roman" w:hAnsi="Times New Roman" w:cs="Times New Roman"/>
          <w:i/>
          <w:iCs/>
          <w:lang w:val="de-DE"/>
        </w:rPr>
        <w:t xml:space="preserve"> Schneiders, Katrin</w:t>
      </w:r>
      <w:r>
        <w:rPr>
          <w:rFonts w:hint="default" w:ascii="Times New Roman" w:hAnsi="Times New Roman" w:cs="Times New Roman"/>
          <w:lang w:val="de-DE"/>
        </w:rPr>
        <w:t xml:space="preserve"> (Hrsg.), Betriebliches Sozialmanagement: Sozialpolitik und Soziale Arbeit in Unternehmen, 205, S. 141-169</w:t>
      </w:r>
    </w:p>
    <w:p w14:paraId="72E4841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Keeley, Terrence</w:t>
      </w:r>
      <w:r>
        <w:rPr>
          <w:rFonts w:hint="default" w:ascii="Times New Roman" w:hAnsi="Times New Roman" w:cs="Times New Roman"/>
          <w:lang w:val="de-DE"/>
        </w:rPr>
        <w:t xml:space="preserve"> (Impact Investing, 2022): Sustainable: Moving Beyond ESG to Impact Investing, </w:t>
      </w:r>
      <w:r>
        <w:rPr>
          <w:rFonts w:hint="default" w:ascii="Times New Roman" w:hAnsi="Times New Roman" w:cs="Times New Roman"/>
          <w:lang w:val="de-DE" w:eastAsia="zh-CN"/>
        </w:rPr>
        <w:t xml:space="preserve">New York: </w:t>
      </w:r>
      <w:r>
        <w:rPr>
          <w:rFonts w:hint="default" w:ascii="Times New Roman" w:hAnsi="Times New Roman" w:cs="Times New Roman"/>
          <w:lang w:val="de-DE"/>
        </w:rPr>
        <w:t>Columbia Business School Publishing, 2022</w:t>
      </w:r>
    </w:p>
    <w:p w14:paraId="7D2747E7">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Kimura, Fumiko, Hagihara, Kiyoko, Horie, Noriko, Asahi, Chisato </w:t>
      </w:r>
      <w:r>
        <w:rPr>
          <w:rFonts w:hint="default" w:ascii="Times New Roman" w:hAnsi="Times New Roman" w:cs="Times New Roman"/>
          <w:lang w:val="de-DE"/>
        </w:rPr>
        <w:t xml:space="preserve">(Social Enterprises, 2023): Supporting Organisations for Social Enterprises: Focus on Fundraising, in: </w:t>
      </w:r>
      <w:r>
        <w:rPr>
          <w:rFonts w:hint="default" w:ascii="Times New Roman" w:hAnsi="Times New Roman" w:cs="Times New Roman"/>
          <w:i/>
          <w:iCs/>
          <w:lang w:val="de-DE"/>
        </w:rPr>
        <w:t xml:space="preserve">Asahi, Chisato, Horie, Noriko </w:t>
      </w:r>
      <w:r>
        <w:rPr>
          <w:rFonts w:hint="default" w:ascii="Times New Roman" w:hAnsi="Times New Roman" w:cs="Times New Roman"/>
          <w:lang w:val="de-DE"/>
        </w:rPr>
        <w:t>(Hrsg.), Toward Sustainable Regions: Essays in Honor of Kiyoko Hagihara, 2023, S. 37-54</w:t>
      </w:r>
    </w:p>
    <w:p w14:paraId="2164F31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 xml:space="preserve">Koch, Michael, Kruse, Jessica </w:t>
      </w:r>
      <w:r>
        <w:rPr>
          <w:rFonts w:hint="default" w:ascii="Times New Roman" w:hAnsi="Times New Roman" w:cs="Times New Roman"/>
          <w:lang w:val="de-DE"/>
        </w:rPr>
        <w:t xml:space="preserve">(Geldanlagen, 2024): Greenwashing bei Geldanlagen, in: </w:t>
      </w:r>
      <w:r>
        <w:rPr>
          <w:rFonts w:hint="default" w:ascii="Times New Roman" w:hAnsi="Times New Roman" w:cs="Times New Roman"/>
          <w:i/>
          <w:iCs/>
          <w:lang w:val="de-DE"/>
        </w:rPr>
        <w:t>Hiller, Matthias, Krüger, Kathrin, Riedel, Tea, Schempf, Thomas, Steinhübel, Volker, Zeitnitz, Olaf</w:t>
      </w:r>
      <w:r>
        <w:rPr>
          <w:rFonts w:hint="default" w:ascii="Times New Roman" w:hAnsi="Times New Roman" w:cs="Times New Roman"/>
          <w:lang w:val="de-DE"/>
        </w:rPr>
        <w:t xml:space="preserve"> (Hrsg.), Finance-Perspektiven im Wandel: Digital, nachhaltig, resilient, 2024, S. 119-137</w:t>
      </w:r>
    </w:p>
    <w:p w14:paraId="7F2EFEC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Koch, Rosemarie, Otto, Sascha</w:t>
      </w:r>
      <w:r>
        <w:rPr>
          <w:rFonts w:hint="default" w:ascii="Times New Roman" w:hAnsi="Times New Roman" w:cs="Times New Roman"/>
          <w:lang w:val="de-DE"/>
        </w:rPr>
        <w:t xml:space="preserve"> (ESG-Kriterien, 2025): Titelauswahl im Asset Management unter Einbezug der ESG-Kriterien am Beispiel der Tesla Aktie, in: </w:t>
      </w:r>
      <w:r>
        <w:rPr>
          <w:rFonts w:hint="default" w:ascii="Times New Roman" w:hAnsi="Times New Roman" w:cs="Times New Roman"/>
          <w:i/>
          <w:iCs/>
          <w:lang w:val="de-DE"/>
        </w:rPr>
        <w:t>Koch, Rosemarie</w:t>
      </w:r>
      <w:r>
        <w:rPr>
          <w:rFonts w:hint="default" w:ascii="Times New Roman" w:hAnsi="Times New Roman" w:cs="Times New Roman"/>
          <w:lang w:val="de-DE"/>
        </w:rPr>
        <w:t xml:space="preserve"> (Hrsg.), Sustainable Finance in der Praxis: Nachhaltige Finanzierungs- und Investitionsansätze kennen, verstehen, anwenden, 2025, S. 3-33</w:t>
      </w:r>
    </w:p>
    <w:p w14:paraId="33D232E8">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Kolhoff, Ludger</w:t>
      </w:r>
      <w:r>
        <w:rPr>
          <w:rFonts w:hint="default" w:ascii="Times New Roman" w:hAnsi="Times New Roman" w:cs="Times New Roman"/>
          <w:lang w:val="en-US" w:eastAsia="zh-CN"/>
        </w:rPr>
        <w:t xml:space="preserve"> (</w:t>
      </w:r>
      <w:r>
        <w:rPr>
          <w:rFonts w:hint="default" w:ascii="Times New Roman" w:hAnsi="Times New Roman" w:cs="Times New Roman"/>
          <w:lang w:val="de-DE"/>
        </w:rPr>
        <w:t>Finanzierung</w:t>
      </w:r>
      <w:r>
        <w:rPr>
          <w:rFonts w:hint="default" w:ascii="Times New Roman" w:hAnsi="Times New Roman" w:cs="Times New Roman"/>
          <w:lang w:val="en-US" w:eastAsia="zh-CN"/>
        </w:rPr>
        <w:t xml:space="preserve">, </w:t>
      </w:r>
      <w:r>
        <w:rPr>
          <w:rFonts w:hint="default" w:ascii="Times New Roman" w:hAnsi="Times New Roman" w:cs="Times New Roman"/>
          <w:lang w:val="de-DE"/>
        </w:rPr>
        <w:t>2025</w:t>
      </w:r>
      <w:r>
        <w:rPr>
          <w:rFonts w:hint="default" w:ascii="Times New Roman" w:hAnsi="Times New Roman" w:cs="Times New Roman"/>
          <w:lang w:val="en-US" w:eastAsia="zh-CN"/>
        </w:rPr>
        <w:t>):</w:t>
      </w:r>
      <w:r>
        <w:rPr>
          <w:rFonts w:hint="default" w:ascii="Times New Roman" w:hAnsi="Times New Roman" w:cs="Times New Roman"/>
          <w:lang w:val="de-DE"/>
        </w:rPr>
        <w:t xml:space="preserve"> Finanzierung der Sozialwirtschaft</w:t>
      </w:r>
      <w:r>
        <w:rPr>
          <w:rFonts w:hint="default" w:ascii="Times New Roman" w:hAnsi="Times New Roman" w:cs="Times New Roman"/>
          <w:lang w:val="en-US" w:eastAsia="zh-CN"/>
        </w:rPr>
        <w:t>.</w:t>
      </w:r>
      <w:r>
        <w:rPr>
          <w:rFonts w:hint="default" w:ascii="Times New Roman" w:hAnsi="Times New Roman" w:cs="Times New Roman"/>
          <w:lang w:val="de-DE"/>
        </w:rPr>
        <w:t xml:space="preserve"> Eine Einführung</w:t>
      </w:r>
      <w:r>
        <w:rPr>
          <w:rFonts w:hint="default" w:ascii="Times New Roman" w:hAnsi="Times New Roman" w:cs="Times New Roman"/>
          <w:lang w:val="en-US" w:eastAsia="zh-CN"/>
        </w:rPr>
        <w:t>, Wiesbaden: Springer VS, 2025</w:t>
      </w:r>
    </w:p>
    <w:p w14:paraId="1DE3C42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Kolhoff, Ludger</w:t>
      </w:r>
      <w:r>
        <w:rPr>
          <w:rFonts w:hint="default" w:ascii="Times New Roman" w:hAnsi="Times New Roman" w:cs="Times New Roman"/>
          <w:lang w:val="de-DE"/>
        </w:rPr>
        <w:t xml:space="preserve"> (Sozialwirtschaft, 2019): Öffentliche Finanzierung der Sozialwirtschaft, in: </w:t>
      </w:r>
      <w:r>
        <w:rPr>
          <w:rFonts w:hint="default" w:ascii="Times New Roman" w:hAnsi="Times New Roman" w:cs="Times New Roman"/>
          <w:i/>
          <w:iCs/>
          <w:lang w:val="de-DE"/>
        </w:rPr>
        <w:t xml:space="preserve">Kolhoff, Ludger </w:t>
      </w:r>
      <w:r>
        <w:rPr>
          <w:rFonts w:hint="default" w:ascii="Times New Roman" w:hAnsi="Times New Roman" w:cs="Times New Roman"/>
          <w:lang w:val="de-DE"/>
        </w:rPr>
        <w:t>(Hrsg.), Aktuelle Diskurse in der Sozialwirtschaft II, 2019, S. 155-170</w:t>
      </w:r>
    </w:p>
    <w:p w14:paraId="0A77FA8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eastAsia="宋体" w:cs="Times New Roman"/>
          <w:lang w:val="en-US" w:eastAsia="zh-CN"/>
        </w:rPr>
      </w:pPr>
      <w:r>
        <w:rPr>
          <w:rFonts w:hint="default" w:ascii="Times New Roman" w:hAnsi="Times New Roman" w:cs="Times New Roman"/>
          <w:i/>
          <w:iCs/>
          <w:lang w:val="de-DE"/>
        </w:rPr>
        <w:t>Krlev, Gorgi, Sauer, Sina, Scharpe, Katharina, Mildenberger, Georg, Elsemann, Katrin, Sauerhammer, Markus</w:t>
      </w:r>
      <w:r>
        <w:rPr>
          <w:rFonts w:hint="default" w:ascii="Times New Roman" w:hAnsi="Times New Roman" w:cs="Times New Roman"/>
          <w:lang w:val="de-DE"/>
        </w:rPr>
        <w:t xml:space="preserve"> (Soziale Innovationen, 2021): Finanzierung von Sozialen Innovationen - Internationale Vergleichsstudie. Centrum für soziale Investitionen und Innovationen (CSI), Universität Heidelberg &amp; Social Entrepreneurship Network Deutschland e.V. (SEND), 2021</w:t>
      </w:r>
    </w:p>
    <w:p w14:paraId="1854651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Łudzińska, Karolina</w:t>
      </w:r>
      <w:r>
        <w:rPr>
          <w:rFonts w:hint="default" w:ascii="Times New Roman" w:hAnsi="Times New Roman" w:cs="Times New Roman"/>
          <w:lang w:val="de-DE"/>
        </w:rPr>
        <w:t xml:space="preserve"> (ESG Perspectives, 2025): International ESG Perspectives: Polish, European and Global Contexts, Cham: Palgrave Macmillan, 2025</w:t>
      </w:r>
    </w:p>
    <w:p w14:paraId="523A6A78">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Lykkesfeldt, Poul, Kjaergaard, Laurits Louis </w:t>
      </w:r>
      <w:r>
        <w:rPr>
          <w:rFonts w:hint="default" w:ascii="Times New Roman" w:hAnsi="Times New Roman" w:cs="Times New Roman"/>
          <w:lang w:val="de-DE"/>
        </w:rPr>
        <w:t>(ESG Reporting, 2022): Investor Relations and ESG Reporting in a Regulatory Perspective: A Practical Guide for Financial Market Participants, Cham: Palgrave Macmillan, 2022</w:t>
      </w:r>
    </w:p>
    <w:p w14:paraId="7B39644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rPr>
        <w:t>Margreiter-Otieno, Carina</w:t>
      </w:r>
      <w:r>
        <w:rPr>
          <w:rFonts w:hint="default" w:ascii="Times New Roman" w:hAnsi="Times New Roman" w:cs="Times New Roman"/>
          <w:i/>
          <w:iCs/>
          <w:lang w:val="de-DE"/>
        </w:rPr>
        <w:t>,</w:t>
      </w:r>
      <w:r>
        <w:rPr>
          <w:rFonts w:hint="default" w:ascii="Times New Roman" w:hAnsi="Times New Roman" w:cs="Times New Roman"/>
          <w:i/>
          <w:iCs/>
        </w:rPr>
        <w:t xml:space="preserve"> Spennlingwimmer, Tanja</w:t>
      </w:r>
      <w:r>
        <w:rPr>
          <w:rFonts w:hint="default" w:ascii="Times New Roman" w:hAnsi="Times New Roman" w:cs="Times New Roman"/>
          <w:i/>
          <w:iCs/>
          <w:lang w:val="de-DE"/>
        </w:rPr>
        <w:t xml:space="preserve"> </w:t>
      </w:r>
      <w:r>
        <w:rPr>
          <w:rFonts w:hint="default" w:ascii="Times New Roman" w:hAnsi="Times New Roman" w:cs="Times New Roman"/>
          <w:lang w:val="de-DE"/>
        </w:rPr>
        <w:t>(</w:t>
      </w:r>
      <w:r>
        <w:rPr>
          <w:rFonts w:hint="default" w:ascii="Times New Roman" w:hAnsi="Times New Roman" w:cs="Times New Roman"/>
        </w:rPr>
        <w:t>Impact Innovation</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xml:space="preserve">): </w:t>
      </w:r>
      <w:r>
        <w:rPr>
          <w:rFonts w:hint="default" w:ascii="Times New Roman" w:hAnsi="Times New Roman" w:cs="Times New Roman"/>
        </w:rPr>
        <w:t>Regional Impact Innovation in Österreich</w:t>
      </w:r>
      <w:r>
        <w:rPr>
          <w:rFonts w:hint="default" w:ascii="Times New Roman" w:hAnsi="Times New Roman" w:cs="Times New Roman"/>
          <w:lang w:val="de-DE"/>
        </w:rPr>
        <w:t xml:space="preserve">. </w:t>
      </w:r>
      <w:r>
        <w:rPr>
          <w:rFonts w:hint="default" w:ascii="Times New Roman" w:hAnsi="Times New Roman" w:cs="Times New Roman"/>
        </w:rPr>
        <w:t>Nachhaltige Entwicklung durch Startups und Social Entrepreneurship</w:t>
      </w:r>
      <w:r>
        <w:rPr>
          <w:rFonts w:hint="default" w:ascii="Times New Roman" w:hAnsi="Times New Roman" w:cs="Times New Roman"/>
          <w:lang w:val="de-DE"/>
        </w:rPr>
        <w:t>, Wiesbaden: Springer Gabler, 2024</w:t>
      </w:r>
    </w:p>
    <w:p w14:paraId="0D278A85">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Mayer, Katja</w:t>
      </w:r>
      <w:r>
        <w:rPr>
          <w:rFonts w:hint="default" w:ascii="Times New Roman" w:hAnsi="Times New Roman" w:cs="Times New Roman"/>
          <w:lang w:val="en-US" w:eastAsia="zh-CN"/>
        </w:rPr>
        <w:t xml:space="preserve"> (</w:t>
      </w:r>
      <w:r>
        <w:rPr>
          <w:rFonts w:hint="default" w:ascii="Times New Roman" w:hAnsi="Times New Roman" w:cs="Times New Roman"/>
          <w:lang w:val="de-DE"/>
        </w:rPr>
        <w:t>Nachhaltigkeit</w:t>
      </w:r>
      <w:r>
        <w:rPr>
          <w:rFonts w:hint="default" w:ascii="Times New Roman" w:hAnsi="Times New Roman" w:cs="Times New Roman"/>
          <w:lang w:val="en-US" w:eastAsia="zh-CN"/>
        </w:rPr>
        <w:t xml:space="preserve">, </w:t>
      </w:r>
      <w:r>
        <w:rPr>
          <w:rFonts w:hint="default" w:ascii="Times New Roman" w:hAnsi="Times New Roman" w:cs="Times New Roman"/>
          <w:lang w:val="de-DE"/>
        </w:rPr>
        <w:t>2020</w:t>
      </w:r>
      <w:r>
        <w:rPr>
          <w:rFonts w:hint="default" w:ascii="Times New Roman" w:hAnsi="Times New Roman" w:cs="Times New Roman"/>
          <w:lang w:val="en-US" w:eastAsia="zh-CN"/>
        </w:rPr>
        <w:t xml:space="preserve">): </w:t>
      </w:r>
      <w:r>
        <w:rPr>
          <w:rFonts w:hint="default" w:ascii="Times New Roman" w:hAnsi="Times New Roman" w:cs="Times New Roman"/>
          <w:lang w:val="de-DE"/>
        </w:rPr>
        <w:t>Nachhaltigkeit: 125 Fragen und Antworten: Wegweiser für die Wirtschaft der Zukunft</w:t>
      </w:r>
      <w:r>
        <w:rPr>
          <w:rFonts w:hint="default" w:ascii="Times New Roman" w:hAnsi="Times New Roman" w:cs="Times New Roman"/>
          <w:lang w:val="en-US" w:eastAsia="zh-CN"/>
        </w:rPr>
        <w:t xml:space="preserve">, 2. Aufl., </w:t>
      </w:r>
      <w:r>
        <w:rPr>
          <w:rFonts w:hint="default" w:ascii="Times New Roman" w:hAnsi="Times New Roman" w:cs="Times New Roman"/>
          <w:sz w:val="20"/>
          <w:szCs w:val="20"/>
          <w:lang w:val="de-DE" w:eastAsia="zh-CN"/>
        </w:rPr>
        <w:t>Wiesbaden: Springer Gabler, 202</w:t>
      </w:r>
      <w:r>
        <w:rPr>
          <w:rFonts w:hint="default" w:ascii="Times New Roman" w:hAnsi="Times New Roman" w:cs="Times New Roman"/>
          <w:sz w:val="20"/>
          <w:szCs w:val="20"/>
          <w:lang w:val="en-US" w:eastAsia="zh-CN"/>
        </w:rPr>
        <w:t>0</w:t>
      </w:r>
    </w:p>
    <w:p w14:paraId="73B37B75">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Mettgenberg-Lemiere, Martina</w:t>
      </w:r>
      <w:r>
        <w:rPr>
          <w:rFonts w:hint="default" w:ascii="Times New Roman" w:hAnsi="Times New Roman" w:cs="Times New Roman"/>
          <w:lang w:val="de-DE"/>
        </w:rPr>
        <w:t xml:space="preserve"> (Impact Assessment, 2016): A Guide to Effective Impact Assessment: Venture Philanthropy Practices in Asia, Heidelberg: Asian Venture Philanthropy Network, 2016</w:t>
      </w:r>
    </w:p>
    <w:p w14:paraId="60DEB8B6">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Mia, Md Aslam</w:t>
      </w:r>
      <w:r>
        <w:rPr>
          <w:rFonts w:hint="default" w:ascii="Times New Roman" w:hAnsi="Times New Roman" w:cs="Times New Roman"/>
          <w:lang w:val="de-DE"/>
        </w:rPr>
        <w:t xml:space="preserve"> (Microfinance, 2022): Social Purpose, Commercialization, and Innovations in Microfinance: A Global Perspective, Singapore: Springer, 2022</w:t>
      </w:r>
    </w:p>
    <w:p w14:paraId="3703F87E">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Mondello, Enzo</w:t>
      </w:r>
      <w:r>
        <w:rPr>
          <w:rFonts w:hint="default" w:ascii="Times New Roman" w:hAnsi="Times New Roman" w:cs="Times New Roman"/>
          <w:lang w:val="de-DE"/>
        </w:rPr>
        <w:t xml:space="preserve"> (Corporate Finance, 2022): Corporate Finance: Theorie und Anwendungsbeispiele</w:t>
      </w:r>
      <w:r>
        <w:rPr>
          <w:rFonts w:hint="default" w:ascii="Times New Roman" w:hAnsi="Times New Roman" w:cs="Times New Roman"/>
          <w:sz w:val="20"/>
          <w:szCs w:val="20"/>
          <w:highlight w:val="none"/>
          <w:lang w:val="de-DE" w:eastAsia="zh-CN"/>
        </w:rPr>
        <w:t xml:space="preserve">, </w:t>
      </w:r>
      <w:r>
        <w:rPr>
          <w:rFonts w:hint="default" w:ascii="Times New Roman" w:hAnsi="Times New Roman" w:cs="Times New Roman"/>
          <w:sz w:val="20"/>
          <w:szCs w:val="20"/>
          <w:lang w:val="de-DE" w:eastAsia="zh-CN"/>
        </w:rPr>
        <w:t>Wiesbaden: Springer Gabler, 2022</w:t>
      </w:r>
    </w:p>
    <w:p w14:paraId="2F87AE8F">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Newmark, Tammy E., Pena, Tammy E. </w:t>
      </w:r>
      <w:r>
        <w:rPr>
          <w:rFonts w:hint="default" w:ascii="Times New Roman" w:hAnsi="Times New Roman" w:cs="Times New Roman"/>
          <w:lang w:val="de-DE"/>
        </w:rPr>
        <w:t>(Impact Investing, 2024): Impact Investing for a Sustainable Planet: Insights From EcoEnterprises Fund, Routledge: Taylor &amp; Francis, 2024</w:t>
      </w:r>
    </w:p>
    <w:p w14:paraId="54F2311E">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cs="Times New Roman"/>
          <w:i/>
          <w:iCs/>
        </w:rPr>
        <w:t>Nicholls, Alex</w:t>
      </w:r>
      <w:r>
        <w:rPr>
          <w:rFonts w:hint="default" w:ascii="Times New Roman" w:hAnsi="Times New Roman" w:cs="Times New Roman"/>
          <w:i/>
          <w:iCs/>
          <w:lang w:val="de-DE"/>
        </w:rPr>
        <w:t xml:space="preserve">, </w:t>
      </w:r>
      <w:r>
        <w:rPr>
          <w:rFonts w:hint="default" w:ascii="Times New Roman" w:hAnsi="Times New Roman" w:cs="Times New Roman"/>
          <w:i/>
          <w:iCs/>
        </w:rPr>
        <w:t>Paton, Rob</w:t>
      </w:r>
      <w:r>
        <w:rPr>
          <w:rFonts w:hint="default" w:ascii="Times New Roman" w:hAnsi="Times New Roman" w:cs="Times New Roman"/>
          <w:i/>
          <w:iCs/>
          <w:lang w:val="de-DE"/>
        </w:rPr>
        <w:t xml:space="preserve">, </w:t>
      </w:r>
      <w:r>
        <w:rPr>
          <w:rFonts w:hint="default" w:ascii="Times New Roman" w:hAnsi="Times New Roman" w:cs="Times New Roman"/>
          <w:i/>
          <w:iCs/>
        </w:rPr>
        <w:t>Emerson</w:t>
      </w:r>
      <w:r>
        <w:rPr>
          <w:rFonts w:hint="default" w:ascii="Times New Roman" w:hAnsi="Times New Roman" w:cs="Times New Roman"/>
          <w:i/>
          <w:iCs/>
          <w:lang w:val="de-DE"/>
        </w:rPr>
        <w:t xml:space="preserve">, </w:t>
      </w:r>
      <w:r>
        <w:rPr>
          <w:rFonts w:hint="default" w:ascii="Times New Roman" w:hAnsi="Times New Roman" w:cs="Times New Roman"/>
          <w:i/>
          <w:iCs/>
        </w:rPr>
        <w:t>Jed</w:t>
      </w:r>
      <w:r>
        <w:rPr>
          <w:rFonts w:hint="default" w:ascii="Times New Roman" w:hAnsi="Times New Roman" w:cs="Times New Roman"/>
          <w:lang w:val="en-US" w:eastAsia="zh-CN"/>
        </w:rPr>
        <w:t xml:space="preserve"> (</w:t>
      </w:r>
      <w:r>
        <w:rPr>
          <w:rFonts w:hint="default" w:ascii="Times New Roman" w:hAnsi="Times New Roman" w:cs="Times New Roman"/>
          <w:lang w:val="de-DE" w:eastAsia="zh-CN"/>
        </w:rPr>
        <w:t>S</w:t>
      </w:r>
      <w:r>
        <w:rPr>
          <w:rFonts w:hint="default" w:ascii="Times New Roman" w:hAnsi="Times New Roman" w:cs="Times New Roman"/>
          <w:lang w:val="en-US" w:eastAsia="zh-CN"/>
        </w:rPr>
        <w:t xml:space="preserve">ocial </w:t>
      </w:r>
      <w:r>
        <w:rPr>
          <w:rFonts w:hint="default" w:ascii="Times New Roman" w:hAnsi="Times New Roman" w:cs="Times New Roman"/>
          <w:lang w:val="de-DE" w:eastAsia="zh-CN"/>
        </w:rPr>
        <w:t>f</w:t>
      </w:r>
      <w:r>
        <w:rPr>
          <w:rFonts w:hint="default" w:ascii="Times New Roman" w:hAnsi="Times New Roman" w:cs="Times New Roman"/>
          <w:lang w:val="en-US" w:eastAsia="zh-CN"/>
        </w:rPr>
        <w:t>inance</w:t>
      </w:r>
      <w:r>
        <w:rPr>
          <w:rFonts w:hint="default" w:ascii="Times New Roman" w:hAnsi="Times New Roman" w:cs="Times New Roman"/>
          <w:lang w:val="de-DE" w:eastAsia="zh-CN"/>
        </w:rPr>
        <w:t xml:space="preserve">, </w:t>
      </w:r>
      <w:r>
        <w:rPr>
          <w:rFonts w:hint="default" w:ascii="Times New Roman" w:hAnsi="Times New Roman" w:cs="Times New Roman"/>
          <w:lang w:val="en-US" w:eastAsia="zh-CN"/>
        </w:rPr>
        <w:t>2015)</w:t>
      </w:r>
      <w:r>
        <w:rPr>
          <w:rFonts w:hint="default" w:ascii="Times New Roman" w:hAnsi="Times New Roman" w:cs="Times New Roman"/>
          <w:lang w:val="de-DE" w:eastAsia="zh-CN"/>
        </w:rPr>
        <w:t>:</w:t>
      </w:r>
      <w:r>
        <w:rPr>
          <w:rFonts w:hint="default" w:ascii="Times New Roman" w:hAnsi="Times New Roman" w:cs="Times New Roman"/>
          <w:lang w:val="en-US" w:eastAsia="zh-CN"/>
        </w:rPr>
        <w:t xml:space="preserve"> Social finance</w:t>
      </w:r>
      <w:r>
        <w:rPr>
          <w:rFonts w:hint="default" w:ascii="Times New Roman" w:hAnsi="Times New Roman" w:cs="Times New Roman"/>
          <w:lang w:val="de-DE" w:eastAsia="zh-CN"/>
        </w:rPr>
        <w:t xml:space="preserve">, </w:t>
      </w:r>
      <w:r>
        <w:rPr>
          <w:rFonts w:hint="default" w:ascii="Times New Roman" w:hAnsi="Times New Roman" w:cs="Times New Roman"/>
        </w:rPr>
        <w:t>New York: Oxford University Press</w:t>
      </w:r>
      <w:r>
        <w:rPr>
          <w:rFonts w:hint="default" w:ascii="Times New Roman" w:hAnsi="Times New Roman" w:cs="Times New Roman"/>
          <w:lang w:val="de-DE"/>
        </w:rPr>
        <w:t>,</w:t>
      </w:r>
      <w:r>
        <w:rPr>
          <w:rFonts w:hint="default" w:ascii="Times New Roman" w:hAnsi="Times New Roman" w:cs="Times New Roman"/>
          <w:lang w:val="en-US" w:eastAsia="zh-CN"/>
        </w:rPr>
        <w:t xml:space="preserve"> </w:t>
      </w:r>
      <w:r>
        <w:rPr>
          <w:rFonts w:hint="default" w:ascii="Times New Roman" w:hAnsi="Times New Roman" w:cs="Times New Roman"/>
          <w:lang w:val="de-DE" w:eastAsia="zh-CN"/>
        </w:rPr>
        <w:t>2015</w:t>
      </w:r>
    </w:p>
    <w:p w14:paraId="5E19A520">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Nikolakis, William, da Veiga, Renata Moura </w:t>
      </w:r>
      <w:r>
        <w:rPr>
          <w:rFonts w:hint="default" w:ascii="Times New Roman" w:hAnsi="Times New Roman" w:cs="Times New Roman"/>
          <w:lang w:val="de-DE"/>
        </w:rPr>
        <w:t xml:space="preserve">(SROI, 2023): Introduction - Social Value and Social Return on Investment: Theory and Practice, in: </w:t>
      </w:r>
      <w:r>
        <w:rPr>
          <w:rFonts w:hint="default" w:ascii="Times New Roman" w:hAnsi="Times New Roman" w:cs="Times New Roman"/>
          <w:i/>
          <w:iCs/>
          <w:lang w:val="de-DE"/>
        </w:rPr>
        <w:t xml:space="preserve">Nikolakis, William, Moura da Veiga, Renata </w:t>
      </w:r>
      <w:r>
        <w:rPr>
          <w:rFonts w:hint="default" w:ascii="Times New Roman" w:hAnsi="Times New Roman" w:cs="Times New Roman"/>
          <w:lang w:val="de-DE"/>
        </w:rPr>
        <w:t>(Hrsg.), Social Value, Climate Change and Environmental Stewardship: Insights from Theory and Practice, 2023, S. 1-10</w:t>
      </w:r>
    </w:p>
    <w:p w14:paraId="6DF7C0F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eastAsia="宋体" w:cs="Times New Roman"/>
          <w:i/>
          <w:iCs/>
          <w:lang w:val="de-DE" w:eastAsia="zh-CN"/>
        </w:rPr>
        <w:t>Oberhollenzer, Ursula</w:t>
      </w:r>
      <w:r>
        <w:rPr>
          <w:rFonts w:hint="default" w:ascii="Times New Roman" w:hAnsi="Times New Roman" w:cs="Times New Roman"/>
          <w:i/>
          <w:iCs/>
          <w:lang w:val="de-DE" w:eastAsia="zh-CN"/>
        </w:rPr>
        <w:t xml:space="preserve">, </w:t>
      </w:r>
      <w:r>
        <w:rPr>
          <w:rFonts w:hint="default" w:ascii="Times New Roman" w:hAnsi="Times New Roman" w:eastAsia="宋体" w:cs="Times New Roman"/>
          <w:i/>
          <w:iCs/>
          <w:lang w:val="de-DE" w:eastAsia="zh-CN"/>
        </w:rPr>
        <w:t>Bolena, Alexandra</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Ertler, Alexander</w:t>
      </w:r>
      <w:r>
        <w:rPr>
          <w:rFonts w:hint="default" w:ascii="Times New Roman" w:hAnsi="Times New Roman" w:cs="Times New Roman"/>
          <w:i/>
          <w:iCs/>
          <w:lang w:val="de-DE" w:eastAsia="zh-CN"/>
        </w:rPr>
        <w:t xml:space="preserve"> </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Impact Investing</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2025</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Das Zusammenspiel von SDG 8 und Impact Investing</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 xml:space="preserve"> Nachhaltiges Wirtschaftswachstum gestalten</w:t>
      </w:r>
      <w:r>
        <w:rPr>
          <w:rFonts w:hint="default" w:ascii="Times New Roman" w:hAnsi="Times New Roman" w:cs="Times New Roman"/>
          <w:lang w:val="de-DE" w:eastAsia="zh-CN"/>
        </w:rPr>
        <w:t>, in:</w:t>
      </w:r>
      <w:r>
        <w:rPr>
          <w:rFonts w:hint="default" w:ascii="Times New Roman" w:hAnsi="Times New Roman" w:eastAsia="宋体" w:cs="Times New Roman"/>
          <w:lang w:val="de-DE" w:eastAsia="zh-CN"/>
        </w:rPr>
        <w:t xml:space="preserve"> </w:t>
      </w:r>
      <w:r>
        <w:rPr>
          <w:rFonts w:hint="default" w:ascii="Times New Roman" w:hAnsi="Times New Roman" w:eastAsia="宋体" w:cs="Times New Roman"/>
          <w:i/>
          <w:iCs/>
          <w:lang w:val="de-DE" w:eastAsia="zh-CN"/>
        </w:rPr>
        <w:t>Fabisch, Nicole</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Schmidpeter, René</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Schuster, Gabriele</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Sihn-Weber, Andrea</w:t>
      </w:r>
      <w:r>
        <w:rPr>
          <w:rFonts w:hint="default" w:ascii="Times New Roman" w:hAnsi="Times New Roman" w:cs="Times New Roman"/>
          <w:lang w:val="de-DE" w:eastAsia="zh-CN"/>
        </w:rPr>
        <w:t xml:space="preserve"> (Hrsg.), </w:t>
      </w:r>
      <w:r>
        <w:rPr>
          <w:rFonts w:hint="default" w:ascii="Times New Roman" w:hAnsi="Times New Roman" w:eastAsia="宋体" w:cs="Times New Roman"/>
          <w:lang w:val="de-DE" w:eastAsia="zh-CN"/>
        </w:rPr>
        <w:t>SDG 8: Menschenwürdige Arbeit und Wirtschaftswachstum</w:t>
      </w:r>
      <w:r>
        <w:rPr>
          <w:rFonts w:hint="default" w:ascii="Times New Roman" w:hAnsi="Times New Roman" w:cs="Times New Roman"/>
          <w:lang w:val="de-DE" w:eastAsia="zh-CN"/>
        </w:rPr>
        <w:t>, 2025, S.</w:t>
      </w:r>
      <w:r>
        <w:rPr>
          <w:rFonts w:hint="default" w:ascii="Times New Roman" w:hAnsi="Times New Roman" w:eastAsia="宋体" w:cs="Times New Roman"/>
          <w:lang w:val="de-DE" w:eastAsia="zh-CN"/>
        </w:rPr>
        <w:t xml:space="preserve"> 655</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672</w:t>
      </w:r>
    </w:p>
    <w:p w14:paraId="3289421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Ostmann, Rolf</w:t>
      </w:r>
      <w:r>
        <w:rPr>
          <w:rFonts w:hint="default" w:ascii="Times New Roman" w:hAnsi="Times New Roman" w:cs="Times New Roman"/>
          <w:lang w:val="de-DE"/>
        </w:rPr>
        <w:t xml:space="preserve"> (Nachhaltige Investieren, 2020): Wirkung nachhaltigen Investierens und des Engagements im Speziellen, in:</w:t>
      </w:r>
      <w:r>
        <w:rPr>
          <w:rFonts w:hint="default" w:ascii="Times New Roman" w:hAnsi="Times New Roman" w:cs="Times New Roman"/>
          <w:i/>
          <w:iCs/>
          <w:lang w:val="de-DE"/>
        </w:rPr>
        <w:t xml:space="preserve"> Döpfner, Claudia, Gabriel, Klaus, Ostmann, Rolf, Schaefers, Kevin, Utz, Sebastian, Vögele, Gesa</w:t>
      </w:r>
      <w:r>
        <w:rPr>
          <w:rFonts w:hint="default" w:ascii="Times New Roman" w:hAnsi="Times New Roman" w:cs="Times New Roman"/>
          <w:lang w:val="de-DE"/>
        </w:rPr>
        <w:t xml:space="preserve"> (Hrsg.), Nachhaltige Finanzen: Durch aktives Aktionärstum und Engagement Wandel bewirken, S. 357-369</w:t>
      </w:r>
    </w:p>
    <w:p w14:paraId="05FEA16B">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Prigge, Stefan, Sobottka, Rupini Deepa</w:t>
      </w:r>
      <w:r>
        <w:rPr>
          <w:rFonts w:hint="default" w:ascii="Times New Roman" w:hAnsi="Times New Roman" w:cs="Times New Roman"/>
          <w:lang w:val="de-DE"/>
        </w:rPr>
        <w:t xml:space="preserve"> </w:t>
      </w:r>
      <w:r>
        <w:rPr>
          <w:rFonts w:hint="default" w:ascii="Times New Roman" w:hAnsi="Times New Roman" w:cs="Times New Roman"/>
          <w:i w:val="0"/>
          <w:iCs w:val="0"/>
          <w:lang w:val="de-DE"/>
        </w:rPr>
        <w:t>(</w:t>
      </w:r>
      <w:r>
        <w:rPr>
          <w:rFonts w:hint="default" w:ascii="Times New Roman" w:hAnsi="Times New Roman" w:cs="Times New Roman"/>
          <w:lang w:val="de-DE"/>
        </w:rPr>
        <w:t xml:space="preserve">Active Ownership, 2025): Active Ownership und seine Anwendung bei der Berenberg Wealth and Asset Management, in: </w:t>
      </w:r>
      <w:r>
        <w:rPr>
          <w:rFonts w:hint="default" w:ascii="Times New Roman" w:hAnsi="Times New Roman" w:cs="Times New Roman"/>
          <w:i/>
          <w:iCs/>
          <w:lang w:val="de-DE"/>
        </w:rPr>
        <w:t>Koch, Rosemarie</w:t>
      </w:r>
      <w:r>
        <w:rPr>
          <w:rFonts w:hint="default" w:ascii="Times New Roman" w:hAnsi="Times New Roman" w:cs="Times New Roman"/>
          <w:lang w:val="de-DE"/>
        </w:rPr>
        <w:t xml:space="preserve"> (Hrsg.), Sustainable Finance in der Praxis: Nachhaltige Finanzierungs- und Investitionsansätze kennen, verstehen, anwenden, 2025, S. 57-83</w:t>
      </w:r>
    </w:p>
    <w:p w14:paraId="452519A0">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Ragazou, Konstantina, Zopounidis, Constantin, Garefalakis, Alexandros, Sariannidis, Nikolaos </w:t>
      </w:r>
      <w:r>
        <w:rPr>
          <w:rFonts w:hint="default" w:ascii="Times New Roman" w:hAnsi="Times New Roman" w:cs="Times New Roman"/>
          <w:lang w:val="de-DE"/>
        </w:rPr>
        <w:t>(TBL, 2024): Triple Bottom Line and Multiple Criteria Decision Making Analysis: Fuzzy Selection Processes in the Financial Sector, Cham: Springer, 2024</w:t>
      </w:r>
    </w:p>
    <w:p w14:paraId="307636E3">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Richards, Adam</w:t>
      </w:r>
      <w:r>
        <w:rPr>
          <w:rFonts w:hint="default" w:ascii="Times New Roman" w:hAnsi="Times New Roman" w:cs="Times New Roman"/>
          <w:lang w:val="de-DE"/>
        </w:rPr>
        <w:t xml:space="preserve"> (Social Value, 2023): Measuring and Managing Social Value: Myths and Opportunities, in: </w:t>
      </w:r>
      <w:r>
        <w:rPr>
          <w:rFonts w:hint="default" w:ascii="Times New Roman" w:hAnsi="Times New Roman" w:cs="Times New Roman"/>
          <w:i/>
          <w:iCs/>
          <w:lang w:val="de-DE"/>
        </w:rPr>
        <w:t xml:space="preserve">Nikolakis, William, Moura da Veiga, Renata </w:t>
      </w:r>
      <w:r>
        <w:rPr>
          <w:rFonts w:hint="default" w:ascii="Times New Roman" w:hAnsi="Times New Roman" w:cs="Times New Roman"/>
          <w:lang w:val="de-DE"/>
        </w:rPr>
        <w:t>(Hrsg.), Social Value, Climate Change and Environmental Stewardship: Insights from Theory and Practice, 2023, S. 33-56</w:t>
      </w:r>
    </w:p>
    <w:p w14:paraId="716937E2">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Rizzello, Alessandro</w:t>
      </w:r>
      <w:r>
        <w:rPr>
          <w:rFonts w:hint="default" w:ascii="Times New Roman" w:hAnsi="Times New Roman" w:cs="Times New Roman"/>
          <w:lang w:val="de-DE"/>
        </w:rPr>
        <w:t xml:space="preserve"> (Green Investing, 2022): Green Investing. Changing Paradigms and Future Directions, Cham: Palgrave Macmillan, 2022</w:t>
      </w:r>
    </w:p>
    <w:p w14:paraId="64EAED2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eastAsia="宋体" w:cs="Times New Roman"/>
          <w:lang w:val="de-DE" w:eastAsia="zh-CN"/>
        </w:rPr>
      </w:pPr>
      <w:r>
        <w:rPr>
          <w:rFonts w:hint="default" w:ascii="Times New Roman" w:hAnsi="Times New Roman" w:cs="Times New Roman"/>
          <w:i/>
          <w:iCs/>
        </w:rPr>
        <w:t>Ruppert, Benjamin</w:t>
      </w:r>
      <w:r>
        <w:rPr>
          <w:rFonts w:hint="default" w:ascii="Times New Roman" w:hAnsi="Times New Roman" w:cs="Times New Roman"/>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w:t>
      </w:r>
      <w:r>
        <w:rPr>
          <w:rFonts w:hint="default" w:ascii="Times New Roman" w:hAnsi="Times New Roman" w:cs="Times New Roman"/>
        </w:rPr>
        <w:t xml:space="preserve"> Impact Investing</w:t>
      </w:r>
      <w:r>
        <w:rPr>
          <w:rFonts w:hint="default" w:ascii="Times New Roman" w:hAnsi="Times New Roman" w:cs="Times New Roman"/>
          <w:lang w:val="de-DE"/>
        </w:rPr>
        <w:t>.</w:t>
      </w:r>
      <w:r>
        <w:rPr>
          <w:rFonts w:hint="default" w:ascii="Times New Roman" w:hAnsi="Times New Roman" w:cs="Times New Roman"/>
        </w:rPr>
        <w:t xml:space="preserve"> Regulierung, Methoden und Erfolgsmessung</w:t>
      </w:r>
      <w:r>
        <w:rPr>
          <w:rFonts w:hint="default" w:ascii="Times New Roman" w:hAnsi="Times New Roman" w:cs="Times New Roman"/>
          <w:lang w:val="de-DE"/>
        </w:rPr>
        <w:t>, Stuttgart: Schäffer-Poeschel, 2024</w:t>
      </w:r>
    </w:p>
    <w:p w14:paraId="3F1482FE">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Schaefers, Kevin</w:t>
      </w:r>
      <w:r>
        <w:rPr>
          <w:rFonts w:hint="default" w:ascii="Times New Roman" w:hAnsi="Times New Roman" w:cs="Times New Roman"/>
          <w:lang w:val="de-DE"/>
        </w:rPr>
        <w:t xml:space="preserve"> (Ökonomistisches Engagement, 2020): Über ökonomistisches, konventionelles und supererogatorisches Engagement. Eine investmentethische Betrachtung, in: </w:t>
      </w:r>
      <w:r>
        <w:rPr>
          <w:rFonts w:hint="default" w:ascii="Times New Roman" w:hAnsi="Times New Roman" w:cs="Times New Roman"/>
          <w:i/>
          <w:iCs/>
          <w:lang w:val="de-DE"/>
        </w:rPr>
        <w:t>Döpfner, Claudia, Gabriel, Klaus, Ostmann, Rolf, Schaefers, Kevin, Utz, Sebastian, Vögele, Gesa</w:t>
      </w:r>
      <w:r>
        <w:rPr>
          <w:rFonts w:hint="default" w:ascii="Times New Roman" w:hAnsi="Times New Roman" w:cs="Times New Roman"/>
          <w:lang w:val="de-DE"/>
        </w:rPr>
        <w:t xml:space="preserve"> (Hrsg.), Nachhaltige Finanzen: Durch aktives Aktionärstum und Engagement Wandel bewirken, 2020, S. 65-83</w:t>
      </w:r>
    </w:p>
    <w:p w14:paraId="37521635">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 xml:space="preserve">Schäfer, Henry </w:t>
      </w:r>
      <w:r>
        <w:rPr>
          <w:rFonts w:hint="default" w:ascii="Times New Roman" w:hAnsi="Times New Roman" w:cs="Times New Roman"/>
          <w:lang w:val="de-DE" w:eastAsia="zh-CN"/>
        </w:rPr>
        <w:t xml:space="preserve">(Impact Investing, 2021): Sustainability as a Driver of Innovation for Banking - Business Options of Social Impact Investing (not only) for German Banks, in: </w:t>
      </w:r>
      <w:r>
        <w:rPr>
          <w:rFonts w:hint="default" w:ascii="Times New Roman" w:hAnsi="Times New Roman" w:cs="Times New Roman"/>
          <w:i/>
          <w:iCs/>
          <w:lang w:val="de-DE" w:eastAsia="zh-CN"/>
        </w:rPr>
        <w:t>Wendt, Karen</w:t>
      </w:r>
      <w:r>
        <w:rPr>
          <w:rFonts w:hint="default" w:ascii="Times New Roman" w:hAnsi="Times New Roman" w:cs="Times New Roman"/>
          <w:lang w:val="de-DE" w:eastAsia="zh-CN"/>
        </w:rPr>
        <w:t xml:space="preserve"> (Hrsg.), Green and social economy finance, S. 247-266</w:t>
      </w:r>
    </w:p>
    <w:p w14:paraId="67D98CBE">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Schäfer, Jana, Zheng, Jessie </w:t>
      </w:r>
      <w:r>
        <w:rPr>
          <w:rFonts w:hint="default" w:ascii="Times New Roman" w:hAnsi="Times New Roman" w:cs="Times New Roman"/>
          <w:i w:val="0"/>
          <w:iCs w:val="0"/>
          <w:lang w:val="de-DE"/>
        </w:rPr>
        <w:t>(</w:t>
      </w:r>
      <w:r>
        <w:rPr>
          <w:rFonts w:hint="default" w:ascii="Times New Roman" w:hAnsi="Times New Roman" w:cs="Times New Roman"/>
          <w:lang w:val="de-DE"/>
        </w:rPr>
        <w:t xml:space="preserve">Green Bonds, 2025): Performance von Green Bonds in Europa, in: </w:t>
      </w:r>
      <w:r>
        <w:rPr>
          <w:rFonts w:hint="default" w:ascii="Times New Roman" w:hAnsi="Times New Roman" w:cs="Times New Roman"/>
          <w:i/>
          <w:iCs/>
          <w:lang w:val="de-DE"/>
        </w:rPr>
        <w:t>Koch, Rosemarie</w:t>
      </w:r>
      <w:r>
        <w:rPr>
          <w:rFonts w:hint="default" w:ascii="Times New Roman" w:hAnsi="Times New Roman" w:cs="Times New Roman"/>
          <w:lang w:val="de-DE"/>
        </w:rPr>
        <w:t xml:space="preserve"> (Hrsg.), Sustainable Finance in der Praxis: Nachhaltige Finanzierungs- und Investitionsansätze kennen, verstehen, anwenden, 2025, S. 163-186</w:t>
      </w:r>
    </w:p>
    <w:p w14:paraId="3DD2DC07">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Schempf, Thomas</w:t>
      </w:r>
      <w:r>
        <w:rPr>
          <w:rFonts w:hint="default" w:ascii="Times New Roman" w:hAnsi="Times New Roman" w:cs="Times New Roman"/>
          <w:lang w:val="de-DE"/>
        </w:rPr>
        <w:t xml:space="preserve"> (Green Finance, 2024): Green Finance, in: </w:t>
      </w:r>
      <w:r>
        <w:rPr>
          <w:rFonts w:hint="default" w:ascii="Times New Roman" w:hAnsi="Times New Roman" w:cs="Times New Roman"/>
          <w:i/>
          <w:iCs/>
          <w:lang w:val="de-DE"/>
        </w:rPr>
        <w:t>Hiller, Matthias, Krüger, Kathrin, Riedel, Tea, Schempf, Thomas, Steinhübel, Volker, Zeitnitz, Olaf</w:t>
      </w:r>
      <w:r>
        <w:rPr>
          <w:rFonts w:hint="default" w:ascii="Times New Roman" w:hAnsi="Times New Roman" w:cs="Times New Roman"/>
          <w:lang w:val="de-DE"/>
        </w:rPr>
        <w:t xml:space="preserve"> (Hrsg.), Finance-Perspektiven im Wandel: Digital, nachhaltig, resilient, 2024, S. 163-190</w:t>
      </w:r>
    </w:p>
    <w:p w14:paraId="36DA850C">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 xml:space="preserve">Schiffleitner, Karin </w:t>
      </w:r>
      <w:r>
        <w:rPr>
          <w:rFonts w:hint="default" w:ascii="Times New Roman" w:hAnsi="Times New Roman" w:cs="Times New Roman"/>
          <w:lang w:val="de-DE"/>
        </w:rPr>
        <w:t>(Sustainability Reporting, 2025): Die Umsetzung der Corporate Sustainability Reporting Directive: Eine Analyse am Beispiel ausgewählter großer niederösterreichischer Industrieunternehmen</w:t>
      </w:r>
      <w:r>
        <w:rPr>
          <w:rFonts w:hint="default" w:ascii="Times New Roman" w:hAnsi="Times New Roman" w:cs="Times New Roman"/>
          <w:sz w:val="20"/>
          <w:szCs w:val="20"/>
          <w:highlight w:val="none"/>
          <w:lang w:val="de-DE" w:eastAsia="zh-CN"/>
        </w:rPr>
        <w:t xml:space="preserve">, </w:t>
      </w:r>
      <w:r>
        <w:rPr>
          <w:rFonts w:hint="default" w:ascii="Times New Roman" w:hAnsi="Times New Roman" w:cs="Times New Roman"/>
          <w:sz w:val="20"/>
          <w:szCs w:val="20"/>
          <w:lang w:val="de-DE" w:eastAsia="zh-CN"/>
        </w:rPr>
        <w:t>Wiesbaden: Springer Gabler, 2025</w:t>
      </w:r>
    </w:p>
    <w:p w14:paraId="17343AE8">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Scognamiglio, Elisabetta</w:t>
      </w:r>
      <w:r>
        <w:rPr>
          <w:rFonts w:hint="default" w:ascii="Times New Roman" w:hAnsi="Times New Roman" w:cs="Times New Roman"/>
          <w:i/>
          <w:iCs/>
          <w:lang w:val="en-US" w:eastAsia="zh-CN"/>
        </w:rPr>
        <w:t>,</w:t>
      </w:r>
      <w:r>
        <w:rPr>
          <w:rFonts w:hint="default" w:ascii="Times New Roman" w:hAnsi="Times New Roman" w:cs="Times New Roman"/>
          <w:i/>
          <w:iCs/>
          <w:lang w:val="de-DE"/>
        </w:rPr>
        <w:t xml:space="preserve"> Rizzello, Alessandro</w:t>
      </w:r>
      <w:r>
        <w:rPr>
          <w:rFonts w:hint="default" w:ascii="Times New Roman" w:hAnsi="Times New Roman" w:cs="Times New Roman"/>
          <w:i/>
          <w:iCs/>
          <w:lang w:val="en-US" w:eastAsia="zh-CN"/>
        </w:rPr>
        <w:t>,</w:t>
      </w:r>
      <w:r>
        <w:rPr>
          <w:rFonts w:hint="default" w:ascii="Times New Roman" w:hAnsi="Times New Roman" w:cs="Times New Roman"/>
          <w:i/>
          <w:iCs/>
          <w:lang w:val="de-DE"/>
        </w:rPr>
        <w:t xml:space="preserve"> Chiappini, Helen</w:t>
      </w:r>
      <w:r>
        <w:rPr>
          <w:rFonts w:hint="default" w:ascii="Times New Roman" w:hAnsi="Times New Roman" w:cs="Times New Roman"/>
          <w:lang w:val="en-US" w:eastAsia="zh-CN"/>
        </w:rPr>
        <w:t xml:space="preserve"> (</w:t>
      </w:r>
      <w:r>
        <w:rPr>
          <w:rFonts w:hint="default" w:ascii="Times New Roman" w:hAnsi="Times New Roman" w:cs="Times New Roman"/>
          <w:lang w:val="de-DE"/>
        </w:rPr>
        <w:t>Impact Bonds</w:t>
      </w:r>
      <w:r>
        <w:rPr>
          <w:rFonts w:hint="default" w:ascii="Times New Roman" w:hAnsi="Times New Roman" w:cs="Times New Roman"/>
          <w:lang w:val="en-US" w:eastAsia="zh-CN"/>
        </w:rPr>
        <w:t xml:space="preserve">, </w:t>
      </w:r>
      <w:r>
        <w:rPr>
          <w:rFonts w:hint="default" w:ascii="Times New Roman" w:hAnsi="Times New Roman" w:cs="Times New Roman"/>
          <w:lang w:val="de-DE"/>
        </w:rPr>
        <w:t>2018</w:t>
      </w:r>
      <w:r>
        <w:rPr>
          <w:rFonts w:hint="default" w:ascii="Times New Roman" w:hAnsi="Times New Roman" w:cs="Times New Roman"/>
          <w:lang w:val="en-US" w:eastAsia="zh-CN"/>
        </w:rPr>
        <w:t xml:space="preserve">): </w:t>
      </w:r>
      <w:r>
        <w:rPr>
          <w:rFonts w:hint="default" w:ascii="Times New Roman" w:hAnsi="Times New Roman" w:cs="Times New Roman"/>
          <w:lang w:val="de-DE"/>
        </w:rPr>
        <w:t>Social Risk and Financial Returns: Evidences from Social Impact Bonds</w:t>
      </w:r>
      <w:r>
        <w:rPr>
          <w:rFonts w:hint="default" w:ascii="Times New Roman" w:hAnsi="Times New Roman" w:cs="Times New Roman"/>
          <w:lang w:val="en-US" w:eastAsia="zh-CN"/>
        </w:rPr>
        <w:t>, in:</w:t>
      </w:r>
      <w:r>
        <w:rPr>
          <w:rFonts w:hint="default" w:ascii="Times New Roman" w:hAnsi="Times New Roman" w:cs="Times New Roman"/>
          <w:i/>
          <w:iCs/>
          <w:lang w:val="de-DE"/>
        </w:rPr>
        <w:t xml:space="preserve"> La Torre, Mario</w:t>
      </w:r>
      <w:r>
        <w:rPr>
          <w:rFonts w:hint="default" w:ascii="Times New Roman" w:hAnsi="Times New Roman" w:cs="Times New Roman"/>
          <w:i/>
          <w:iCs/>
          <w:lang w:val="en-US" w:eastAsia="zh-CN"/>
        </w:rPr>
        <w:t>,</w:t>
      </w:r>
      <w:r>
        <w:rPr>
          <w:rFonts w:hint="default" w:ascii="Times New Roman" w:hAnsi="Times New Roman" w:cs="Times New Roman"/>
          <w:i/>
          <w:iCs/>
          <w:lang w:val="de-DE"/>
        </w:rPr>
        <w:t xml:space="preserve"> Calderini, Mario</w:t>
      </w:r>
      <w:r>
        <w:rPr>
          <w:rFonts w:hint="default" w:ascii="Times New Roman" w:hAnsi="Times New Roman" w:cs="Times New Roman"/>
          <w:lang w:val="en-US" w:eastAsia="zh-CN"/>
        </w:rPr>
        <w:t xml:space="preserve"> (Hrsg.), </w:t>
      </w:r>
      <w:r>
        <w:rPr>
          <w:rFonts w:hint="default" w:ascii="Times New Roman" w:hAnsi="Times New Roman" w:cs="Times New Roman"/>
          <w:lang w:val="de-DE"/>
        </w:rPr>
        <w:t>Social Impact Investing Beyond the SIB: Evidence from the Market</w:t>
      </w:r>
      <w:r>
        <w:rPr>
          <w:rFonts w:hint="default" w:ascii="Times New Roman" w:hAnsi="Times New Roman" w:cs="Times New Roman"/>
          <w:lang w:val="en-US" w:eastAsia="zh-CN"/>
        </w:rPr>
        <w:t>,</w:t>
      </w:r>
      <w:r>
        <w:rPr>
          <w:rFonts w:hint="default" w:ascii="Times New Roman" w:hAnsi="Times New Roman" w:cs="Times New Roman"/>
          <w:lang w:val="de-DE"/>
        </w:rPr>
        <w:t xml:space="preserve"> 2018</w:t>
      </w:r>
      <w:r>
        <w:rPr>
          <w:rFonts w:hint="default" w:ascii="Times New Roman" w:hAnsi="Times New Roman" w:cs="Times New Roman"/>
          <w:lang w:val="en-US" w:eastAsia="zh-CN"/>
        </w:rPr>
        <w:t>, S.</w:t>
      </w:r>
      <w:r>
        <w:rPr>
          <w:rFonts w:hint="default" w:ascii="Times New Roman" w:hAnsi="Times New Roman" w:cs="Times New Roman"/>
          <w:lang w:val="de-DE"/>
        </w:rPr>
        <w:t xml:space="preserve"> 47</w:t>
      </w:r>
      <w:r>
        <w:rPr>
          <w:rFonts w:hint="default" w:ascii="Times New Roman" w:hAnsi="Times New Roman" w:cs="Times New Roman"/>
          <w:lang w:val="en-US" w:eastAsia="zh-CN"/>
        </w:rPr>
        <w:t>-</w:t>
      </w:r>
      <w:r>
        <w:rPr>
          <w:rFonts w:hint="default" w:ascii="Times New Roman" w:hAnsi="Times New Roman" w:cs="Times New Roman"/>
          <w:lang w:val="de-DE"/>
        </w:rPr>
        <w:t>68</w:t>
      </w:r>
    </w:p>
    <w:p w14:paraId="16564695">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 xml:space="preserve">Sonntag, Michael </w:t>
      </w:r>
      <w:r>
        <w:rPr>
          <w:rFonts w:hint="default" w:ascii="Times New Roman" w:hAnsi="Times New Roman" w:cs="Times New Roman"/>
          <w:lang w:val="de-DE" w:eastAsia="zh-CN"/>
        </w:rPr>
        <w:t xml:space="preserve">(Evolutionary Economy, 2018): The Biological Foundation of an Evolutionary Economy and its Implications for Organizational Culture and Leadership: A New Framework for Strategic Decision-Making, in: </w:t>
      </w:r>
      <w:r>
        <w:rPr>
          <w:rFonts w:hint="default" w:ascii="Times New Roman" w:hAnsi="Times New Roman" w:cs="Times New Roman"/>
          <w:i/>
          <w:iCs/>
          <w:lang w:val="de-DE" w:eastAsia="zh-CN"/>
        </w:rPr>
        <w:t>Wendt, Karen</w:t>
      </w:r>
      <w:r>
        <w:rPr>
          <w:rFonts w:hint="default" w:ascii="Times New Roman" w:hAnsi="Times New Roman" w:cs="Times New Roman"/>
          <w:lang w:val="de-DE" w:eastAsia="zh-CN"/>
        </w:rPr>
        <w:t xml:space="preserve"> (Hrsg.), Positive Impact Investing: A Sustainable Bridge Between Strategy, Innovation, Change and Learning, 2018, S. 231-255</w:t>
      </w:r>
    </w:p>
    <w:p w14:paraId="5049ED07">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Sonntag, Michael</w:t>
      </w:r>
      <w:r>
        <w:rPr>
          <w:rFonts w:hint="default" w:ascii="Times New Roman" w:hAnsi="Times New Roman" w:cs="Times New Roman"/>
          <w:lang w:val="de-DE"/>
        </w:rPr>
        <w:t xml:space="preserve"> (Organisationskultur, </w:t>
      </w:r>
      <w:r>
        <w:rPr>
          <w:rFonts w:hint="default" w:ascii="Times New Roman" w:hAnsi="Times New Roman" w:cs="Times New Roman"/>
        </w:rPr>
        <w:t>2023</w:t>
      </w:r>
      <w:r>
        <w:rPr>
          <w:rFonts w:hint="default" w:ascii="Times New Roman" w:hAnsi="Times New Roman" w:cs="Times New Roman"/>
          <w:lang w:val="de-DE"/>
        </w:rPr>
        <w:t>): Die biologischen Grundlagen einer evolutionären Wirtschaft und deren Implikationen auf Organisationskultur und Führung: Ein neuer Rahmen für strategische Entscheidungsfindung, in:</w:t>
      </w:r>
      <w:r>
        <w:rPr>
          <w:rFonts w:hint="default" w:ascii="Times New Roman" w:hAnsi="Times New Roman" w:cs="Times New Roman"/>
        </w:rPr>
        <w:t xml:space="preserve"> </w:t>
      </w:r>
      <w:r>
        <w:rPr>
          <w:rFonts w:hint="default" w:ascii="Times New Roman" w:hAnsi="Times New Roman" w:cs="Times New Roman"/>
          <w:i/>
          <w:iCs/>
        </w:rPr>
        <w:t>Wendt, Karen</w:t>
      </w:r>
      <w:r>
        <w:rPr>
          <w:rFonts w:hint="default" w:ascii="Times New Roman" w:hAnsi="Times New Roman" w:cs="Times New Roman"/>
          <w:lang w:val="de-DE"/>
        </w:rPr>
        <w:t xml:space="preserve"> (Hrsg.), </w:t>
      </w:r>
      <w:r>
        <w:rPr>
          <w:rFonts w:hint="default" w:ascii="Times New Roman" w:hAnsi="Times New Roman" w:cs="Times New Roman"/>
        </w:rPr>
        <w:t>Positives Impact Investing: Eine nachhaltige Brücke zwischen Strategie, Innovation, Wandel und Lernen</w:t>
      </w:r>
      <w:r>
        <w:rPr>
          <w:rFonts w:hint="default" w:ascii="Times New Roman" w:hAnsi="Times New Roman" w:cs="Times New Roman"/>
          <w:lang w:val="de-DE"/>
        </w:rPr>
        <w:t>, 2023, S. 243-269</w:t>
      </w:r>
    </w:p>
    <w:p w14:paraId="04F030F0">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Sonntag, Michael, Mesesan, Claire, Lau, Arnold</w:t>
      </w:r>
      <w:r>
        <w:rPr>
          <w:rFonts w:hint="default" w:ascii="Times New Roman" w:hAnsi="Times New Roman" w:cs="Times New Roman"/>
          <w:lang w:val="de-DE" w:eastAsia="zh-CN"/>
        </w:rPr>
        <w:t xml:space="preserve"> (Evolutionary investment, 2021). Evolutionary investment and leadership as agents for rapid transformation. Including the Iroquois Valley Farmland REIT, PBC Case, in: </w:t>
      </w:r>
      <w:r>
        <w:rPr>
          <w:rFonts w:hint="default" w:ascii="Times New Roman" w:hAnsi="Times New Roman" w:cs="Times New Roman"/>
          <w:i/>
          <w:iCs/>
          <w:lang w:val="de-DE" w:eastAsia="zh-CN"/>
        </w:rPr>
        <w:t>Wendt, Karen</w:t>
      </w:r>
      <w:r>
        <w:rPr>
          <w:rFonts w:hint="default" w:ascii="Times New Roman" w:hAnsi="Times New Roman" w:cs="Times New Roman"/>
          <w:lang w:val="de-DE" w:eastAsia="zh-CN"/>
        </w:rPr>
        <w:t xml:space="preserve"> (Hrsg.), Green and social economy finance, S. 71-90</w:t>
      </w:r>
    </w:p>
    <w:p w14:paraId="66573BB7">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eastAsia="宋体" w:cs="Times New Roman"/>
          <w:lang w:val="de-DE" w:eastAsia="zh-CN"/>
        </w:rPr>
      </w:pPr>
      <w:r>
        <w:rPr>
          <w:rFonts w:hint="default" w:ascii="Times New Roman" w:hAnsi="Times New Roman" w:eastAsia="宋体" w:cs="Times New Roman"/>
          <w:i/>
          <w:iCs/>
          <w:lang w:val="de-DE" w:eastAsia="zh-CN"/>
        </w:rPr>
        <w:t>Spiess-Knafl, Wolfgang</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Langer, Harald</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Finanzierung</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2019</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 xml:space="preserve">Finanzierung sozialer Innovationen </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 xml:space="preserve"> Theorie und Praxis am Beispiel von Ennovent</w:t>
      </w:r>
      <w:r>
        <w:rPr>
          <w:rFonts w:hint="default" w:ascii="Times New Roman" w:hAnsi="Times New Roman" w:cs="Times New Roman"/>
          <w:lang w:val="de-DE" w:eastAsia="zh-CN"/>
        </w:rPr>
        <w:t>, in:</w:t>
      </w:r>
      <w:r>
        <w:rPr>
          <w:rFonts w:hint="default" w:ascii="Times New Roman" w:hAnsi="Times New Roman" w:eastAsia="宋体" w:cs="Times New Roman"/>
          <w:lang w:val="de-DE" w:eastAsia="zh-CN"/>
        </w:rPr>
        <w:t xml:space="preserve"> </w:t>
      </w:r>
      <w:r>
        <w:rPr>
          <w:rFonts w:hint="default" w:ascii="Times New Roman" w:hAnsi="Times New Roman" w:eastAsia="宋体" w:cs="Times New Roman"/>
          <w:i/>
          <w:iCs/>
          <w:lang w:val="de-DE" w:eastAsia="zh-CN"/>
        </w:rPr>
        <w:t>Neugebauer, Christian</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Pawel, Sebastian</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Biritz, Helena</w:t>
      </w:r>
      <w:r>
        <w:rPr>
          <w:rFonts w:hint="default" w:ascii="Times New Roman" w:hAnsi="Times New Roman" w:cs="Times New Roman"/>
          <w:i/>
          <w:iCs/>
          <w:lang w:val="de-DE" w:eastAsia="zh-CN"/>
        </w:rPr>
        <w:t xml:space="preserve"> </w:t>
      </w:r>
      <w:r>
        <w:rPr>
          <w:rFonts w:hint="default" w:ascii="Times New Roman" w:hAnsi="Times New Roman" w:cs="Times New Roman"/>
          <w:lang w:val="de-DE" w:eastAsia="zh-CN"/>
        </w:rPr>
        <w:t xml:space="preserve">(Hrsg.), </w:t>
      </w:r>
      <w:r>
        <w:rPr>
          <w:rFonts w:hint="default" w:ascii="Times New Roman" w:hAnsi="Times New Roman" w:eastAsia="宋体" w:cs="Times New Roman"/>
          <w:lang w:val="de-DE" w:eastAsia="zh-CN"/>
        </w:rPr>
        <w:t>Netzwerke und soziale Innovationen</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 xml:space="preserve"> Lösungsansätze für gesellschaftliche</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Herausforderungen?</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2019</w:t>
      </w:r>
      <w:r>
        <w:rPr>
          <w:rFonts w:hint="default" w:ascii="Times New Roman" w:hAnsi="Times New Roman" w:cs="Times New Roman"/>
          <w:lang w:val="de-DE" w:eastAsia="zh-CN"/>
        </w:rPr>
        <w:t>, S.</w:t>
      </w:r>
      <w:r>
        <w:rPr>
          <w:rFonts w:hint="default" w:ascii="Times New Roman" w:hAnsi="Times New Roman" w:eastAsia="宋体" w:cs="Times New Roman"/>
          <w:lang w:val="de-DE" w:eastAsia="zh-CN"/>
        </w:rPr>
        <w:t xml:space="preserve"> 139</w:t>
      </w:r>
      <w:r>
        <w:rPr>
          <w:rFonts w:hint="default" w:ascii="Times New Roman" w:hAnsi="Times New Roman" w:cs="Times New Roman"/>
          <w:lang w:val="de-DE" w:eastAsia="zh-CN"/>
        </w:rPr>
        <w:t>-</w:t>
      </w:r>
      <w:r>
        <w:rPr>
          <w:rFonts w:hint="default" w:ascii="Times New Roman" w:hAnsi="Times New Roman" w:eastAsia="宋体" w:cs="Times New Roman"/>
          <w:lang w:val="de-DE" w:eastAsia="zh-CN"/>
        </w:rPr>
        <w:t>152</w:t>
      </w:r>
    </w:p>
    <w:p w14:paraId="319FF18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rPr>
        <w:t>Spiess-Knafl, Wolfgang</w:t>
      </w:r>
      <w:r>
        <w:rPr>
          <w:rFonts w:hint="default" w:ascii="Times New Roman" w:hAnsi="Times New Roman" w:cs="Times New Roman"/>
          <w:i/>
          <w:iCs/>
          <w:lang w:val="de-DE"/>
        </w:rPr>
        <w:t>,</w:t>
      </w:r>
      <w:r>
        <w:rPr>
          <w:rFonts w:hint="default" w:ascii="Times New Roman" w:hAnsi="Times New Roman" w:cs="Times New Roman"/>
          <w:i/>
          <w:iCs/>
        </w:rPr>
        <w:t xml:space="preserve"> Scheck, Barbara</w:t>
      </w:r>
      <w:r>
        <w:rPr>
          <w:rFonts w:hint="default" w:ascii="Times New Roman" w:hAnsi="Times New Roman" w:cs="Times New Roman"/>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w:t>
      </w:r>
      <w:r>
        <w:rPr>
          <w:rFonts w:hint="default" w:ascii="Times New Roman" w:hAnsi="Times New Roman" w:cs="Times New Roman"/>
        </w:rPr>
        <w:t xml:space="preserve"> Impact Investing</w:t>
      </w:r>
      <w:r>
        <w:rPr>
          <w:rFonts w:hint="default" w:ascii="Times New Roman" w:hAnsi="Times New Roman" w:cs="Times New Roman"/>
          <w:lang w:val="de-DE"/>
        </w:rPr>
        <w:t>.</w:t>
      </w:r>
      <w:r>
        <w:rPr>
          <w:rFonts w:hint="default" w:ascii="Times New Roman" w:hAnsi="Times New Roman" w:cs="Times New Roman"/>
        </w:rPr>
        <w:t xml:space="preserve"> Instrumente, Mechanismen und Akteure</w:t>
      </w:r>
      <w:r>
        <w:rPr>
          <w:rFonts w:hint="default" w:ascii="Times New Roman" w:hAnsi="Times New Roman" w:cs="Times New Roman"/>
          <w:lang w:val="de-DE"/>
        </w:rPr>
        <w:t>, Cham: Springer Gabler, 2024</w:t>
      </w:r>
    </w:p>
    <w:p w14:paraId="19228490">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Stepanek, Peter</w:t>
      </w:r>
      <w:r>
        <w:rPr>
          <w:rFonts w:hint="default" w:ascii="Times New Roman" w:hAnsi="Times New Roman" w:cs="Times New Roman"/>
          <w:lang w:val="de-DE"/>
        </w:rPr>
        <w:t xml:space="preserve"> (Sozialwirtschaft, 2022): Sozialwirtschaft nachhaltig managen. Eine Einführung, Wiesbaden: Springer VS, 2022</w:t>
      </w:r>
    </w:p>
    <w:p w14:paraId="49E3885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Tavanti, Marco</w:t>
      </w:r>
      <w:r>
        <w:rPr>
          <w:rFonts w:hint="default" w:ascii="Times New Roman" w:hAnsi="Times New Roman" w:cs="Times New Roman"/>
          <w:lang w:val="en-US" w:eastAsia="zh-CN"/>
        </w:rPr>
        <w:t xml:space="preserve"> (</w:t>
      </w:r>
      <w:r>
        <w:rPr>
          <w:rFonts w:hint="default" w:ascii="Times New Roman" w:hAnsi="Times New Roman" w:cs="Times New Roman"/>
          <w:lang w:val="de-DE"/>
        </w:rPr>
        <w:t>Sustainability, 2025</w:t>
      </w:r>
      <w:r>
        <w:rPr>
          <w:rFonts w:hint="default" w:ascii="Times New Roman" w:hAnsi="Times New Roman" w:cs="Times New Roman"/>
          <w:lang w:val="en-US" w:eastAsia="zh-CN"/>
        </w:rPr>
        <w:t>)</w:t>
      </w:r>
      <w:r>
        <w:rPr>
          <w:rFonts w:hint="default" w:ascii="Times New Roman" w:hAnsi="Times New Roman" w:cs="Times New Roman"/>
          <w:lang w:val="de-DE" w:eastAsia="zh-CN"/>
        </w:rPr>
        <w:t xml:space="preserve">: </w:t>
      </w:r>
      <w:r>
        <w:rPr>
          <w:rFonts w:hint="default" w:ascii="Times New Roman" w:hAnsi="Times New Roman" w:cs="Times New Roman"/>
          <w:lang w:val="de-DE"/>
        </w:rPr>
        <w:t>Sustainability in Business Management, Volume 2: A Machine-Generated Summary Covering Innovation, Impact, and Future Trends, Cham: Palgrave Macmillan, 2025</w:t>
      </w:r>
    </w:p>
    <w:p w14:paraId="7FAD9B1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sz w:val="20"/>
          <w:szCs w:val="20"/>
          <w:highlight w:val="none"/>
          <w:lang w:val="de-DE"/>
        </w:rPr>
      </w:pPr>
      <w:r>
        <w:rPr>
          <w:rFonts w:hint="default" w:ascii="Times New Roman" w:hAnsi="Times New Roman" w:cs="Times New Roman"/>
          <w:i/>
          <w:iCs/>
          <w:lang w:val="de-DE" w:eastAsia="zh-CN"/>
        </w:rPr>
        <w:t>Thelen, Mirco</w:t>
      </w:r>
      <w:r>
        <w:rPr>
          <w:rFonts w:hint="default" w:ascii="Times New Roman" w:hAnsi="Times New Roman" w:cs="Times New Roman"/>
          <w:lang w:val="de-DE" w:eastAsia="zh-CN"/>
        </w:rPr>
        <w:t xml:space="preserve"> (Impact Investing, 2024): Von CSRD über Prozess-Synergien bis zu Impact Investing: Wie Private Equity nachhaltige Werte schaffen kann, in: </w:t>
      </w:r>
      <w:r>
        <w:rPr>
          <w:rFonts w:hint="default" w:ascii="Times New Roman" w:hAnsi="Times New Roman" w:cs="Times New Roman"/>
          <w:i/>
          <w:iCs/>
          <w:lang w:val="de-DE" w:eastAsia="zh-CN"/>
        </w:rPr>
        <w:t>Niggemann, Karl A., Dahlhausen, Ulrich, Hofer, Markus B., Schmitz, Rudolf, Everling, Oliver</w:t>
      </w:r>
      <w:r>
        <w:rPr>
          <w:rFonts w:hint="default" w:ascii="Times New Roman" w:hAnsi="Times New Roman" w:cs="Times New Roman"/>
          <w:lang w:val="de-DE" w:eastAsia="zh-CN"/>
        </w:rPr>
        <w:t xml:space="preserve"> (Hrsg.), ESG als Treiber von M&amp;A: Unternehmenskäufe und -zusammenschlüsse erfolgreich managen, 2024, S. 201-214</w:t>
      </w:r>
    </w:p>
    <w:p w14:paraId="75DEA7C6">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rPr>
      </w:pPr>
      <w:r>
        <w:rPr>
          <w:rFonts w:hint="default" w:ascii="Times New Roman" w:hAnsi="Times New Roman" w:cs="Times New Roman"/>
          <w:i/>
          <w:iCs/>
          <w:lang w:val="de-DE"/>
        </w:rPr>
        <w:t>Then, Volker, Schober, Christian, Rauscher, Olivia, Kehl, Konstantin</w:t>
      </w:r>
      <w:r>
        <w:rPr>
          <w:rFonts w:hint="default" w:ascii="Times New Roman" w:hAnsi="Times New Roman" w:cs="Times New Roman"/>
          <w:lang w:val="de-DE"/>
        </w:rPr>
        <w:t xml:space="preserve"> (</w:t>
      </w:r>
      <w:r>
        <w:rPr>
          <w:rFonts w:hint="default" w:ascii="Times New Roman" w:hAnsi="Times New Roman" w:cs="Times New Roman"/>
          <w:lang w:val="de-DE" w:eastAsia="zh-CN"/>
        </w:rPr>
        <w:t>SROI,</w:t>
      </w:r>
      <w:r>
        <w:rPr>
          <w:rFonts w:hint="default" w:ascii="Times New Roman" w:hAnsi="Times New Roman" w:cs="Times New Roman"/>
          <w:lang w:val="de-DE"/>
        </w:rPr>
        <w:t xml:space="preserve"> 2017): Social Return on Investment Analysis: Measuring the Impact of Social Investment, Cham: Palgrave Macmillan, 2017</w:t>
      </w:r>
    </w:p>
    <w:p w14:paraId="4E12CC4E">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Vaudt, Susanne</w:t>
      </w:r>
      <w:r>
        <w:rPr>
          <w:rFonts w:hint="default" w:ascii="Times New Roman" w:hAnsi="Times New Roman" w:cs="Times New Roman"/>
          <w:lang w:val="de-DE"/>
        </w:rPr>
        <w:t xml:space="preserve"> (Sozialökonomie, 2022): Sozialökonomie. Eine kritische Einführung, Wiesbaden: Springer VS, 2022</w:t>
      </w:r>
    </w:p>
    <w:p w14:paraId="31FE6A3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00" w:leftChars="0" w:hanging="400" w:hangingChars="200"/>
        <w:jc w:val="both"/>
        <w:textAlignment w:val="auto"/>
        <w:rPr>
          <w:rFonts w:hint="default" w:ascii="Times New Roman" w:hAnsi="Times New Roman" w:cs="Times New Roman"/>
          <w:lang w:val="de-DE"/>
        </w:rPr>
      </w:pPr>
      <w:r>
        <w:rPr>
          <w:rFonts w:hint="default" w:ascii="Times New Roman" w:hAnsi="Times New Roman" w:cs="Times New Roman"/>
          <w:i/>
          <w:iCs/>
          <w:sz w:val="20"/>
          <w:szCs w:val="20"/>
          <w:highlight w:val="none"/>
          <w:lang w:val="de-DE" w:eastAsia="zh-CN"/>
        </w:rPr>
        <w:t>von Schnurbein, Georg</w:t>
      </w:r>
      <w:r>
        <w:rPr>
          <w:rFonts w:hint="default" w:ascii="Times New Roman" w:hAnsi="Times New Roman" w:cs="Times New Roman"/>
          <w:sz w:val="20"/>
          <w:szCs w:val="20"/>
          <w:highlight w:val="none"/>
          <w:lang w:val="de-DE" w:eastAsia="zh-CN"/>
        </w:rPr>
        <w:t xml:space="preserve"> (Finanzmanagement, 2023): Finanzmanagement in Non-Profit-Organisationen: Finanzielle Ressourcen strukturiert, zielgerichtet und nachhaltig einsetzen, </w:t>
      </w:r>
      <w:r>
        <w:rPr>
          <w:rFonts w:hint="default" w:ascii="Times New Roman" w:hAnsi="Times New Roman" w:cs="Times New Roman"/>
          <w:sz w:val="20"/>
          <w:szCs w:val="20"/>
          <w:lang w:val="de-DE" w:eastAsia="zh-CN"/>
        </w:rPr>
        <w:t>Wiesbaden: Springer Gabler, 2023</w:t>
      </w:r>
    </w:p>
    <w:p w14:paraId="01C16D27">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 xml:space="preserve">Wendt, Karen </w:t>
      </w:r>
      <w:r>
        <w:rPr>
          <w:rFonts w:hint="default" w:ascii="Times New Roman" w:hAnsi="Times New Roman" w:cs="Times New Roman"/>
          <w:lang w:val="de-DE" w:eastAsia="zh-CN"/>
        </w:rPr>
        <w:t xml:space="preserve">(Decarbonizing Finance, 2021): Decarbonizing Finance. A Challenge or Business Opportunity?, in: </w:t>
      </w:r>
      <w:r>
        <w:rPr>
          <w:rFonts w:hint="default" w:ascii="Times New Roman" w:hAnsi="Times New Roman" w:cs="Times New Roman"/>
          <w:i/>
          <w:iCs/>
          <w:lang w:val="de-DE" w:eastAsia="zh-CN"/>
        </w:rPr>
        <w:t>Wendt, Karen</w:t>
      </w:r>
      <w:r>
        <w:rPr>
          <w:rFonts w:hint="default" w:ascii="Times New Roman" w:hAnsi="Times New Roman" w:cs="Times New Roman"/>
          <w:lang w:val="de-DE" w:eastAsia="zh-CN"/>
        </w:rPr>
        <w:t xml:space="preserve"> (Hrsg.), Green and social economy finance, S. 226-246</w:t>
      </w:r>
    </w:p>
    <w:p w14:paraId="136C59B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Wendt, Karen</w:t>
      </w:r>
      <w:r>
        <w:rPr>
          <w:rFonts w:hint="default" w:ascii="Times New Roman" w:hAnsi="Times New Roman" w:cs="Times New Roman"/>
          <w:lang w:val="de-DE"/>
        </w:rPr>
        <w:t xml:space="preserve"> (Impact Investing, 2022): Social Stock Exchanges, Catalyst for Impact Investing?, Cham: Springer, 2022</w:t>
      </w:r>
    </w:p>
    <w:p w14:paraId="376E7CBD">
      <w:pPr>
        <w:pStyle w:val="2"/>
        <w:keepNext w:val="0"/>
        <w:keepLines w:val="0"/>
        <w:pageBreakBefore w:val="0"/>
        <w:numPr>
          <w:ilvl w:val="0"/>
          <w:numId w:val="0"/>
        </w:numPr>
        <w:kinsoku/>
        <w:wordWrap/>
        <w:overflowPunct/>
        <w:topLinePunct w:val="0"/>
        <w:autoSpaceDE/>
        <w:autoSpaceDN/>
        <w:bidi w:val="0"/>
        <w:adjustRightInd/>
        <w:snapToGrid/>
        <w:spacing w:after="541" w:afterLines="150" w:line="240" w:lineRule="auto"/>
        <w:ind w:left="480" w:leftChars="0" w:hanging="480" w:hangingChars="200"/>
        <w:textAlignment w:val="auto"/>
        <w:rPr>
          <w:rFonts w:hint="default" w:ascii="Times New Roman" w:hAnsi="Times New Roman" w:cs="Times New Roman"/>
          <w:lang w:val="de-DE" w:eastAsia="zh-CN"/>
        </w:rPr>
      </w:pPr>
      <w:r>
        <w:rPr>
          <w:rFonts w:hint="default" w:ascii="Times New Roman" w:hAnsi="Times New Roman" w:cs="Times New Roman"/>
          <w:i/>
          <w:iCs/>
          <w:lang w:val="de-DE" w:eastAsia="zh-CN"/>
        </w:rPr>
        <w:t xml:space="preserve">Wendt, Karen </w:t>
      </w:r>
      <w:r>
        <w:rPr>
          <w:rFonts w:hint="default" w:ascii="Times New Roman" w:hAnsi="Times New Roman" w:cs="Times New Roman"/>
          <w:lang w:val="de-DE" w:eastAsia="zh-CN"/>
        </w:rPr>
        <w:t xml:space="preserve">(Investing for Impact, 2021): Social Stock Exchanges. Democratization of Capital Investing for Impact, in: </w:t>
      </w:r>
      <w:r>
        <w:rPr>
          <w:rFonts w:hint="default" w:ascii="Times New Roman" w:hAnsi="Times New Roman" w:cs="Times New Roman"/>
          <w:i/>
          <w:iCs/>
          <w:lang w:val="de-DE" w:eastAsia="zh-CN"/>
        </w:rPr>
        <w:t>Wendt, Karen</w:t>
      </w:r>
      <w:r>
        <w:rPr>
          <w:rFonts w:hint="default" w:ascii="Times New Roman" w:hAnsi="Times New Roman" w:cs="Times New Roman"/>
          <w:lang w:val="de-DE" w:eastAsia="zh-CN"/>
        </w:rPr>
        <w:t xml:space="preserve"> (Hrsg.), Green and social economy finance, S. 329-327</w:t>
      </w:r>
    </w:p>
    <w:p w14:paraId="7B145528">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lang w:val="de-DE"/>
        </w:rPr>
        <w:t>Wendt, Karen</w:t>
      </w:r>
      <w:r>
        <w:rPr>
          <w:rFonts w:hint="default" w:ascii="Times New Roman" w:hAnsi="Times New Roman" w:cs="Times New Roman"/>
          <w:lang w:val="de-DE"/>
        </w:rPr>
        <w:t xml:space="preserve"> (Nachhaltige Finanzanlagen, 2025): Staatliche Vorgaben für nachhaltige und klimaschonende Finanzanlagen, in: </w:t>
      </w:r>
      <w:r>
        <w:rPr>
          <w:rFonts w:hint="default" w:ascii="Times New Roman" w:hAnsi="Times New Roman" w:cs="Times New Roman"/>
          <w:i/>
          <w:iCs/>
          <w:lang w:val="de-DE"/>
        </w:rPr>
        <w:t xml:space="preserve">Pöllmann, Guido, Bergbauer, Harald, Mann, Gerald </w:t>
      </w:r>
      <w:r>
        <w:rPr>
          <w:rFonts w:hint="default" w:ascii="Times New Roman" w:hAnsi="Times New Roman" w:cs="Times New Roman"/>
          <w:lang w:val="de-DE"/>
        </w:rPr>
        <w:t>(Hrsg.), Klimapolitik und Wirtschaftswachstum: Analyse eines wechselseitigen Spannungsverhältnisses, 2025, S. 193-202</w:t>
      </w:r>
    </w:p>
    <w:p w14:paraId="6CD28588">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eastAsia="zh-CN"/>
        </w:rPr>
      </w:pPr>
      <w:r>
        <w:rPr>
          <w:rFonts w:hint="default" w:ascii="Times New Roman" w:hAnsi="Times New Roman" w:cs="Times New Roman"/>
          <w:i/>
          <w:iCs/>
          <w:lang w:val="de-DE"/>
        </w:rPr>
        <w:t>Wettstein, Florian, Dey, Pascal, Schaefers, Kevin, Bahlmann, Julia</w:t>
      </w:r>
      <w:r>
        <w:rPr>
          <w:rFonts w:hint="default" w:ascii="Times New Roman" w:hAnsi="Times New Roman" w:cs="Times New Roman"/>
          <w:lang w:val="de-DE"/>
        </w:rPr>
        <w:t xml:space="preserve"> (Impact Investing, 2019): Impact Investing: Konzept, Spannungsfelder und Zukunftsperspektiven. Eine Orientierung für private und institutionelle Investoren, St. Gallen/Bad Homburg: FERI Cognitive Finance Institute, 2019</w:t>
      </w:r>
    </w:p>
    <w:p w14:paraId="68AC630A">
      <w:pPr>
        <w:pStyle w:val="2"/>
        <w:rPr>
          <w:rFonts w:hint="default" w:ascii="Times New Roman" w:hAnsi="Times New Roman" w:cs="Times New Roman"/>
        </w:rPr>
      </w:pPr>
    </w:p>
    <w:p w14:paraId="664798B8">
      <w:pPr>
        <w:pStyle w:val="2"/>
        <w:rPr>
          <w:rFonts w:hint="default" w:ascii="Times New Roman" w:hAnsi="Times New Roman" w:cs="Times New Roman"/>
        </w:rPr>
      </w:pPr>
    </w:p>
    <w:p w14:paraId="05839062">
      <w:pPr>
        <w:pStyle w:val="2"/>
        <w:rPr>
          <w:rFonts w:hint="default" w:ascii="Times New Roman" w:hAnsi="Times New Roman" w:cs="Times New Roman"/>
          <w:sz w:val="28"/>
          <w:lang w:val="de-DE"/>
        </w:rPr>
      </w:pPr>
      <w:r>
        <w:rPr>
          <w:rFonts w:hint="default" w:ascii="Times New Roman" w:hAnsi="Times New Roman" w:cs="Times New Roman"/>
          <w:sz w:val="28"/>
        </w:rPr>
        <w:br w:type="page"/>
      </w:r>
      <w:r>
        <w:rPr>
          <w:rFonts w:hint="default" w:ascii="Times New Roman" w:hAnsi="Times New Roman" w:cs="Times New Roman"/>
          <w:sz w:val="28"/>
        </w:rPr>
        <w:t>Zeitschriften</w:t>
      </w:r>
      <w:r>
        <w:rPr>
          <w:rFonts w:hint="default" w:ascii="Times New Roman" w:hAnsi="Times New Roman" w:cs="Times New Roman"/>
          <w:sz w:val="28"/>
          <w:lang w:val="de-DE"/>
        </w:rPr>
        <w:t>:</w:t>
      </w:r>
    </w:p>
    <w:p w14:paraId="54C8A0A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Ashta, Arvind</w:t>
      </w:r>
      <w:r>
        <w:rPr>
          <w:rFonts w:hint="default" w:ascii="Times New Roman" w:hAnsi="Times New Roman" w:cs="Times New Roman"/>
          <w:i/>
          <w:iCs/>
          <w:lang w:val="de-DE"/>
        </w:rPr>
        <w:t xml:space="preserve">, </w:t>
      </w:r>
      <w:r>
        <w:rPr>
          <w:rFonts w:hint="default" w:ascii="Times New Roman" w:hAnsi="Times New Roman" w:cs="Times New Roman"/>
          <w:i/>
          <w:iCs/>
        </w:rPr>
        <w:t>Ghosh, Chandralekha</w:t>
      </w:r>
      <w:r>
        <w:rPr>
          <w:rFonts w:hint="default" w:ascii="Times New Roman" w:hAnsi="Times New Roman" w:cs="Times New Roman"/>
          <w:i/>
          <w:iCs/>
          <w:lang w:val="de-DE"/>
        </w:rPr>
        <w:t>,</w:t>
      </w:r>
      <w:r>
        <w:rPr>
          <w:rFonts w:hint="default" w:ascii="Times New Roman" w:hAnsi="Times New Roman" w:cs="Times New Roman"/>
          <w:i/>
          <w:iCs/>
        </w:rPr>
        <w:t xml:space="preserve"> Guha, Samapti</w:t>
      </w:r>
      <w:r>
        <w:rPr>
          <w:rFonts w:hint="default" w:ascii="Times New Roman" w:hAnsi="Times New Roman" w:cs="Times New Roman"/>
          <w:i/>
          <w:iCs/>
          <w:lang w:val="de-DE"/>
        </w:rPr>
        <w:t>,</w:t>
      </w:r>
      <w:r>
        <w:rPr>
          <w:rFonts w:hint="default" w:ascii="Times New Roman" w:hAnsi="Times New Roman" w:cs="Times New Roman"/>
          <w:i/>
          <w:iCs/>
        </w:rPr>
        <w:t xml:space="preserve"> Lentz, Frank</w:t>
      </w:r>
      <w:r>
        <w:rPr>
          <w:rFonts w:hint="default" w:ascii="Times New Roman" w:hAnsi="Times New Roman" w:cs="Times New Roman"/>
          <w:lang w:val="de-DE"/>
        </w:rPr>
        <w:t xml:space="preserve"> (</w:t>
      </w:r>
      <w:r>
        <w:rPr>
          <w:rFonts w:hint="default" w:ascii="Times New Roman" w:hAnsi="Times New Roman" w:cs="Times New Roman"/>
        </w:rPr>
        <w:t>Microfinance Practices</w:t>
      </w:r>
      <w:r>
        <w:rPr>
          <w:rFonts w:hint="default" w:ascii="Times New Roman" w:hAnsi="Times New Roman" w:cs="Times New Roman"/>
          <w:lang w:val="de-DE"/>
        </w:rPr>
        <w:t xml:space="preserve">, </w:t>
      </w:r>
      <w:r>
        <w:rPr>
          <w:rFonts w:hint="default" w:ascii="Times New Roman" w:hAnsi="Times New Roman" w:cs="Times New Roman"/>
        </w:rPr>
        <w:t>2021</w:t>
      </w:r>
      <w:r>
        <w:rPr>
          <w:rFonts w:hint="default" w:ascii="Times New Roman" w:hAnsi="Times New Roman" w:cs="Times New Roman"/>
          <w:lang w:val="de-DE"/>
        </w:rPr>
        <w:t xml:space="preserve">): </w:t>
      </w:r>
      <w:r>
        <w:rPr>
          <w:rFonts w:hint="default" w:ascii="Times New Roman" w:hAnsi="Times New Roman" w:cs="Times New Roman"/>
        </w:rPr>
        <w:t>Knowledge in Microsocial Milieus: the Case of Microfinance Practices Among Women in India</w:t>
      </w:r>
      <w:r>
        <w:rPr>
          <w:rFonts w:hint="default" w:ascii="Times New Roman" w:hAnsi="Times New Roman" w:cs="Times New Roman"/>
          <w:lang w:val="de-DE"/>
        </w:rPr>
        <w:t>, in:</w:t>
      </w:r>
      <w:r>
        <w:rPr>
          <w:rFonts w:hint="default" w:ascii="Times New Roman" w:hAnsi="Times New Roman" w:cs="Times New Roman"/>
        </w:rPr>
        <w:t xml:space="preserve"> Journal of the Knowledge Economy</w:t>
      </w:r>
      <w:r>
        <w:rPr>
          <w:rFonts w:hint="default" w:ascii="Times New Roman" w:hAnsi="Times New Roman" w:cs="Times New Roman"/>
          <w:lang w:val="de-DE"/>
        </w:rPr>
        <w:t xml:space="preserve">, </w:t>
      </w:r>
      <w:r>
        <w:rPr>
          <w:rFonts w:hint="default" w:ascii="Times New Roman" w:hAnsi="Times New Roman" w:cs="Times New Roman"/>
        </w:rPr>
        <w:t>12</w:t>
      </w:r>
      <w:r>
        <w:rPr>
          <w:rFonts w:hint="default" w:ascii="Times New Roman" w:hAnsi="Times New Roman" w:cs="Times New Roman"/>
          <w:lang w:val="de-DE"/>
        </w:rPr>
        <w:t xml:space="preserve"> (</w:t>
      </w:r>
      <w:r>
        <w:rPr>
          <w:rFonts w:hint="default" w:ascii="Times New Roman" w:hAnsi="Times New Roman" w:cs="Times New Roman"/>
        </w:rPr>
        <w:t>2021</w:t>
      </w:r>
      <w:r>
        <w:rPr>
          <w:rFonts w:hint="default" w:ascii="Times New Roman" w:hAnsi="Times New Roman" w:cs="Times New Roman"/>
          <w:lang w:val="de-DE"/>
        </w:rPr>
        <w:t>), Nr. 1, S.</w:t>
      </w:r>
      <w:r>
        <w:rPr>
          <w:rFonts w:hint="default" w:ascii="Times New Roman" w:hAnsi="Times New Roman" w:cs="Times New Roman"/>
        </w:rPr>
        <w:t xml:space="preserve"> 146</w:t>
      </w:r>
      <w:r>
        <w:rPr>
          <w:rFonts w:hint="default" w:ascii="Times New Roman" w:hAnsi="Times New Roman" w:cs="Times New Roman"/>
          <w:lang w:val="de-DE"/>
        </w:rPr>
        <w:t>-</w:t>
      </w:r>
      <w:r>
        <w:rPr>
          <w:rFonts w:hint="default" w:ascii="Times New Roman" w:hAnsi="Times New Roman" w:cs="Times New Roman"/>
        </w:rPr>
        <w:t>165</w:t>
      </w:r>
    </w:p>
    <w:p w14:paraId="170DCB8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Ault, Joshua K</w:t>
      </w:r>
      <w:r>
        <w:rPr>
          <w:rFonts w:hint="default" w:ascii="Times New Roman" w:hAnsi="Times New Roman" w:cs="Times New Roman"/>
          <w:i/>
          <w:iCs/>
          <w:lang w:val="de-DE"/>
        </w:rPr>
        <w:t>.</w:t>
      </w:r>
      <w:r>
        <w:rPr>
          <w:rFonts w:hint="default" w:ascii="Times New Roman" w:hAnsi="Times New Roman" w:cs="Times New Roman"/>
          <w:lang w:val="de-DE"/>
        </w:rPr>
        <w:t xml:space="preserve"> (</w:t>
      </w:r>
      <w:r>
        <w:rPr>
          <w:rFonts w:hint="default" w:ascii="Times New Roman" w:hAnsi="Times New Roman" w:cs="Times New Roman"/>
        </w:rPr>
        <w:t>Commercial microfinance</w:t>
      </w:r>
      <w:r>
        <w:rPr>
          <w:rFonts w:hint="default" w:ascii="Times New Roman" w:hAnsi="Times New Roman" w:cs="Times New Roman"/>
          <w:lang w:val="de-DE"/>
        </w:rPr>
        <w:t>,</w:t>
      </w:r>
      <w:r>
        <w:rPr>
          <w:rFonts w:hint="default" w:ascii="Times New Roman" w:hAnsi="Times New Roman" w:cs="Times New Roman"/>
        </w:rPr>
        <w:t xml:space="preserve"> 2016</w:t>
      </w:r>
      <w:r>
        <w:rPr>
          <w:rFonts w:hint="default" w:ascii="Times New Roman" w:hAnsi="Times New Roman" w:cs="Times New Roman"/>
          <w:lang w:val="de-DE"/>
        </w:rPr>
        <w:t>):</w:t>
      </w:r>
      <w:r>
        <w:rPr>
          <w:rFonts w:hint="default" w:ascii="Times New Roman" w:hAnsi="Times New Roman" w:cs="Times New Roman"/>
        </w:rPr>
        <w:t xml:space="preserve"> An institutional perspective on the social outcome of entrepreneurship: Commercial microfinance and inclusive markets</w:t>
      </w:r>
      <w:r>
        <w:rPr>
          <w:rFonts w:hint="default" w:ascii="Times New Roman" w:hAnsi="Times New Roman" w:cs="Times New Roman"/>
          <w:lang w:val="de-DE"/>
        </w:rPr>
        <w:t xml:space="preserve">, in: </w:t>
      </w:r>
      <w:r>
        <w:rPr>
          <w:rFonts w:hint="default" w:ascii="Times New Roman" w:hAnsi="Times New Roman" w:cs="Times New Roman"/>
        </w:rPr>
        <w:t>Journal of International Business Studies</w:t>
      </w:r>
      <w:r>
        <w:rPr>
          <w:rFonts w:hint="default" w:ascii="Times New Roman" w:hAnsi="Times New Roman" w:cs="Times New Roman"/>
          <w:lang w:val="de-DE"/>
        </w:rPr>
        <w:t xml:space="preserve">, </w:t>
      </w:r>
      <w:r>
        <w:rPr>
          <w:rFonts w:hint="default" w:ascii="Times New Roman" w:hAnsi="Times New Roman" w:cs="Times New Roman"/>
        </w:rPr>
        <w:t>47</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 Nr.</w:t>
      </w:r>
      <w:r>
        <w:rPr>
          <w:rFonts w:hint="default" w:ascii="Times New Roman" w:hAnsi="Times New Roman" w:cs="Times New Roman"/>
        </w:rPr>
        <w:t xml:space="preserve"> 8</w:t>
      </w:r>
      <w:r>
        <w:rPr>
          <w:rFonts w:hint="default" w:ascii="Times New Roman" w:hAnsi="Times New Roman" w:cs="Times New Roman"/>
          <w:lang w:val="de-DE"/>
        </w:rPr>
        <w:t>, S.</w:t>
      </w:r>
      <w:r>
        <w:rPr>
          <w:rFonts w:hint="default" w:ascii="Times New Roman" w:hAnsi="Times New Roman" w:cs="Times New Roman"/>
        </w:rPr>
        <w:t xml:space="preserve"> 951</w:t>
      </w:r>
      <w:r>
        <w:rPr>
          <w:rFonts w:hint="default" w:ascii="Times New Roman" w:hAnsi="Times New Roman" w:cs="Times New Roman"/>
          <w:lang w:val="de-DE"/>
        </w:rPr>
        <w:t>-</w:t>
      </w:r>
      <w:r>
        <w:rPr>
          <w:rFonts w:hint="default" w:ascii="Times New Roman" w:hAnsi="Times New Roman" w:cs="Times New Roman"/>
        </w:rPr>
        <w:t>967</w:t>
      </w:r>
    </w:p>
    <w:p w14:paraId="26D0D64C">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Beisland, Leif Atle</w:t>
      </w:r>
      <w:r>
        <w:rPr>
          <w:rFonts w:hint="default" w:ascii="Times New Roman" w:hAnsi="Times New Roman" w:cs="Times New Roman"/>
          <w:i/>
          <w:iCs/>
          <w:lang w:val="de-DE"/>
        </w:rPr>
        <w:t>,</w:t>
      </w:r>
      <w:r>
        <w:rPr>
          <w:rFonts w:hint="default" w:ascii="Times New Roman" w:hAnsi="Times New Roman" w:cs="Times New Roman"/>
          <w:i/>
          <w:iCs/>
        </w:rPr>
        <w:t xml:space="preserve"> Djan, Kwame Ohene</w:t>
      </w:r>
      <w:r>
        <w:rPr>
          <w:rFonts w:hint="default" w:ascii="Times New Roman" w:hAnsi="Times New Roman" w:cs="Times New Roman"/>
          <w:i/>
          <w:iCs/>
          <w:lang w:val="de-DE"/>
        </w:rPr>
        <w:t>,</w:t>
      </w:r>
      <w:r>
        <w:rPr>
          <w:rFonts w:hint="default" w:ascii="Times New Roman" w:hAnsi="Times New Roman" w:cs="Times New Roman"/>
          <w:i/>
          <w:iCs/>
        </w:rPr>
        <w:t xml:space="preserve"> Mersland, Roy</w:t>
      </w:r>
      <w:r>
        <w:rPr>
          <w:rFonts w:hint="default" w:ascii="Times New Roman" w:hAnsi="Times New Roman" w:cs="Times New Roman"/>
          <w:i/>
          <w:iCs/>
          <w:lang w:val="de-DE"/>
        </w:rPr>
        <w:t>,</w:t>
      </w:r>
      <w:r>
        <w:rPr>
          <w:rFonts w:hint="default" w:ascii="Times New Roman" w:hAnsi="Times New Roman" w:cs="Times New Roman"/>
          <w:i/>
          <w:iCs/>
        </w:rPr>
        <w:t xml:space="preserve"> Randøy, Trond</w:t>
      </w:r>
      <w:r>
        <w:rPr>
          <w:rFonts w:hint="default" w:ascii="Times New Roman" w:hAnsi="Times New Roman" w:cs="Times New Roman"/>
          <w:lang w:val="de-DE"/>
        </w:rPr>
        <w:t xml:space="preserve"> (</w:t>
      </w:r>
      <w:r>
        <w:rPr>
          <w:rFonts w:hint="default" w:ascii="Times New Roman" w:hAnsi="Times New Roman" w:cs="Times New Roman"/>
        </w:rPr>
        <w:t>Microfinance Institution</w:t>
      </w:r>
      <w:r>
        <w:rPr>
          <w:rFonts w:hint="default" w:ascii="Times New Roman" w:hAnsi="Times New Roman" w:cs="Times New Roman"/>
          <w:lang w:val="de-DE"/>
        </w:rPr>
        <w:t xml:space="preserve">s, </w:t>
      </w:r>
      <w:r>
        <w:rPr>
          <w:rFonts w:hint="default" w:ascii="Times New Roman" w:hAnsi="Times New Roman" w:cs="Times New Roman"/>
        </w:rPr>
        <w:t>2021</w:t>
      </w:r>
      <w:r>
        <w:rPr>
          <w:rFonts w:hint="default" w:ascii="Times New Roman" w:hAnsi="Times New Roman" w:cs="Times New Roman"/>
          <w:lang w:val="de-DE"/>
        </w:rPr>
        <w:t>):</w:t>
      </w:r>
      <w:r>
        <w:rPr>
          <w:rFonts w:hint="default" w:ascii="Times New Roman" w:hAnsi="Times New Roman" w:cs="Times New Roman"/>
        </w:rPr>
        <w:t xml:space="preserve"> Measuring Social Performance in Social Enterprises: A Global Study of Microfinance Institutions</w:t>
      </w:r>
      <w:r>
        <w:rPr>
          <w:rFonts w:hint="default" w:ascii="Times New Roman" w:hAnsi="Times New Roman" w:cs="Times New Roman"/>
          <w:lang w:val="de-DE"/>
        </w:rPr>
        <w:t>, in:</w:t>
      </w:r>
      <w:r>
        <w:rPr>
          <w:rFonts w:hint="default" w:ascii="Times New Roman" w:hAnsi="Times New Roman" w:cs="Times New Roman"/>
        </w:rPr>
        <w:t xml:space="preserve"> Journal of Business Ethics</w:t>
      </w:r>
      <w:r>
        <w:rPr>
          <w:rFonts w:hint="default" w:ascii="Times New Roman" w:hAnsi="Times New Roman" w:cs="Times New Roman"/>
          <w:lang w:val="de-DE"/>
        </w:rPr>
        <w:t xml:space="preserve">, </w:t>
      </w:r>
      <w:r>
        <w:rPr>
          <w:rFonts w:hint="default" w:ascii="Times New Roman" w:hAnsi="Times New Roman" w:cs="Times New Roman"/>
        </w:rPr>
        <w:t>171</w:t>
      </w:r>
      <w:r>
        <w:rPr>
          <w:rFonts w:hint="default" w:ascii="Times New Roman" w:hAnsi="Times New Roman" w:cs="Times New Roman"/>
          <w:lang w:val="de-DE"/>
        </w:rPr>
        <w:t xml:space="preserve"> (</w:t>
      </w:r>
      <w:r>
        <w:rPr>
          <w:rFonts w:hint="default" w:ascii="Times New Roman" w:hAnsi="Times New Roman" w:cs="Times New Roman"/>
        </w:rPr>
        <w:t>2021</w:t>
      </w:r>
      <w:r>
        <w:rPr>
          <w:rFonts w:hint="default" w:ascii="Times New Roman" w:hAnsi="Times New Roman" w:cs="Times New Roman"/>
          <w:lang w:val="de-DE"/>
        </w:rPr>
        <w:t>), Nr.</w:t>
      </w:r>
      <w:r>
        <w:rPr>
          <w:rFonts w:hint="default" w:ascii="Times New Roman" w:hAnsi="Times New Roman" w:cs="Times New Roman"/>
        </w:rPr>
        <w:t xml:space="preserve"> 1</w:t>
      </w:r>
      <w:r>
        <w:rPr>
          <w:rFonts w:hint="default" w:ascii="Times New Roman" w:hAnsi="Times New Roman" w:cs="Times New Roman"/>
          <w:lang w:val="de-DE"/>
        </w:rPr>
        <w:t>, S.</w:t>
      </w:r>
      <w:r>
        <w:rPr>
          <w:rFonts w:hint="default" w:ascii="Times New Roman" w:hAnsi="Times New Roman" w:cs="Times New Roman"/>
        </w:rPr>
        <w:t xml:space="preserve"> 51</w:t>
      </w:r>
      <w:r>
        <w:rPr>
          <w:rFonts w:hint="default" w:ascii="Times New Roman" w:hAnsi="Times New Roman" w:cs="Times New Roman"/>
          <w:lang w:val="de-DE"/>
        </w:rPr>
        <w:t>-</w:t>
      </w:r>
      <w:r>
        <w:rPr>
          <w:rFonts w:hint="default" w:ascii="Times New Roman" w:hAnsi="Times New Roman" w:cs="Times New Roman"/>
        </w:rPr>
        <w:t>71</w:t>
      </w:r>
    </w:p>
    <w:p w14:paraId="7E45C1D8">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Chatterjee, Aniruddha</w:t>
      </w:r>
      <w:r>
        <w:rPr>
          <w:rFonts w:hint="default" w:ascii="Times New Roman" w:hAnsi="Times New Roman" w:cs="Times New Roman"/>
          <w:i/>
          <w:iCs/>
          <w:lang w:val="de-DE"/>
        </w:rPr>
        <w:t>,</w:t>
      </w:r>
      <w:r>
        <w:rPr>
          <w:rFonts w:hint="default" w:ascii="Times New Roman" w:hAnsi="Times New Roman" w:cs="Times New Roman"/>
          <w:i/>
          <w:iCs/>
        </w:rPr>
        <w:t xml:space="preserve"> Pani, Saroj Kumar</w:t>
      </w:r>
      <w:r>
        <w:rPr>
          <w:rFonts w:hint="default" w:ascii="Times New Roman" w:hAnsi="Times New Roman" w:cs="Times New Roman"/>
          <w:lang w:val="de-DE"/>
        </w:rPr>
        <w:t xml:space="preserve"> (</w:t>
      </w:r>
      <w:r>
        <w:rPr>
          <w:rFonts w:hint="default" w:ascii="Times New Roman" w:hAnsi="Times New Roman" w:cs="Times New Roman"/>
        </w:rPr>
        <w:t>Lessons</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xml:space="preserve">): </w:t>
      </w:r>
      <w:r>
        <w:rPr>
          <w:rFonts w:hint="default" w:ascii="Times New Roman" w:hAnsi="Times New Roman" w:cs="Times New Roman"/>
        </w:rPr>
        <w:t>Doing More Harm Than Good? Lessons from Failures at the Base of the Pyramid</w:t>
      </w:r>
      <w:r>
        <w:rPr>
          <w:rFonts w:hint="default" w:ascii="Times New Roman" w:hAnsi="Times New Roman" w:cs="Times New Roman"/>
          <w:lang w:val="de-DE"/>
        </w:rPr>
        <w:t>, in:</w:t>
      </w:r>
      <w:r>
        <w:rPr>
          <w:rFonts w:hint="default" w:ascii="Times New Roman" w:hAnsi="Times New Roman" w:cs="Times New Roman"/>
        </w:rPr>
        <w:t xml:space="preserve"> International Journal of Global Business and Competitiveness</w:t>
      </w:r>
      <w:r>
        <w:rPr>
          <w:rFonts w:hint="default" w:ascii="Times New Roman" w:hAnsi="Times New Roman" w:cs="Times New Roman"/>
          <w:lang w:val="de-DE"/>
        </w:rPr>
        <w:t xml:space="preserve">, </w:t>
      </w:r>
      <w:r>
        <w:rPr>
          <w:rFonts w:hint="default" w:ascii="Times New Roman" w:hAnsi="Times New Roman" w:cs="Times New Roman"/>
        </w:rPr>
        <w:t>19</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xml:space="preserve">), Nr. 1, S. </w:t>
      </w:r>
      <w:r>
        <w:rPr>
          <w:rFonts w:hint="default" w:ascii="Times New Roman" w:hAnsi="Times New Roman" w:cs="Times New Roman"/>
        </w:rPr>
        <w:t>64</w:t>
      </w:r>
      <w:r>
        <w:rPr>
          <w:rFonts w:hint="default" w:ascii="Times New Roman" w:hAnsi="Times New Roman" w:cs="Times New Roman"/>
          <w:lang w:val="de-DE"/>
        </w:rPr>
        <w:t>-</w:t>
      </w:r>
      <w:r>
        <w:rPr>
          <w:rFonts w:hint="default" w:ascii="Times New Roman" w:hAnsi="Times New Roman" w:cs="Times New Roman"/>
        </w:rPr>
        <w:t>70</w:t>
      </w:r>
    </w:p>
    <w:p w14:paraId="620DAD96">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Del Giudice, Alfonso</w:t>
      </w:r>
      <w:r>
        <w:rPr>
          <w:rFonts w:hint="default" w:ascii="Times New Roman" w:hAnsi="Times New Roman" w:cs="Times New Roman"/>
          <w:i/>
          <w:iCs/>
          <w:lang w:val="de-DE"/>
        </w:rPr>
        <w:t>,</w:t>
      </w:r>
      <w:r>
        <w:rPr>
          <w:rFonts w:hint="default" w:ascii="Times New Roman" w:hAnsi="Times New Roman" w:cs="Times New Roman"/>
          <w:i/>
          <w:iCs/>
        </w:rPr>
        <w:t xml:space="preserve"> Foglia, Matteo</w:t>
      </w:r>
      <w:r>
        <w:rPr>
          <w:rFonts w:hint="default" w:ascii="Times New Roman" w:hAnsi="Times New Roman" w:cs="Times New Roman"/>
          <w:i/>
          <w:iCs/>
          <w:lang w:val="de-DE"/>
        </w:rPr>
        <w:t>,</w:t>
      </w:r>
      <w:r>
        <w:rPr>
          <w:rFonts w:hint="default" w:ascii="Times New Roman" w:hAnsi="Times New Roman" w:cs="Times New Roman"/>
          <w:i/>
          <w:iCs/>
        </w:rPr>
        <w:t xml:space="preserve"> Gianfrancesco, Igor</w:t>
      </w:r>
      <w:r>
        <w:rPr>
          <w:rFonts w:hint="default" w:ascii="Times New Roman" w:hAnsi="Times New Roman" w:cs="Times New Roman"/>
          <w:lang w:val="de-DE"/>
        </w:rPr>
        <w:t xml:space="preserve"> (</w:t>
      </w:r>
      <w:r>
        <w:rPr>
          <w:rFonts w:hint="default" w:ascii="Times New Roman" w:hAnsi="Times New Roman" w:cs="Times New Roman"/>
        </w:rPr>
        <w:t>Impact Bonds</w:t>
      </w:r>
      <w:r>
        <w:rPr>
          <w:rFonts w:hint="default" w:ascii="Times New Roman" w:hAnsi="Times New Roman" w:cs="Times New Roman"/>
          <w:lang w:val="de-DE"/>
        </w:rPr>
        <w:t xml:space="preserve">, 2025): </w:t>
      </w:r>
      <w:r>
        <w:rPr>
          <w:rFonts w:hint="default" w:ascii="Times New Roman" w:hAnsi="Times New Roman" w:cs="Times New Roman"/>
        </w:rPr>
        <w:t>Investor networks and social innovation: A stakeholder network analysis of Social Impact Bonds</w:t>
      </w:r>
      <w:r>
        <w:rPr>
          <w:rFonts w:hint="default" w:ascii="Times New Roman" w:hAnsi="Times New Roman" w:cs="Times New Roman"/>
          <w:lang w:val="de-DE"/>
        </w:rPr>
        <w:t>, in:</w:t>
      </w:r>
      <w:r>
        <w:rPr>
          <w:rFonts w:hint="default" w:ascii="Times New Roman" w:hAnsi="Times New Roman" w:cs="Times New Roman"/>
        </w:rPr>
        <w:t xml:space="preserve"> International Review of Economics &amp; Finance</w:t>
      </w:r>
      <w:r>
        <w:rPr>
          <w:rFonts w:hint="default" w:ascii="Times New Roman" w:hAnsi="Times New Roman" w:cs="Times New Roman"/>
          <w:lang w:val="de-DE"/>
        </w:rPr>
        <w:t xml:space="preserve">, </w:t>
      </w:r>
      <w:r>
        <w:rPr>
          <w:rFonts w:hint="default" w:ascii="Times New Roman" w:hAnsi="Times New Roman" w:cs="Times New Roman"/>
        </w:rPr>
        <w:t>99</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o.H., S. 1-16</w:t>
      </w:r>
    </w:p>
    <w:p w14:paraId="1A84B7E4">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lang w:val="de-DE"/>
        </w:rPr>
      </w:pPr>
      <w:r>
        <w:rPr>
          <w:rFonts w:hint="default" w:ascii="Times New Roman" w:hAnsi="Times New Roman" w:cs="Times New Roman"/>
          <w:i/>
          <w:iCs/>
        </w:rPr>
        <w:t>Dunbar, Kwamie</w:t>
      </w:r>
      <w:r>
        <w:rPr>
          <w:rFonts w:hint="default" w:ascii="Times New Roman" w:hAnsi="Times New Roman" w:cs="Times New Roman"/>
          <w:i/>
          <w:iCs/>
          <w:lang w:val="de-DE"/>
        </w:rPr>
        <w:t>,</w:t>
      </w:r>
      <w:r>
        <w:rPr>
          <w:rFonts w:hint="default" w:ascii="Times New Roman" w:hAnsi="Times New Roman" w:cs="Times New Roman"/>
          <w:i/>
          <w:iCs/>
        </w:rPr>
        <w:t xml:space="preserve"> Sarkis, Joseph</w:t>
      </w:r>
      <w:r>
        <w:rPr>
          <w:rFonts w:hint="default" w:ascii="Times New Roman" w:hAnsi="Times New Roman" w:cs="Times New Roman"/>
          <w:i/>
          <w:iCs/>
          <w:lang w:val="de-DE"/>
        </w:rPr>
        <w:t>,</w:t>
      </w:r>
      <w:r>
        <w:rPr>
          <w:rFonts w:hint="default" w:ascii="Times New Roman" w:hAnsi="Times New Roman" w:cs="Times New Roman"/>
          <w:i/>
          <w:iCs/>
        </w:rPr>
        <w:t xml:space="preserve"> Treku, Daniel N.</w:t>
      </w:r>
      <w:r>
        <w:rPr>
          <w:rFonts w:hint="default" w:ascii="Times New Roman" w:hAnsi="Times New Roman" w:cs="Times New Roman"/>
          <w:i/>
          <w:iCs/>
          <w:lang w:val="de-DE"/>
        </w:rPr>
        <w:t xml:space="preserve"> </w:t>
      </w:r>
      <w:r>
        <w:rPr>
          <w:rFonts w:hint="default" w:ascii="Times New Roman" w:hAnsi="Times New Roman" w:cs="Times New Roman"/>
          <w:lang w:val="de-DE"/>
        </w:rPr>
        <w:t>(</w:t>
      </w:r>
      <w:r>
        <w:rPr>
          <w:rFonts w:hint="default" w:ascii="Times New Roman" w:hAnsi="Times New Roman" w:cs="Times New Roman"/>
        </w:rPr>
        <w:t>FinTech</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xml:space="preserve">): </w:t>
      </w:r>
      <w:r>
        <w:rPr>
          <w:rFonts w:hint="default" w:ascii="Times New Roman" w:hAnsi="Times New Roman" w:cs="Times New Roman"/>
        </w:rPr>
        <w:t>FinTech for environmental sustainability: Promises and pitfalls</w:t>
      </w:r>
      <w:r>
        <w:rPr>
          <w:rFonts w:hint="default" w:ascii="Times New Roman" w:hAnsi="Times New Roman" w:cs="Times New Roman"/>
          <w:lang w:val="de-DE"/>
        </w:rPr>
        <w:t>, in:</w:t>
      </w:r>
      <w:r>
        <w:rPr>
          <w:rFonts w:hint="default" w:ascii="Times New Roman" w:hAnsi="Times New Roman" w:cs="Times New Roman"/>
        </w:rPr>
        <w:t xml:space="preserve"> One Earth</w:t>
      </w:r>
      <w:r>
        <w:rPr>
          <w:rFonts w:hint="default" w:ascii="Times New Roman" w:hAnsi="Times New Roman" w:cs="Times New Roman"/>
          <w:lang w:val="de-DE"/>
        </w:rPr>
        <w:t>,</w:t>
      </w:r>
      <w:r>
        <w:rPr>
          <w:rFonts w:hint="default" w:ascii="Times New Roman" w:hAnsi="Times New Roman" w:cs="Times New Roman"/>
        </w:rPr>
        <w:t xml:space="preserve"> 7</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Nr.</w:t>
      </w:r>
      <w:r>
        <w:rPr>
          <w:rFonts w:hint="default" w:ascii="Times New Roman" w:hAnsi="Times New Roman" w:cs="Times New Roman"/>
        </w:rPr>
        <w:t xml:space="preserve"> 1</w:t>
      </w:r>
      <w:r>
        <w:rPr>
          <w:rFonts w:hint="default" w:ascii="Times New Roman" w:hAnsi="Times New Roman" w:cs="Times New Roman"/>
          <w:lang w:val="de-DE"/>
        </w:rPr>
        <w:t>, S.</w:t>
      </w:r>
      <w:r>
        <w:rPr>
          <w:rFonts w:hint="default" w:ascii="Times New Roman" w:hAnsi="Times New Roman" w:cs="Times New Roman"/>
        </w:rPr>
        <w:t xml:space="preserve"> 23</w:t>
      </w:r>
      <w:r>
        <w:rPr>
          <w:rFonts w:hint="default" w:ascii="Times New Roman" w:hAnsi="Times New Roman" w:cs="Times New Roman"/>
          <w:lang w:val="de-DE"/>
        </w:rPr>
        <w:t>-</w:t>
      </w:r>
      <w:r>
        <w:rPr>
          <w:rFonts w:hint="default" w:ascii="Times New Roman" w:hAnsi="Times New Roman" w:cs="Times New Roman"/>
        </w:rPr>
        <w:t>30</w:t>
      </w:r>
    </w:p>
    <w:p w14:paraId="31CF326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Hasan, Iram</w:t>
      </w:r>
      <w:r>
        <w:rPr>
          <w:rFonts w:hint="default" w:ascii="Times New Roman" w:hAnsi="Times New Roman" w:cs="Times New Roman"/>
          <w:i/>
          <w:iCs/>
          <w:lang w:val="de-DE" w:eastAsia="zh-CN"/>
        </w:rPr>
        <w:t>,</w:t>
      </w:r>
      <w:r>
        <w:rPr>
          <w:rFonts w:hint="default" w:ascii="Times New Roman" w:hAnsi="Times New Roman" w:cs="Times New Roman"/>
          <w:i/>
          <w:iCs/>
        </w:rPr>
        <w:t xml:space="preserve"> Singh, Shveta</w:t>
      </w:r>
      <w:r>
        <w:rPr>
          <w:rFonts w:hint="default" w:ascii="Times New Roman" w:hAnsi="Times New Roman" w:cs="Times New Roman"/>
          <w:i/>
          <w:iCs/>
          <w:lang w:val="de-DE"/>
        </w:rPr>
        <w:t>,</w:t>
      </w:r>
      <w:r>
        <w:rPr>
          <w:rFonts w:hint="default" w:ascii="Times New Roman" w:hAnsi="Times New Roman" w:cs="Times New Roman"/>
          <w:i/>
          <w:iCs/>
        </w:rPr>
        <w:t xml:space="preserve"> Kashiramka, Smita</w:t>
      </w:r>
      <w:r>
        <w:rPr>
          <w:rFonts w:hint="default" w:ascii="Times New Roman" w:hAnsi="Times New Roman" w:cs="Times New Roman"/>
          <w:i/>
          <w:iCs/>
          <w:lang w:val="de-DE"/>
        </w:rPr>
        <w:t xml:space="preserve"> </w:t>
      </w:r>
      <w:r>
        <w:rPr>
          <w:rFonts w:hint="default" w:ascii="Times New Roman" w:hAnsi="Times New Roman" w:cs="Times New Roman"/>
          <w:lang w:val="de-DE"/>
        </w:rPr>
        <w:t>(</w:t>
      </w:r>
      <w:r>
        <w:rPr>
          <w:rFonts w:hint="default" w:ascii="Times New Roman" w:hAnsi="Times New Roman" w:cs="Times New Roman"/>
        </w:rPr>
        <w:t>Investing</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xml:space="preserve">): </w:t>
      </w:r>
      <w:r>
        <w:rPr>
          <w:rFonts w:hint="default" w:ascii="Times New Roman" w:hAnsi="Times New Roman" w:cs="Times New Roman"/>
        </w:rPr>
        <w:t>Does Socially Responsible Investing Outperform Conventional Investing? A Cross-Country Perspective</w:t>
      </w:r>
      <w:r>
        <w:rPr>
          <w:rFonts w:hint="default" w:ascii="Times New Roman" w:hAnsi="Times New Roman" w:cs="Times New Roman"/>
          <w:lang w:val="de-DE"/>
        </w:rPr>
        <w:t>, in:</w:t>
      </w:r>
      <w:r>
        <w:rPr>
          <w:rFonts w:hint="default" w:ascii="Times New Roman" w:hAnsi="Times New Roman" w:cs="Times New Roman"/>
        </w:rPr>
        <w:t xml:space="preserve"> Asia-Pacific Financial Markets</w:t>
      </w:r>
      <w:r>
        <w:rPr>
          <w:rFonts w:hint="default" w:ascii="Times New Roman" w:hAnsi="Times New Roman" w:cs="Times New Roman"/>
          <w:lang w:val="de-DE"/>
        </w:rPr>
        <w:t xml:space="preserve">, </w:t>
      </w:r>
      <w:r>
        <w:rPr>
          <w:rFonts w:hint="default" w:ascii="Times New Roman" w:hAnsi="Times New Roman" w:cs="Times New Roman"/>
        </w:rPr>
        <w:t>32</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xml:space="preserve">), Nr. 4, S. </w:t>
      </w:r>
      <w:r>
        <w:rPr>
          <w:rFonts w:hint="default" w:ascii="Times New Roman" w:hAnsi="Times New Roman" w:cs="Times New Roman"/>
        </w:rPr>
        <w:t>1307</w:t>
      </w:r>
      <w:r>
        <w:rPr>
          <w:rFonts w:hint="default" w:ascii="Times New Roman" w:hAnsi="Times New Roman" w:cs="Times New Roman"/>
          <w:lang w:val="de-DE"/>
        </w:rPr>
        <w:t>-</w:t>
      </w:r>
      <w:r>
        <w:rPr>
          <w:rFonts w:hint="default" w:ascii="Times New Roman" w:hAnsi="Times New Roman" w:cs="Times New Roman"/>
        </w:rPr>
        <w:t>1356</w:t>
      </w:r>
    </w:p>
    <w:p w14:paraId="1176552B">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Hockerts, Kai</w:t>
      </w:r>
      <w:r>
        <w:rPr>
          <w:rFonts w:hint="default" w:ascii="Times New Roman" w:hAnsi="Times New Roman" w:cs="Times New Roman"/>
          <w:i/>
          <w:iCs/>
          <w:lang w:val="de-DE"/>
        </w:rPr>
        <w:t>,</w:t>
      </w:r>
      <w:r>
        <w:rPr>
          <w:rFonts w:hint="default" w:ascii="Times New Roman" w:hAnsi="Times New Roman" w:cs="Times New Roman"/>
          <w:i/>
          <w:iCs/>
        </w:rPr>
        <w:t xml:space="preserve"> Hehenberger, Lisa</w:t>
      </w:r>
      <w:r>
        <w:rPr>
          <w:rFonts w:hint="default" w:ascii="Times New Roman" w:hAnsi="Times New Roman" w:cs="Times New Roman"/>
          <w:i/>
          <w:iCs/>
          <w:lang w:val="de-DE"/>
        </w:rPr>
        <w:t>,</w:t>
      </w:r>
      <w:r>
        <w:rPr>
          <w:rFonts w:hint="default" w:ascii="Times New Roman" w:hAnsi="Times New Roman" w:cs="Times New Roman"/>
          <w:i/>
          <w:iCs/>
        </w:rPr>
        <w:t xml:space="preserve"> Schaltegger, Stefan</w:t>
      </w:r>
      <w:r>
        <w:rPr>
          <w:rFonts w:hint="default" w:ascii="Times New Roman" w:hAnsi="Times New Roman" w:cs="Times New Roman"/>
          <w:i/>
          <w:iCs/>
          <w:lang w:val="de-DE"/>
        </w:rPr>
        <w:t>,</w:t>
      </w:r>
      <w:r>
        <w:rPr>
          <w:rFonts w:hint="default" w:ascii="Times New Roman" w:hAnsi="Times New Roman" w:cs="Times New Roman"/>
          <w:i/>
          <w:iCs/>
        </w:rPr>
        <w:t xml:space="preserve"> Farber, Vanina</w:t>
      </w:r>
      <w:r>
        <w:rPr>
          <w:rFonts w:hint="default" w:ascii="Times New Roman" w:hAnsi="Times New Roman" w:cs="Times New Roman"/>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w:t>
      </w:r>
      <w:r>
        <w:rPr>
          <w:rFonts w:hint="default" w:ascii="Times New Roman" w:hAnsi="Times New Roman" w:cs="Times New Roman"/>
        </w:rPr>
        <w:t xml:space="preserve"> Defining and Conceptualizing Impact Investing: Attractive Nuisance or Catalyst?</w:t>
      </w:r>
      <w:r>
        <w:rPr>
          <w:rFonts w:hint="default" w:ascii="Times New Roman" w:hAnsi="Times New Roman" w:cs="Times New Roman"/>
          <w:lang w:val="de-DE"/>
        </w:rPr>
        <w:t>, in:</w:t>
      </w:r>
      <w:r>
        <w:rPr>
          <w:rFonts w:hint="default" w:ascii="Times New Roman" w:hAnsi="Times New Roman" w:cs="Times New Roman"/>
        </w:rPr>
        <w:t xml:space="preserve"> Journal of Business Ethics</w:t>
      </w:r>
      <w:r>
        <w:rPr>
          <w:rFonts w:hint="default" w:ascii="Times New Roman" w:hAnsi="Times New Roman" w:cs="Times New Roman"/>
          <w:lang w:val="de-DE"/>
        </w:rPr>
        <w:t>,</w:t>
      </w:r>
      <w:r>
        <w:rPr>
          <w:rFonts w:hint="default" w:ascii="Times New Roman" w:hAnsi="Times New Roman" w:cs="Times New Roman"/>
        </w:rPr>
        <w:t xml:space="preserve"> 179</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Nr. 4, S.</w:t>
      </w:r>
      <w:r>
        <w:rPr>
          <w:rFonts w:hint="default" w:ascii="Times New Roman" w:hAnsi="Times New Roman" w:cs="Times New Roman"/>
        </w:rPr>
        <w:t xml:space="preserve"> 937</w:t>
      </w:r>
      <w:r>
        <w:rPr>
          <w:rFonts w:hint="default" w:ascii="Times New Roman" w:hAnsi="Times New Roman" w:cs="Times New Roman"/>
          <w:lang w:val="de-DE"/>
        </w:rPr>
        <w:t>-</w:t>
      </w:r>
      <w:r>
        <w:rPr>
          <w:rFonts w:hint="default" w:ascii="Times New Roman" w:hAnsi="Times New Roman" w:cs="Times New Roman"/>
        </w:rPr>
        <w:t>950</w:t>
      </w:r>
    </w:p>
    <w:p w14:paraId="1C6A26CE">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Khanam, Dilruba</w:t>
      </w:r>
      <w:r>
        <w:rPr>
          <w:rFonts w:hint="default" w:ascii="Times New Roman" w:hAnsi="Times New Roman" w:cs="Times New Roman"/>
          <w:i/>
          <w:iCs/>
          <w:lang w:val="de-DE"/>
        </w:rPr>
        <w:t>,</w:t>
      </w:r>
      <w:r>
        <w:rPr>
          <w:rFonts w:hint="default" w:ascii="Times New Roman" w:hAnsi="Times New Roman" w:cs="Times New Roman"/>
          <w:i/>
          <w:iCs/>
        </w:rPr>
        <w:t xml:space="preserve"> Mohiuddin, Muhammad</w:t>
      </w:r>
      <w:r>
        <w:rPr>
          <w:rFonts w:hint="default" w:ascii="Times New Roman" w:hAnsi="Times New Roman" w:cs="Times New Roman"/>
          <w:i/>
          <w:iCs/>
          <w:lang w:val="de-DE"/>
        </w:rPr>
        <w:t>,</w:t>
      </w:r>
      <w:r>
        <w:rPr>
          <w:rFonts w:hint="default" w:ascii="Times New Roman" w:hAnsi="Times New Roman" w:cs="Times New Roman"/>
          <w:i/>
          <w:iCs/>
        </w:rPr>
        <w:t xml:space="preserve"> Hoque, Asadul</w:t>
      </w:r>
      <w:r>
        <w:rPr>
          <w:rFonts w:hint="default" w:ascii="Times New Roman" w:hAnsi="Times New Roman" w:cs="Times New Roman"/>
          <w:i/>
          <w:iCs/>
          <w:lang w:val="de-DE"/>
        </w:rPr>
        <w:t>,</w:t>
      </w:r>
      <w:r>
        <w:rPr>
          <w:rFonts w:hint="default" w:ascii="Times New Roman" w:hAnsi="Times New Roman" w:cs="Times New Roman"/>
          <w:i/>
          <w:iCs/>
        </w:rPr>
        <w:t xml:space="preserve"> Weber, Olaf</w:t>
      </w:r>
      <w:r>
        <w:rPr>
          <w:rFonts w:hint="default" w:ascii="Times New Roman" w:hAnsi="Times New Roman" w:cs="Times New Roman"/>
          <w:i/>
          <w:iCs/>
          <w:lang w:val="de-DE"/>
        </w:rPr>
        <w:t xml:space="preserve"> </w:t>
      </w:r>
      <w:r>
        <w:rPr>
          <w:rFonts w:hint="default" w:ascii="Times New Roman" w:hAnsi="Times New Roman" w:cs="Times New Roman"/>
          <w:lang w:val="de-DE"/>
        </w:rPr>
        <w:t>(M</w:t>
      </w:r>
      <w:r>
        <w:rPr>
          <w:rFonts w:hint="default" w:ascii="Times New Roman" w:hAnsi="Times New Roman" w:cs="Times New Roman"/>
        </w:rPr>
        <w:t>icrofinance</w:t>
      </w:r>
      <w:r>
        <w:rPr>
          <w:rFonts w:hint="default" w:ascii="Times New Roman" w:hAnsi="Times New Roman" w:cs="Times New Roman"/>
          <w:lang w:val="de-DE"/>
        </w:rPr>
        <w:t xml:space="preserve">, </w:t>
      </w:r>
      <w:r>
        <w:rPr>
          <w:rFonts w:hint="default" w:ascii="Times New Roman" w:hAnsi="Times New Roman" w:cs="Times New Roman"/>
        </w:rPr>
        <w:t>2018</w:t>
      </w:r>
      <w:r>
        <w:rPr>
          <w:rFonts w:hint="default" w:ascii="Times New Roman" w:hAnsi="Times New Roman" w:cs="Times New Roman"/>
          <w:lang w:val="de-DE"/>
        </w:rPr>
        <w:t xml:space="preserve">): </w:t>
      </w:r>
      <w:r>
        <w:rPr>
          <w:rFonts w:hint="default" w:ascii="Times New Roman" w:hAnsi="Times New Roman" w:cs="Times New Roman"/>
        </w:rPr>
        <w:t>Financing micro-entrepreneurs for poverty alleviation: a performance analysis of microfinance services offered by BRAC, ASA, and Proshika from Bangladesh</w:t>
      </w:r>
      <w:r>
        <w:rPr>
          <w:rFonts w:hint="default" w:ascii="Times New Roman" w:hAnsi="Times New Roman" w:cs="Times New Roman"/>
          <w:lang w:val="de-DE"/>
        </w:rPr>
        <w:t>, in:</w:t>
      </w:r>
      <w:r>
        <w:rPr>
          <w:rFonts w:hint="default" w:ascii="Times New Roman" w:hAnsi="Times New Roman" w:cs="Times New Roman"/>
        </w:rPr>
        <w:t xml:space="preserve"> Journal of Global Entrepreneurship Research</w:t>
      </w:r>
      <w:r>
        <w:rPr>
          <w:rFonts w:hint="default" w:ascii="Times New Roman" w:hAnsi="Times New Roman" w:cs="Times New Roman"/>
          <w:lang w:val="de-DE"/>
        </w:rPr>
        <w:t xml:space="preserve">, </w:t>
      </w:r>
      <w:r>
        <w:rPr>
          <w:rFonts w:hint="default" w:ascii="Times New Roman" w:hAnsi="Times New Roman" w:cs="Times New Roman"/>
        </w:rPr>
        <w:t>8</w:t>
      </w:r>
      <w:r>
        <w:rPr>
          <w:rFonts w:hint="default" w:ascii="Times New Roman" w:hAnsi="Times New Roman" w:cs="Times New Roman"/>
          <w:lang w:val="de-DE"/>
        </w:rPr>
        <w:t xml:space="preserve"> (</w:t>
      </w:r>
      <w:r>
        <w:rPr>
          <w:rFonts w:hint="default" w:ascii="Times New Roman" w:hAnsi="Times New Roman" w:cs="Times New Roman"/>
        </w:rPr>
        <w:t>2018</w:t>
      </w:r>
      <w:r>
        <w:rPr>
          <w:rFonts w:hint="default" w:ascii="Times New Roman" w:hAnsi="Times New Roman" w:cs="Times New Roman"/>
          <w:lang w:val="de-DE"/>
        </w:rPr>
        <w:t xml:space="preserve">), Nr. 1: </w:t>
      </w:r>
      <w:r>
        <w:rPr>
          <w:rFonts w:hint="default" w:ascii="Times New Roman" w:hAnsi="Times New Roman" w:cs="Times New Roman"/>
        </w:rPr>
        <w:t>27</w:t>
      </w:r>
      <w:r>
        <w:rPr>
          <w:rFonts w:hint="default" w:ascii="Times New Roman" w:hAnsi="Times New Roman" w:cs="Times New Roman"/>
          <w:lang w:val="de-DE"/>
        </w:rPr>
        <w:t>, S. 1-17</w:t>
      </w:r>
    </w:p>
    <w:p w14:paraId="7485C9FE">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 xml:space="preserve">Knauer, Thorsten </w:t>
      </w:r>
      <w:r>
        <w:rPr>
          <w:rFonts w:hint="default" w:ascii="Times New Roman" w:hAnsi="Times New Roman" w:cs="Times New Roman"/>
        </w:rPr>
        <w:t>(Impact, 2021): Messung und Bewertung von Impact - Neue Kennzahlen zur ganzheitlichen Erfassung von unternehmerischem Impact, in: Controlling, 33(2021), Nr. 6, S. 1</w:t>
      </w:r>
    </w:p>
    <w:p w14:paraId="04D169D0">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Marcil, Lucy</w:t>
      </w:r>
      <w:r>
        <w:rPr>
          <w:rFonts w:hint="default" w:ascii="Times New Roman" w:hAnsi="Times New Roman" w:cs="Times New Roman"/>
          <w:i/>
          <w:iCs/>
          <w:lang w:val="de-DE"/>
        </w:rPr>
        <w:t>,</w:t>
      </w:r>
      <w:r>
        <w:rPr>
          <w:rFonts w:hint="default" w:ascii="Times New Roman" w:hAnsi="Times New Roman" w:cs="Times New Roman"/>
          <w:i/>
          <w:iCs/>
        </w:rPr>
        <w:t xml:space="preserve"> Afsana, Kaosar</w:t>
      </w:r>
      <w:r>
        <w:rPr>
          <w:rFonts w:hint="default" w:ascii="Times New Roman" w:hAnsi="Times New Roman" w:cs="Times New Roman"/>
          <w:i/>
          <w:iCs/>
          <w:lang w:val="de-DE"/>
        </w:rPr>
        <w:t>,</w:t>
      </w:r>
      <w:r>
        <w:rPr>
          <w:rFonts w:hint="default" w:ascii="Times New Roman" w:hAnsi="Times New Roman" w:cs="Times New Roman"/>
          <w:i/>
          <w:iCs/>
        </w:rPr>
        <w:t xml:space="preserve"> Perry, Henry B.</w:t>
      </w:r>
      <w:r>
        <w:rPr>
          <w:rFonts w:hint="default" w:ascii="Times New Roman" w:hAnsi="Times New Roman" w:cs="Times New Roman"/>
          <w:lang w:val="de-DE"/>
        </w:rPr>
        <w:t xml:space="preserve"> (</w:t>
      </w:r>
      <w:r>
        <w:rPr>
          <w:rFonts w:hint="default" w:ascii="Times New Roman" w:hAnsi="Times New Roman" w:cs="Times New Roman"/>
        </w:rPr>
        <w:t>Project’s Experience</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w:t>
      </w:r>
      <w:r>
        <w:rPr>
          <w:rFonts w:hint="default" w:ascii="Times New Roman" w:hAnsi="Times New Roman" w:cs="Times New Roman"/>
        </w:rPr>
        <w:t xml:space="preserve"> First Steps in Initiating an Effective Maternal, Neonatal, and Child Health Program in Urban Slums: the BRAC Manoshi Project’s Experience with Community Engagement, Social Mapping, and Census Taking in Bangladesh</w:t>
      </w:r>
      <w:r>
        <w:rPr>
          <w:rFonts w:hint="default" w:ascii="Times New Roman" w:hAnsi="Times New Roman" w:cs="Times New Roman"/>
          <w:lang w:val="de-DE"/>
        </w:rPr>
        <w:t>, in:</w:t>
      </w:r>
      <w:r>
        <w:rPr>
          <w:rFonts w:hint="default" w:ascii="Times New Roman" w:hAnsi="Times New Roman" w:cs="Times New Roman"/>
        </w:rPr>
        <w:t xml:space="preserve"> Journal of Urban Health</w:t>
      </w:r>
      <w:r>
        <w:rPr>
          <w:rFonts w:hint="default" w:ascii="Times New Roman" w:hAnsi="Times New Roman" w:cs="Times New Roman"/>
          <w:lang w:val="de-DE"/>
        </w:rPr>
        <w:t xml:space="preserve">, </w:t>
      </w:r>
      <w:r>
        <w:rPr>
          <w:rFonts w:hint="default" w:ascii="Times New Roman" w:hAnsi="Times New Roman" w:cs="Times New Roman"/>
        </w:rPr>
        <w:t>93</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 Nr.</w:t>
      </w:r>
      <w:r>
        <w:rPr>
          <w:rFonts w:hint="default" w:ascii="Times New Roman" w:hAnsi="Times New Roman" w:cs="Times New Roman"/>
        </w:rPr>
        <w:t xml:space="preserve"> 1</w:t>
      </w:r>
      <w:r>
        <w:rPr>
          <w:rFonts w:hint="default" w:ascii="Times New Roman" w:hAnsi="Times New Roman" w:cs="Times New Roman"/>
          <w:lang w:val="de-DE"/>
        </w:rPr>
        <w:t>, S.</w:t>
      </w:r>
      <w:r>
        <w:rPr>
          <w:rFonts w:hint="default" w:ascii="Times New Roman" w:hAnsi="Times New Roman" w:cs="Times New Roman"/>
        </w:rPr>
        <w:t xml:space="preserve"> 6</w:t>
      </w:r>
      <w:r>
        <w:rPr>
          <w:rFonts w:hint="default" w:ascii="Times New Roman" w:hAnsi="Times New Roman" w:cs="Times New Roman"/>
          <w:lang w:val="de-DE"/>
        </w:rPr>
        <w:t>-</w:t>
      </w:r>
      <w:r>
        <w:rPr>
          <w:rFonts w:hint="default" w:ascii="Times New Roman" w:hAnsi="Times New Roman" w:cs="Times New Roman"/>
        </w:rPr>
        <w:t>18</w:t>
      </w:r>
    </w:p>
    <w:p w14:paraId="4BC9C1A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Mia, Md Aslam, Jibir, Adamu, Sharma, Arpita, Abdu, Musa</w:t>
      </w:r>
      <w:r>
        <w:rPr>
          <w:rFonts w:hint="default" w:ascii="Times New Roman" w:hAnsi="Times New Roman" w:cs="Times New Roman"/>
        </w:rPr>
        <w:t xml:space="preserve"> (</w:t>
      </w:r>
      <w:r>
        <w:rPr>
          <w:rFonts w:hint="default" w:ascii="Times New Roman" w:hAnsi="Times New Roman" w:cs="Times New Roman"/>
          <w:lang w:val="de-DE"/>
        </w:rPr>
        <w:t>M</w:t>
      </w:r>
      <w:r>
        <w:rPr>
          <w:rFonts w:hint="default" w:ascii="Times New Roman" w:hAnsi="Times New Roman" w:cs="Times New Roman"/>
        </w:rPr>
        <w:t xml:space="preserve">icrofinance </w:t>
      </w:r>
      <w:r>
        <w:rPr>
          <w:rFonts w:hint="default" w:ascii="Times New Roman" w:hAnsi="Times New Roman" w:cs="Times New Roman"/>
          <w:lang w:val="de-DE"/>
        </w:rPr>
        <w:t>I</w:t>
      </w:r>
      <w:r>
        <w:rPr>
          <w:rFonts w:hint="default" w:ascii="Times New Roman" w:hAnsi="Times New Roman" w:cs="Times New Roman"/>
        </w:rPr>
        <w:t>nstitutions</w:t>
      </w:r>
      <w:r>
        <w:rPr>
          <w:rFonts w:hint="default" w:ascii="Times New Roman" w:hAnsi="Times New Roman" w:cs="Times New Roman"/>
          <w:lang w:val="de-DE"/>
        </w:rPr>
        <w:t>, 2023</w:t>
      </w:r>
      <w:r>
        <w:rPr>
          <w:rFonts w:hint="default" w:ascii="Times New Roman" w:hAnsi="Times New Roman" w:cs="Times New Roman"/>
        </w:rPr>
        <w:t>): Can Kuznets curve hypothesis explain the mission drift of microfinance institutions? Evidence from developing countries, in: Asia and the Global Economy, 3 (2023), Nr. 2, S. 1-17</w:t>
      </w:r>
    </w:p>
    <w:p w14:paraId="67F14E83">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Nanda, Mukti Kumar</w:t>
      </w:r>
      <w:r>
        <w:rPr>
          <w:rFonts w:hint="default" w:ascii="Times New Roman" w:hAnsi="Times New Roman" w:cs="Times New Roman"/>
        </w:rPr>
        <w:t xml:space="preserve"> (SKS Microfinance</w:t>
      </w:r>
      <w:r>
        <w:rPr>
          <w:rFonts w:hint="default" w:ascii="Times New Roman" w:hAnsi="Times New Roman" w:cs="Times New Roman"/>
          <w:lang w:val="de-DE"/>
        </w:rPr>
        <w:t xml:space="preserve">, </w:t>
      </w:r>
      <w:r>
        <w:rPr>
          <w:rFonts w:hint="default" w:ascii="Times New Roman" w:hAnsi="Times New Roman" w:cs="Times New Roman"/>
        </w:rPr>
        <w:t>2016): An Organisational Study on SKS Microfinance Limited, in: International Journal of Management and Commerce Innovations, 4 (2016), Nr. 1, S. 617-627</w:t>
      </w:r>
    </w:p>
    <w:p w14:paraId="3112762A">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Sarma, Sushanta Kumar</w:t>
      </w:r>
      <w:r>
        <w:rPr>
          <w:rFonts w:hint="default" w:ascii="Times New Roman" w:hAnsi="Times New Roman" w:cs="Times New Roman"/>
          <w:i/>
          <w:iCs/>
          <w:lang w:val="de-DE"/>
        </w:rPr>
        <w:t xml:space="preserve">, </w:t>
      </w:r>
      <w:r>
        <w:rPr>
          <w:rFonts w:hint="default" w:ascii="Times New Roman" w:hAnsi="Times New Roman" w:cs="Times New Roman"/>
          <w:i/>
          <w:iCs/>
        </w:rPr>
        <w:t>Mishra, Debiprasad</w:t>
      </w:r>
      <w:r>
        <w:rPr>
          <w:rFonts w:hint="default" w:ascii="Times New Roman" w:hAnsi="Times New Roman" w:cs="Times New Roman"/>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w:t>
      </w:r>
      <w:r>
        <w:rPr>
          <w:rFonts w:hint="default" w:ascii="Times New Roman" w:hAnsi="Times New Roman" w:cs="Times New Roman"/>
        </w:rPr>
        <w:t xml:space="preserve"> Substantive Legitimacy of Transformed Microfinance Organizations: Case Study from India</w:t>
      </w:r>
      <w:r>
        <w:rPr>
          <w:rFonts w:hint="default" w:ascii="Times New Roman" w:hAnsi="Times New Roman" w:cs="Times New Roman"/>
          <w:lang w:val="de-DE"/>
        </w:rPr>
        <w:t>, in:</w:t>
      </w:r>
      <w:r>
        <w:rPr>
          <w:rFonts w:hint="default" w:ascii="Times New Roman" w:hAnsi="Times New Roman" w:cs="Times New Roman"/>
        </w:rPr>
        <w:t xml:space="preserve"> VOLUNTAS: International Journal of Voluntary and Nonprofit Organizations</w:t>
      </w:r>
      <w:r>
        <w:rPr>
          <w:rFonts w:hint="default" w:ascii="Times New Roman" w:hAnsi="Times New Roman" w:cs="Times New Roman"/>
          <w:lang w:val="de-DE"/>
        </w:rPr>
        <w:t xml:space="preserve">, </w:t>
      </w:r>
      <w:r>
        <w:rPr>
          <w:rFonts w:hint="default" w:ascii="Times New Roman" w:hAnsi="Times New Roman" w:cs="Times New Roman"/>
        </w:rPr>
        <w:t>33</w:t>
      </w:r>
      <w:r>
        <w:rPr>
          <w:rFonts w:hint="default" w:ascii="Times New Roman" w:hAnsi="Times New Roman" w:cs="Times New Roman"/>
          <w:lang w:val="de-DE"/>
        </w:rPr>
        <w:t xml:space="preserve"> (2022), Nr.</w:t>
      </w:r>
      <w:r>
        <w:rPr>
          <w:rFonts w:hint="default" w:ascii="Times New Roman" w:hAnsi="Times New Roman" w:cs="Times New Roman"/>
        </w:rPr>
        <w:t xml:space="preserve"> 4</w:t>
      </w:r>
      <w:r>
        <w:rPr>
          <w:rFonts w:hint="default" w:ascii="Times New Roman" w:hAnsi="Times New Roman" w:cs="Times New Roman"/>
          <w:lang w:val="de-DE"/>
        </w:rPr>
        <w:t xml:space="preserve">, S. </w:t>
      </w:r>
      <w:r>
        <w:rPr>
          <w:rFonts w:hint="default" w:ascii="Times New Roman" w:hAnsi="Times New Roman" w:cs="Times New Roman"/>
        </w:rPr>
        <w:t>720</w:t>
      </w:r>
      <w:r>
        <w:rPr>
          <w:rFonts w:hint="default" w:ascii="Times New Roman" w:hAnsi="Times New Roman" w:cs="Times New Roman"/>
          <w:lang w:val="de-DE"/>
        </w:rPr>
        <w:t>-</w:t>
      </w:r>
      <w:r>
        <w:rPr>
          <w:rFonts w:hint="default" w:ascii="Times New Roman" w:hAnsi="Times New Roman" w:cs="Times New Roman"/>
        </w:rPr>
        <w:t>734</w:t>
      </w:r>
    </w:p>
    <w:p w14:paraId="765B4479">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Tchuigoua, Hubert</w:t>
      </w:r>
      <w:r>
        <w:rPr>
          <w:rFonts w:hint="default" w:ascii="Times New Roman" w:hAnsi="Times New Roman" w:cs="Times New Roman"/>
          <w:lang w:val="de-DE"/>
        </w:rPr>
        <w:t xml:space="preserve"> </w:t>
      </w:r>
      <w:r>
        <w:rPr>
          <w:rFonts w:hint="default" w:ascii="Times New Roman" w:hAnsi="Times New Roman" w:cs="Times New Roman"/>
          <w:i/>
          <w:iCs/>
        </w:rPr>
        <w:t xml:space="preserve">Tchakoute </w:t>
      </w:r>
      <w:r>
        <w:rPr>
          <w:rFonts w:hint="default" w:ascii="Times New Roman" w:hAnsi="Times New Roman" w:cs="Times New Roman"/>
          <w:lang w:val="de-DE"/>
        </w:rPr>
        <w:t>(</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2026</w:t>
      </w:r>
      <w:r>
        <w:rPr>
          <w:rFonts w:hint="default" w:ascii="Times New Roman" w:hAnsi="Times New Roman" w:cs="Times New Roman"/>
          <w:lang w:val="de-DE"/>
        </w:rPr>
        <w:t xml:space="preserve">): </w:t>
      </w:r>
      <w:r>
        <w:rPr>
          <w:rFonts w:hint="default" w:ascii="Times New Roman" w:hAnsi="Times New Roman" w:cs="Times New Roman"/>
        </w:rPr>
        <w:t>Does the legal enforcement environment constrain earnings management in social enterprises? Evidence from microfinance institutions</w:t>
      </w:r>
      <w:r>
        <w:rPr>
          <w:rFonts w:hint="default" w:ascii="Times New Roman" w:hAnsi="Times New Roman" w:cs="Times New Roman"/>
          <w:lang w:val="de-DE"/>
        </w:rPr>
        <w:t>, in:</w:t>
      </w:r>
      <w:r>
        <w:rPr>
          <w:rFonts w:hint="default" w:ascii="Times New Roman" w:hAnsi="Times New Roman" w:cs="Times New Roman"/>
        </w:rPr>
        <w:t xml:space="preserve"> The British Accounting Review</w:t>
      </w:r>
      <w:r>
        <w:rPr>
          <w:rFonts w:hint="default" w:ascii="Times New Roman" w:hAnsi="Times New Roman" w:cs="Times New Roman"/>
          <w:lang w:val="de-DE"/>
        </w:rPr>
        <w:t xml:space="preserve">, </w:t>
      </w:r>
      <w:r>
        <w:rPr>
          <w:rFonts w:hint="default" w:ascii="Times New Roman" w:hAnsi="Times New Roman" w:cs="Times New Roman"/>
        </w:rPr>
        <w:t>58</w:t>
      </w:r>
      <w:r>
        <w:rPr>
          <w:rFonts w:hint="default" w:ascii="Times New Roman" w:hAnsi="Times New Roman" w:cs="Times New Roman"/>
          <w:lang w:val="de-DE"/>
        </w:rPr>
        <w:t xml:space="preserve"> (</w:t>
      </w:r>
      <w:r>
        <w:rPr>
          <w:rFonts w:hint="default" w:ascii="Times New Roman" w:hAnsi="Times New Roman" w:cs="Times New Roman"/>
        </w:rPr>
        <w:t>2026</w:t>
      </w:r>
      <w:r>
        <w:rPr>
          <w:rFonts w:hint="default" w:ascii="Times New Roman" w:hAnsi="Times New Roman" w:cs="Times New Roman"/>
          <w:lang w:val="de-DE"/>
        </w:rPr>
        <w:t>), Nr.</w:t>
      </w:r>
      <w:r>
        <w:rPr>
          <w:rFonts w:hint="default" w:ascii="Times New Roman" w:hAnsi="Times New Roman" w:cs="Times New Roman"/>
        </w:rPr>
        <w:t xml:space="preserve"> 1</w:t>
      </w:r>
      <w:r>
        <w:rPr>
          <w:rFonts w:hint="default" w:ascii="Times New Roman" w:hAnsi="Times New Roman" w:cs="Times New Roman"/>
          <w:lang w:val="de-DE"/>
        </w:rPr>
        <w:t>, S. 1-27</w:t>
      </w:r>
    </w:p>
    <w:p w14:paraId="2E1B0AB5">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Vandor, Peter</w:t>
      </w:r>
      <w:r>
        <w:rPr>
          <w:rFonts w:hint="default" w:ascii="Times New Roman" w:hAnsi="Times New Roman" w:cs="Times New Roman"/>
          <w:i/>
          <w:iCs/>
          <w:lang w:val="de-DE"/>
        </w:rPr>
        <w:t>,</w:t>
      </w:r>
      <w:r>
        <w:rPr>
          <w:rFonts w:hint="default" w:ascii="Times New Roman" w:hAnsi="Times New Roman" w:cs="Times New Roman"/>
          <w:i/>
          <w:iCs/>
        </w:rPr>
        <w:t xml:space="preserve"> Dober, Fabian</w:t>
      </w:r>
      <w:r>
        <w:rPr>
          <w:rFonts w:hint="default" w:ascii="Times New Roman" w:hAnsi="Times New Roman" w:cs="Times New Roman"/>
          <w:i/>
          <w:iCs/>
          <w:lang w:val="de-DE"/>
        </w:rPr>
        <w:t>,</w:t>
      </w:r>
      <w:r>
        <w:rPr>
          <w:rFonts w:hint="default" w:ascii="Times New Roman" w:hAnsi="Times New Roman" w:cs="Times New Roman"/>
          <w:i/>
          <w:iCs/>
        </w:rPr>
        <w:t xml:space="preserve"> Meyer, Michael</w:t>
      </w:r>
      <w:r>
        <w:rPr>
          <w:rFonts w:hint="default" w:ascii="Times New Roman" w:hAnsi="Times New Roman" w:cs="Times New Roman"/>
          <w:i/>
          <w:iCs/>
          <w:lang w:val="de-DE"/>
        </w:rPr>
        <w:t>,</w:t>
      </w:r>
      <w:r>
        <w:rPr>
          <w:rFonts w:hint="default" w:ascii="Times New Roman" w:hAnsi="Times New Roman" w:cs="Times New Roman"/>
          <w:i/>
          <w:iCs/>
        </w:rPr>
        <w:t xml:space="preserve"> Millner, Reinhard</w:t>
      </w:r>
      <w:r>
        <w:rPr>
          <w:rFonts w:hint="default" w:ascii="Times New Roman" w:hAnsi="Times New Roman" w:cs="Times New Roman"/>
          <w:lang w:val="de-DE"/>
        </w:rPr>
        <w:t xml:space="preserve"> (I</w:t>
      </w:r>
      <w:r>
        <w:rPr>
          <w:rFonts w:hint="default" w:ascii="Times New Roman" w:hAnsi="Times New Roman" w:cs="Times New Roman"/>
        </w:rPr>
        <w:t xml:space="preserve">mpact </w:t>
      </w:r>
      <w:r>
        <w:rPr>
          <w:rFonts w:hint="default" w:ascii="Times New Roman" w:hAnsi="Times New Roman" w:cs="Times New Roman"/>
          <w:lang w:val="de-DE"/>
        </w:rPr>
        <w:t>I</w:t>
      </w:r>
      <w:r>
        <w:rPr>
          <w:rFonts w:hint="default" w:ascii="Times New Roman" w:hAnsi="Times New Roman" w:cs="Times New Roman"/>
        </w:rPr>
        <w:t>nvesting</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xml:space="preserve">): </w:t>
      </w:r>
      <w:r>
        <w:rPr>
          <w:rFonts w:hint="default" w:ascii="Times New Roman" w:hAnsi="Times New Roman" w:cs="Times New Roman"/>
        </w:rPr>
        <w:t>Evaluating impact potential in early-stage impact investing: Investment criteria and cognitive processes of investors</w:t>
      </w:r>
      <w:r>
        <w:rPr>
          <w:rFonts w:hint="default" w:ascii="Times New Roman" w:hAnsi="Times New Roman" w:cs="Times New Roman"/>
          <w:lang w:val="de-DE"/>
        </w:rPr>
        <w:t>, in:</w:t>
      </w:r>
      <w:r>
        <w:rPr>
          <w:rFonts w:hint="default" w:ascii="Times New Roman" w:hAnsi="Times New Roman" w:cs="Times New Roman"/>
        </w:rPr>
        <w:t xml:space="preserve"> Journal of Business Venturing Insights</w:t>
      </w:r>
      <w:r>
        <w:rPr>
          <w:rFonts w:hint="default" w:ascii="Times New Roman" w:hAnsi="Times New Roman" w:cs="Times New Roman"/>
          <w:lang w:val="de-DE"/>
        </w:rPr>
        <w:t>,</w:t>
      </w:r>
      <w:r>
        <w:rPr>
          <w:rFonts w:hint="default" w:ascii="Times New Roman" w:hAnsi="Times New Roman" w:cs="Times New Roman"/>
        </w:rPr>
        <w:t xml:space="preserve"> 23</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o.H.,</w:t>
      </w:r>
      <w:r>
        <w:rPr>
          <w:rFonts w:hint="default" w:ascii="Times New Roman" w:hAnsi="Times New Roman" w:cs="Times New Roman"/>
        </w:rPr>
        <w:t xml:space="preserve"> </w:t>
      </w:r>
      <w:r>
        <w:rPr>
          <w:rFonts w:hint="default" w:ascii="Times New Roman" w:hAnsi="Times New Roman" w:cs="Times New Roman"/>
          <w:lang w:val="de-DE"/>
        </w:rPr>
        <w:t>S. 1-14</w:t>
      </w:r>
    </w:p>
    <w:p w14:paraId="29B6D653">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Wondirad, Hailu Abebe</w:t>
      </w:r>
      <w:r>
        <w:rPr>
          <w:rFonts w:hint="default" w:ascii="Times New Roman" w:hAnsi="Times New Roman" w:cs="Times New Roman"/>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2020</w:t>
      </w:r>
      <w:r>
        <w:rPr>
          <w:rFonts w:hint="default" w:ascii="Times New Roman" w:hAnsi="Times New Roman" w:cs="Times New Roman"/>
          <w:lang w:val="de-DE"/>
        </w:rPr>
        <w:t>):</w:t>
      </w:r>
      <w:r>
        <w:rPr>
          <w:rFonts w:hint="default" w:ascii="Times New Roman" w:hAnsi="Times New Roman" w:cs="Times New Roman"/>
        </w:rPr>
        <w:t xml:space="preserve"> Competition and microfinance institutions’ performance: evidence from India</w:t>
      </w:r>
      <w:r>
        <w:rPr>
          <w:rFonts w:hint="default" w:ascii="Times New Roman" w:hAnsi="Times New Roman" w:cs="Times New Roman"/>
          <w:lang w:val="de-DE"/>
        </w:rPr>
        <w:t xml:space="preserve">, in: </w:t>
      </w:r>
      <w:r>
        <w:rPr>
          <w:rFonts w:hint="default" w:ascii="Times New Roman" w:hAnsi="Times New Roman" w:cs="Times New Roman"/>
        </w:rPr>
        <w:t>International Journal of Corporate Social Responsibility</w:t>
      </w:r>
      <w:r>
        <w:rPr>
          <w:rFonts w:hint="default" w:ascii="Times New Roman" w:hAnsi="Times New Roman" w:cs="Times New Roman"/>
          <w:lang w:val="de-DE"/>
        </w:rPr>
        <w:t xml:space="preserve">, </w:t>
      </w:r>
      <w:r>
        <w:rPr>
          <w:rFonts w:hint="default" w:ascii="Times New Roman" w:hAnsi="Times New Roman" w:cs="Times New Roman"/>
        </w:rPr>
        <w:t>5</w:t>
      </w:r>
      <w:r>
        <w:rPr>
          <w:rFonts w:hint="default" w:ascii="Times New Roman" w:hAnsi="Times New Roman" w:cs="Times New Roman"/>
          <w:lang w:val="de-DE"/>
        </w:rPr>
        <w:t xml:space="preserve"> (2020), Nr. </w:t>
      </w:r>
      <w:r>
        <w:rPr>
          <w:rFonts w:hint="default" w:ascii="Times New Roman" w:hAnsi="Times New Roman" w:cs="Times New Roman"/>
        </w:rPr>
        <w:t>1</w:t>
      </w:r>
      <w:r>
        <w:rPr>
          <w:rFonts w:hint="default" w:ascii="Times New Roman" w:hAnsi="Times New Roman" w:cs="Times New Roman"/>
          <w:lang w:val="de-DE"/>
        </w:rPr>
        <w:t>:</w:t>
      </w:r>
      <w:r>
        <w:rPr>
          <w:rFonts w:hint="default" w:ascii="Times New Roman" w:hAnsi="Times New Roman" w:cs="Times New Roman"/>
        </w:rPr>
        <w:t xml:space="preserve"> 6</w:t>
      </w:r>
      <w:r>
        <w:rPr>
          <w:rFonts w:hint="default" w:ascii="Times New Roman" w:hAnsi="Times New Roman" w:cs="Times New Roman"/>
          <w:lang w:val="de-DE"/>
        </w:rPr>
        <w:t>, S. 1-19</w:t>
      </w:r>
    </w:p>
    <w:p w14:paraId="343AC9C1">
      <w:pPr>
        <w:keepNext w:val="0"/>
        <w:keepLines w:val="0"/>
        <w:pageBreakBefore w:val="0"/>
        <w:widowControl w:val="0"/>
        <w:numPr>
          <w:ilvl w:val="0"/>
          <w:numId w:val="0"/>
        </w:numPr>
        <w:kinsoku/>
        <w:wordWrap/>
        <w:overflowPunct/>
        <w:topLinePunct w:val="0"/>
        <w:autoSpaceDE/>
        <w:autoSpaceDN/>
        <w:bidi w:val="0"/>
        <w:adjustRightInd/>
        <w:snapToGrid/>
        <w:spacing w:after="541" w:afterLines="150" w:line="240" w:lineRule="auto"/>
        <w:ind w:left="480" w:leftChars="0" w:hanging="480" w:hangingChars="200"/>
        <w:jc w:val="both"/>
        <w:textAlignment w:val="auto"/>
        <w:rPr>
          <w:rFonts w:hint="default" w:ascii="Times New Roman" w:hAnsi="Times New Roman" w:cs="Times New Roman"/>
        </w:rPr>
      </w:pPr>
      <w:r>
        <w:rPr>
          <w:rFonts w:hint="default" w:ascii="Times New Roman" w:hAnsi="Times New Roman" w:cs="Times New Roman"/>
          <w:i/>
          <w:iCs/>
        </w:rPr>
        <w:t>Wondirad, Hailu Abeb</w:t>
      </w:r>
      <w:r>
        <w:rPr>
          <w:rFonts w:hint="default" w:ascii="Times New Roman" w:hAnsi="Times New Roman" w:cs="Times New Roman"/>
        </w:rPr>
        <w:t>e</w:t>
      </w:r>
      <w:r>
        <w:rPr>
          <w:rFonts w:hint="default" w:ascii="Times New Roman" w:hAnsi="Times New Roman" w:cs="Times New Roman"/>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w:t>
      </w:r>
      <w:r>
        <w:rPr>
          <w:rFonts w:hint="default" w:ascii="Times New Roman" w:hAnsi="Times New Roman" w:cs="Times New Roman"/>
        </w:rPr>
        <w:t xml:space="preserve"> Interest rates in microfinance: What is a fair interest rate when we lend to the poor?</w:t>
      </w:r>
      <w:r>
        <w:rPr>
          <w:rFonts w:hint="default" w:ascii="Times New Roman" w:hAnsi="Times New Roman" w:cs="Times New Roman"/>
          <w:lang w:val="de-DE"/>
        </w:rPr>
        <w:t>, in:</w:t>
      </w:r>
      <w:r>
        <w:rPr>
          <w:rFonts w:hint="default" w:ascii="Times New Roman" w:hAnsi="Times New Roman" w:cs="Times New Roman"/>
        </w:rPr>
        <w:t xml:space="preserve"> Quality &amp; Quantity</w:t>
      </w:r>
      <w:r>
        <w:rPr>
          <w:rFonts w:hint="default" w:ascii="Times New Roman" w:hAnsi="Times New Roman" w:cs="Times New Roman"/>
          <w:lang w:val="de-DE"/>
        </w:rPr>
        <w:t xml:space="preserve">, </w:t>
      </w:r>
      <w:r>
        <w:rPr>
          <w:rFonts w:hint="default" w:ascii="Times New Roman" w:hAnsi="Times New Roman" w:cs="Times New Roman"/>
        </w:rPr>
        <w:t>56</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Nr.</w:t>
      </w:r>
      <w:r>
        <w:rPr>
          <w:rFonts w:hint="default" w:ascii="Times New Roman" w:hAnsi="Times New Roman" w:cs="Times New Roman"/>
        </w:rPr>
        <w:t xml:space="preserve"> 6</w:t>
      </w:r>
      <w:r>
        <w:rPr>
          <w:rFonts w:hint="default" w:ascii="Times New Roman" w:hAnsi="Times New Roman" w:cs="Times New Roman"/>
          <w:lang w:val="de-DE"/>
        </w:rPr>
        <w:t>, S.</w:t>
      </w:r>
      <w:r>
        <w:rPr>
          <w:rFonts w:hint="default" w:ascii="Times New Roman" w:hAnsi="Times New Roman" w:cs="Times New Roman"/>
        </w:rPr>
        <w:t xml:space="preserve"> 4537</w:t>
      </w:r>
      <w:r>
        <w:rPr>
          <w:rFonts w:hint="default" w:ascii="Times New Roman" w:hAnsi="Times New Roman" w:cs="Times New Roman"/>
          <w:lang w:val="de-DE"/>
        </w:rPr>
        <w:t>-</w:t>
      </w:r>
      <w:r>
        <w:rPr>
          <w:rFonts w:hint="default" w:ascii="Times New Roman" w:hAnsi="Times New Roman" w:cs="Times New Roman"/>
        </w:rPr>
        <w:t>4548</w:t>
      </w:r>
    </w:p>
    <w:p w14:paraId="615BF565">
      <w:pPr>
        <w:pStyle w:val="2"/>
        <w:rPr>
          <w:rFonts w:hint="default" w:ascii="Times New Roman" w:hAnsi="Times New Roman" w:cs="Times New Roman"/>
          <w:sz w:val="22"/>
        </w:rPr>
      </w:pPr>
      <w:r>
        <w:rPr>
          <w:rFonts w:hint="default" w:ascii="Times New Roman" w:hAnsi="Times New Roman" w:cs="Times New Roman"/>
          <w:sz w:val="28"/>
        </w:rPr>
        <w:br w:type="page"/>
      </w:r>
      <w:r>
        <w:rPr>
          <w:rFonts w:hint="default" w:ascii="Times New Roman" w:hAnsi="Times New Roman" w:cs="Times New Roman"/>
          <w:sz w:val="28"/>
        </w:rPr>
        <w:t>Internetquellen:</w:t>
      </w:r>
    </w:p>
    <w:p w14:paraId="27EF294A">
      <w:pPr>
        <w:pStyle w:val="2"/>
        <w:rPr>
          <w:rFonts w:hint="default" w:ascii="Times New Roman" w:hAnsi="Times New Roman" w:cs="Times New Roman"/>
        </w:rPr>
      </w:pPr>
    </w:p>
    <w:p w14:paraId="43133ECB">
      <w:pPr>
        <w:pStyle w:val="2"/>
        <w:rPr>
          <w:rFonts w:hint="default" w:ascii="Times New Roman" w:hAnsi="Times New Roman" w:cs="Times New Roman"/>
          <w:sz w:val="32"/>
        </w:rPr>
      </w:pPr>
    </w:p>
    <w:p w14:paraId="7A470D16">
      <w:pPr>
        <w:pStyle w:val="2"/>
        <w:rPr>
          <w:rFonts w:hint="default" w:ascii="Times New Roman" w:hAnsi="Times New Roman" w:cs="Times New Roman"/>
          <w:sz w:val="32"/>
        </w:rPr>
      </w:pPr>
    </w:p>
    <w:p w14:paraId="30A79CBF">
      <w:pPr>
        <w:pStyle w:val="2"/>
        <w:rPr>
          <w:rFonts w:hint="default" w:ascii="Times New Roman" w:hAnsi="Times New Roman" w:cs="Times New Roman"/>
          <w:sz w:val="32"/>
        </w:rPr>
      </w:pPr>
    </w:p>
    <w:p w14:paraId="63B73CFD">
      <w:pPr>
        <w:pStyle w:val="2"/>
        <w:rPr>
          <w:rFonts w:hint="default" w:ascii="Times New Roman" w:hAnsi="Times New Roman" w:cs="Times New Roman"/>
          <w:sz w:val="32"/>
        </w:rPr>
      </w:pPr>
    </w:p>
    <w:p w14:paraId="3C05EFAD">
      <w:pPr>
        <w:pStyle w:val="2"/>
        <w:rPr>
          <w:rFonts w:hint="default" w:ascii="Times New Roman" w:hAnsi="Times New Roman" w:cs="Times New Roman"/>
          <w:sz w:val="32"/>
        </w:rPr>
      </w:pPr>
    </w:p>
    <w:p w14:paraId="3F093CA7">
      <w:pPr>
        <w:pStyle w:val="2"/>
        <w:rPr>
          <w:rFonts w:hint="default" w:ascii="Times New Roman" w:hAnsi="Times New Roman" w:cs="Times New Roman"/>
          <w:sz w:val="32"/>
        </w:rPr>
      </w:pPr>
    </w:p>
    <w:p w14:paraId="2019D048">
      <w:pPr>
        <w:pStyle w:val="2"/>
        <w:rPr>
          <w:rFonts w:hint="default" w:ascii="Times New Roman" w:hAnsi="Times New Roman" w:cs="Times New Roman"/>
          <w:sz w:val="32"/>
        </w:rPr>
        <w:sectPr>
          <w:headerReference r:id="rId11" w:type="default"/>
          <w:pgSz w:w="11906" w:h="16838"/>
          <w:pgMar w:top="2268" w:right="1134" w:bottom="1134" w:left="2268" w:header="709" w:footer="709" w:gutter="0"/>
          <w:pgNumType w:start="1"/>
          <w:cols w:space="720" w:num="1"/>
          <w:docGrid w:linePitch="360" w:charSpace="0"/>
        </w:sectPr>
      </w:pPr>
    </w:p>
    <w:p w14:paraId="44132ACA">
      <w:pPr>
        <w:pStyle w:val="88"/>
        <w:spacing w:line="360" w:lineRule="auto"/>
        <w:jc w:val="both"/>
        <w:rPr>
          <w:rFonts w:hint="default" w:ascii="Times New Roman" w:hAnsi="Times New Roman" w:cs="Times New Roman"/>
          <w:b/>
          <w:bCs/>
          <w:u w:val="single"/>
        </w:rPr>
      </w:pPr>
      <w:r>
        <w:rPr>
          <w:rFonts w:hint="default" w:ascii="Times New Roman" w:hAnsi="Times New Roman" w:cs="Times New Roman"/>
          <w:b/>
          <w:bCs/>
          <w:u w:val="single"/>
        </w:rPr>
        <w:t xml:space="preserve">Eigenständigkeitserklärung (ausgenommen Klausuren) </w:t>
      </w:r>
    </w:p>
    <w:p w14:paraId="5E2F79CC">
      <w:pPr>
        <w:pStyle w:val="88"/>
        <w:spacing w:line="360" w:lineRule="auto"/>
        <w:jc w:val="both"/>
        <w:rPr>
          <w:rFonts w:hint="default" w:ascii="Times New Roman" w:hAnsi="Times New Roman" w:cs="Times New Roman"/>
          <w:b/>
          <w:bCs/>
          <w:u w:val="single"/>
        </w:rPr>
      </w:pPr>
    </w:p>
    <w:p w14:paraId="4DC03192">
      <w:pPr>
        <w:pStyle w:val="88"/>
        <w:spacing w:line="360" w:lineRule="auto"/>
        <w:jc w:val="both"/>
        <w:rPr>
          <w:rFonts w:hint="default" w:ascii="Times New Roman" w:hAnsi="Times New Roman" w:cs="Times New Roman"/>
        </w:rPr>
      </w:pPr>
      <w:r>
        <w:rPr>
          <w:rFonts w:hint="default" w:ascii="Times New Roman" w:hAnsi="Times New Roman" w:cs="Times New Roman"/>
        </w:rPr>
        <w:t xml:space="preserve">Hiermit versichere ich, dass ich die angemeldete Prüfungsleistung in allen Teilen ei-genständig ohne Hilfe von Dritten anfertigen und keine anderen als die in der Prüfungs-leistung angegebenen Quellen und zugelassenen Hilfsmittel verwenden werde. Sämt-liche wörtlichen und sinngemäßen Übernahmen inklusive KI-generierter Inhalte werde ich kenntlich machen. </w:t>
      </w:r>
    </w:p>
    <w:p w14:paraId="1372EFBB">
      <w:pPr>
        <w:pStyle w:val="88"/>
        <w:spacing w:line="360" w:lineRule="auto"/>
        <w:jc w:val="both"/>
        <w:rPr>
          <w:rFonts w:hint="default" w:ascii="Times New Roman" w:hAnsi="Times New Roman" w:cs="Times New Roman"/>
        </w:rPr>
      </w:pPr>
      <w:r>
        <w:rPr>
          <w:rFonts w:hint="default" w:ascii="Times New Roman" w:hAnsi="Times New Roman" w:cs="Times New Roman"/>
        </w:rPr>
        <w:t xml:space="preserve">Diese Prüfungsleistung hat zum Zeitpunkt der Abgabe weder in gleicher noch in ähn-licher Form, auch nicht auszugsweise, bereits einer Prüfungsbehörde zur Prüfung vor-gelegen; hiervon ausgenommen sind Prüfungsleistungen, für die in der Modulbeschrei-bung ausdrücklich andere Regelungen festgelegt sind. </w:t>
      </w:r>
    </w:p>
    <w:p w14:paraId="09A541EB">
      <w:pPr>
        <w:pStyle w:val="88"/>
        <w:spacing w:line="360" w:lineRule="auto"/>
        <w:jc w:val="both"/>
        <w:rPr>
          <w:rFonts w:hint="default" w:ascii="Times New Roman" w:hAnsi="Times New Roman" w:cs="Times New Roman"/>
        </w:rPr>
      </w:pPr>
      <w:r>
        <w:rPr>
          <w:rFonts w:hint="default" w:ascii="Times New Roman" w:hAnsi="Times New Roman" w:cs="Times New Roman"/>
        </w:rPr>
        <w:t xml:space="preserve">Mir ist bekannt, dass die Zuwiderhandlung gegen den Inhalt dieser Erklärung einen </w:t>
      </w:r>
    </w:p>
    <w:p w14:paraId="15FBD7FE">
      <w:pPr>
        <w:pStyle w:val="88"/>
        <w:spacing w:line="360" w:lineRule="auto"/>
        <w:jc w:val="both"/>
        <w:rPr>
          <w:rFonts w:hint="default" w:ascii="Times New Roman" w:hAnsi="Times New Roman" w:cs="Times New Roman"/>
        </w:rPr>
      </w:pPr>
      <w:r>
        <w:rPr>
          <w:rFonts w:hint="default" w:ascii="Times New Roman" w:hAnsi="Times New Roman" w:cs="Times New Roman"/>
        </w:rPr>
        <w:t xml:space="preserve">Täuschungsversuch darstellt, der das Nichtbestehen der Prüfung zur Folge hat und da-neben strafrechtlich gem. § 156 StGB verfolgt werden kann. Darüber hinaus ist mir bekannt, dass ich bei schwerwiegender Täuschung exmatrikuliert und mit einer Geld-buße bis zu 50.000 EUR nach der für mich gültigen Rahmenprüfungsordnung belegt werden kann. </w:t>
      </w:r>
    </w:p>
    <w:p w14:paraId="04EBEE0D">
      <w:pPr>
        <w:pStyle w:val="88"/>
        <w:spacing w:line="360" w:lineRule="auto"/>
        <w:jc w:val="both"/>
        <w:rPr>
          <w:rFonts w:hint="default" w:ascii="Times New Roman" w:hAnsi="Times New Roman" w:cs="Times New Roman"/>
        </w:rPr>
      </w:pPr>
      <w:r>
        <w:rPr>
          <w:rFonts w:hint="default" w:ascii="Times New Roman" w:hAnsi="Times New Roman" w:cs="Times New Roman"/>
        </w:rPr>
        <w:t xml:space="preserve">Ich erkläre mich damit einverstanden, dass diese Prüfungsleistung zwecks Plagiatsprü-fung auf die Server externer Anbieter hochgeladen werden darf. Die Plagiatsprüfung stellt keine Zurverfügungstellung für die Öffentlichkeit dar. </w:t>
      </w:r>
    </w:p>
    <w:p w14:paraId="6B6865FD">
      <w:pPr>
        <w:spacing w:line="360" w:lineRule="auto"/>
        <w:rPr>
          <w:rFonts w:hint="default" w:ascii="Times New Roman" w:hAnsi="Times New Roman" w:cs="Times New Roman"/>
        </w:rPr>
      </w:pPr>
    </w:p>
    <w:p w14:paraId="089F24E6">
      <w:pPr>
        <w:spacing w:line="360" w:lineRule="auto"/>
        <w:rPr>
          <w:rFonts w:hint="default" w:ascii="Times New Roman" w:hAnsi="Times New Roman" w:cs="Times New Roman"/>
        </w:rPr>
      </w:pPr>
    </w:p>
    <w:p w14:paraId="2EB162F4">
      <w:pPr>
        <w:pStyle w:val="2"/>
        <w:rPr>
          <w:rFonts w:hint="default" w:ascii="Times New Roman" w:hAnsi="Times New Roman" w:cs="Times New Roman"/>
        </w:rPr>
      </w:pPr>
    </w:p>
    <w:p w14:paraId="37C7C2CC">
      <w:pPr>
        <w:spacing w:line="360" w:lineRule="auto"/>
        <w:rPr>
          <w:rFonts w:hint="default" w:ascii="Times New Roman" w:hAnsi="Times New Roman" w:cs="Times New Roman"/>
        </w:rPr>
      </w:pPr>
      <w:r>
        <w:rPr>
          <w:rFonts w:hint="default" w:ascii="Times New Roman" w:hAnsi="Times New Roman" w:cs="Times New Roman"/>
        </w:rPr>
        <w:t xml:space="preserve">Ort, Datum </w:t>
      </w:r>
      <w:r>
        <w:rPr>
          <w:rFonts w:hint="default" w:ascii="Times New Roman" w:hAnsi="Times New Roman" w:cs="Times New Roman"/>
          <w:lang w:eastAsia="zh-CN"/>
        </w:rPr>
        <w:t xml:space="preserve">                                                            </w:t>
      </w:r>
      <w:r>
        <w:rPr>
          <w:rFonts w:hint="default" w:ascii="Times New Roman" w:hAnsi="Times New Roman" w:cs="Times New Roman"/>
        </w:rPr>
        <w:t xml:space="preserve">Unterschrift </w:t>
      </w:r>
    </w:p>
    <w:p w14:paraId="1953DECC">
      <w:pPr>
        <w:pStyle w:val="2"/>
        <w:rPr>
          <w:rFonts w:hint="default" w:ascii="Times New Roman" w:hAnsi="Times New Roman" w:cs="Times New Roman"/>
          <w:sz w:val="32"/>
        </w:rPr>
      </w:pPr>
    </w:p>
    <w:sectPr>
      <w:headerReference r:id="rId12" w:type="default"/>
      <w:pgSz w:w="11906" w:h="16838"/>
      <w:pgMar w:top="1701" w:right="1134" w:bottom="1134" w:left="2268" w:header="709" w:footer="709" w:gutter="0"/>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506F6">
    <w:pPr>
      <w:pStyle w:val="29"/>
      <w:jc w:val="right"/>
    </w:pPr>
  </w:p>
  <w:p w14:paraId="2AFCC54A">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FA3D7">
    <w:pPr>
      <w:pStyle w:val="29"/>
      <w:jc w:val="right"/>
    </w:pPr>
  </w:p>
  <w:p w14:paraId="0CCFE9ED">
    <w:pPr>
      <w:pStyle w:val="2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78">
    <w:p>
      <w:r>
        <w:separator/>
      </w:r>
    </w:p>
  </w:footnote>
  <w:footnote w:type="continuationSeparator" w:id="379">
    <w:p>
      <w:r>
        <w:continuationSeparator/>
      </w:r>
    </w:p>
  </w:footnote>
  <w:footnote w:id="0">
    <w:p w14:paraId="24637CE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Büchner, P</w:t>
      </w:r>
      <w:r>
        <w:rPr>
          <w:rFonts w:hint="default" w:ascii="Times New Roman" w:hAnsi="Times New Roman" w:cs="Times New Roman"/>
          <w:i/>
          <w:iCs/>
          <w:lang w:val="de-DE"/>
        </w:rPr>
        <w:t xml:space="preserve">., </w:t>
      </w:r>
      <w:r>
        <w:rPr>
          <w:rFonts w:hint="default" w:ascii="Times New Roman" w:hAnsi="Times New Roman" w:cs="Times New Roman"/>
          <w:lang w:val="de-DE"/>
        </w:rPr>
        <w:t>S</w:t>
      </w:r>
      <w:r>
        <w:rPr>
          <w:rFonts w:hint="default" w:ascii="Times New Roman" w:hAnsi="Times New Roman" w:cs="Times New Roman"/>
        </w:rPr>
        <w:t>oziale Ungleichheit</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S. 151.</w:t>
      </w:r>
    </w:p>
  </w:footnote>
  <w:footnote w:id="1">
    <w:p w14:paraId="6972B217">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Calderini, M</w:t>
      </w:r>
      <w:r>
        <w:rPr>
          <w:rFonts w:hint="default" w:ascii="Times New Roman" w:hAnsi="Times New Roman" w:cs="Times New Roman"/>
          <w:i/>
          <w:iCs/>
          <w:lang w:val="de-DE"/>
        </w:rPr>
        <w:t xml:space="preserve">. u. a., </w:t>
      </w:r>
      <w:r>
        <w:rPr>
          <w:rFonts w:hint="default" w:ascii="Times New Roman" w:hAnsi="Times New Roman" w:cs="Times New Roman"/>
        </w:rPr>
        <w:t>Wachsende Finanzierung</w:t>
      </w:r>
      <w:r>
        <w:rPr>
          <w:rFonts w:hint="default" w:ascii="Times New Roman" w:hAnsi="Times New Roman" w:cs="Times New Roman"/>
          <w:lang w:val="de-DE"/>
        </w:rPr>
        <w:t xml:space="preserve">, </w:t>
      </w:r>
      <w:r>
        <w:rPr>
          <w:rFonts w:hint="default" w:ascii="Times New Roman" w:hAnsi="Times New Roman" w:cs="Times New Roman"/>
        </w:rPr>
        <w:t>2023</w:t>
      </w:r>
      <w:r>
        <w:rPr>
          <w:rFonts w:hint="default" w:ascii="Times New Roman" w:hAnsi="Times New Roman" w:cs="Times New Roman"/>
          <w:lang w:val="de-DE"/>
        </w:rPr>
        <w:t>, S. 31.</w:t>
      </w:r>
    </w:p>
  </w:footnote>
  <w:footnote w:id="2">
    <w:p w14:paraId="344DD16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Margreiter-Otieno, C</w:t>
      </w:r>
      <w:r>
        <w:rPr>
          <w:rFonts w:hint="default" w:ascii="Times New Roman" w:hAnsi="Times New Roman" w:cs="Times New Roman"/>
          <w:i/>
          <w:iCs/>
          <w:lang w:val="de-DE"/>
        </w:rPr>
        <w:t>.,</w:t>
      </w:r>
      <w:r>
        <w:rPr>
          <w:rFonts w:hint="default" w:ascii="Times New Roman" w:hAnsi="Times New Roman" w:cs="Times New Roman"/>
          <w:i/>
          <w:iCs/>
        </w:rPr>
        <w:t xml:space="preserve"> Spennlingwimmer, T</w:t>
      </w:r>
      <w:r>
        <w:rPr>
          <w:rFonts w:hint="default" w:ascii="Times New Roman" w:hAnsi="Times New Roman" w:cs="Times New Roman"/>
          <w:i/>
          <w:iCs/>
          <w:lang w:val="de-DE"/>
        </w:rPr>
        <w:t xml:space="preserve">., </w:t>
      </w:r>
      <w:r>
        <w:rPr>
          <w:rFonts w:hint="default" w:ascii="Times New Roman" w:hAnsi="Times New Roman" w:cs="Times New Roman"/>
        </w:rPr>
        <w:t>Impact Innovation</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29.</w:t>
      </w:r>
    </w:p>
  </w:footnote>
  <w:footnote w:id="3">
    <w:p w14:paraId="392E9D0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Spiess-Knafl, W</w:t>
      </w:r>
      <w:r>
        <w:rPr>
          <w:rFonts w:hint="default" w:ascii="Times New Roman" w:hAnsi="Times New Roman" w:cs="Times New Roman"/>
          <w:i/>
          <w:iCs/>
          <w:lang w:val="de-DE"/>
        </w:rPr>
        <w:t>.,</w:t>
      </w:r>
      <w:r>
        <w:rPr>
          <w:rFonts w:hint="default" w:ascii="Times New Roman" w:hAnsi="Times New Roman" w:cs="Times New Roman"/>
          <w:i/>
          <w:iCs/>
        </w:rPr>
        <w:t xml:space="preserve"> Scheck,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66 f.</w:t>
      </w:r>
    </w:p>
  </w:footnote>
  <w:footnote w:id="4">
    <w:p w14:paraId="77CBB78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Wettstein, F. u. a.,</w:t>
      </w:r>
      <w:r>
        <w:rPr>
          <w:rFonts w:hint="default" w:ascii="Times New Roman" w:hAnsi="Times New Roman" w:cs="Times New Roman"/>
          <w:lang w:val="de-DE"/>
        </w:rPr>
        <w:t xml:space="preserve"> Impact Investing, 2019, S. 2.</w:t>
      </w:r>
    </w:p>
  </w:footnote>
  <w:footnote w:id="5">
    <w:p w14:paraId="1ED83C2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Knauer, T</w:t>
      </w:r>
      <w:r>
        <w:rPr>
          <w:rFonts w:hint="default" w:ascii="Times New Roman" w:hAnsi="Times New Roman" w:cs="Times New Roman"/>
          <w:i/>
          <w:iCs/>
          <w:lang w:val="de-DE"/>
        </w:rPr>
        <w:t xml:space="preserve">., </w:t>
      </w:r>
      <w:r>
        <w:rPr>
          <w:rFonts w:hint="default" w:ascii="Times New Roman" w:hAnsi="Times New Roman" w:cs="Times New Roman"/>
        </w:rPr>
        <w:t>Impact, 2021</w:t>
      </w:r>
      <w:r>
        <w:rPr>
          <w:rFonts w:hint="default" w:ascii="Times New Roman" w:hAnsi="Times New Roman" w:cs="Times New Roman"/>
          <w:lang w:val="de-DE"/>
        </w:rPr>
        <w:t>, S. 1.</w:t>
      </w:r>
    </w:p>
  </w:footnote>
  <w:footnote w:id="6">
    <w:p w14:paraId="1AE949E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Ruppert,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108.</w:t>
      </w:r>
    </w:p>
  </w:footnote>
  <w:footnote w:id="7">
    <w:p w14:paraId="4A38932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eastAsia="宋体" w:cs="Times New Roman"/>
          <w:i/>
          <w:iCs/>
          <w:lang w:val="de-DE" w:eastAsia="zh-CN"/>
        </w:rPr>
        <w:t>Spiess-Knafl, W.</w:t>
      </w:r>
      <w:r>
        <w:rPr>
          <w:rFonts w:hint="default" w:ascii="Times New Roman" w:hAnsi="Times New Roman" w:cs="Times New Roman"/>
          <w:i/>
          <w:iCs/>
          <w:lang w:val="de-DE" w:eastAsia="zh-CN"/>
        </w:rPr>
        <w:t>,</w:t>
      </w:r>
      <w:r>
        <w:rPr>
          <w:rFonts w:hint="default" w:ascii="Times New Roman" w:hAnsi="Times New Roman" w:eastAsia="宋体" w:cs="Times New Roman"/>
          <w:i/>
          <w:iCs/>
          <w:lang w:val="de-DE" w:eastAsia="zh-CN"/>
        </w:rPr>
        <w:t xml:space="preserve"> Langer, H., </w:t>
      </w:r>
      <w:r>
        <w:rPr>
          <w:rFonts w:hint="default" w:ascii="Times New Roman" w:hAnsi="Times New Roman" w:eastAsia="宋体" w:cs="Times New Roman"/>
          <w:lang w:val="de-DE" w:eastAsia="zh-CN"/>
        </w:rPr>
        <w:t>Finanzierung</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2019, S. 140.</w:t>
      </w:r>
    </w:p>
  </w:footnote>
  <w:footnote w:id="8">
    <w:p w14:paraId="7CE19BF7">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eastAsia="宋体" w:cs="Times New Roman"/>
          <w:i/>
          <w:iCs/>
          <w:lang w:val="de-DE" w:eastAsia="zh-CN"/>
        </w:rPr>
        <w:t xml:space="preserve">Oberhollenzer, U. u. a., </w:t>
      </w:r>
      <w:r>
        <w:rPr>
          <w:rFonts w:hint="default" w:ascii="Times New Roman" w:hAnsi="Times New Roman" w:eastAsia="宋体" w:cs="Times New Roman"/>
          <w:lang w:val="de-DE" w:eastAsia="zh-CN"/>
        </w:rPr>
        <w:t>Impact Investing</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2025, S. 657.</w:t>
      </w:r>
    </w:p>
  </w:footnote>
  <w:footnote w:id="9">
    <w:p w14:paraId="3CB649E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Spiess-Knafl, W</w:t>
      </w:r>
      <w:r>
        <w:rPr>
          <w:rFonts w:hint="default" w:ascii="Times New Roman" w:hAnsi="Times New Roman" w:cs="Times New Roman"/>
          <w:i/>
          <w:iCs/>
          <w:lang w:val="de-DE"/>
        </w:rPr>
        <w:t>.,</w:t>
      </w:r>
      <w:r>
        <w:rPr>
          <w:rFonts w:hint="default" w:ascii="Times New Roman" w:hAnsi="Times New Roman" w:cs="Times New Roman"/>
          <w:i/>
          <w:iCs/>
        </w:rPr>
        <w:t xml:space="preserve"> Scheck,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59.</w:t>
      </w:r>
    </w:p>
  </w:footnote>
  <w:footnote w:id="10">
    <w:p w14:paraId="1DF379D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Finance Center for South-South Cooperation</w:t>
      </w:r>
      <w:r>
        <w:rPr>
          <w:rFonts w:hint="default" w:ascii="Times New Roman" w:hAnsi="Times New Roman" w:cs="Times New Roman"/>
          <w:lang w:val="de-DE"/>
        </w:rPr>
        <w:t>, Impact Investing, 2023, S. 1 f.</w:t>
      </w:r>
    </w:p>
  </w:footnote>
  <w:footnote w:id="11">
    <w:p w14:paraId="33D939B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Ruppert,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18.</w:t>
      </w:r>
    </w:p>
  </w:footnote>
  <w:footnote w:id="12">
    <w:p w14:paraId="1565E0E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Rizzello, A., </w:t>
      </w:r>
      <w:r>
        <w:rPr>
          <w:rFonts w:hint="default" w:ascii="Times New Roman" w:hAnsi="Times New Roman" w:cs="Times New Roman"/>
          <w:lang w:val="de-DE"/>
        </w:rPr>
        <w:t>Green Investing, 2022, S. 68.</w:t>
      </w:r>
    </w:p>
  </w:footnote>
  <w:footnote w:id="13">
    <w:p w14:paraId="3E5C19D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lang w:val="de-DE"/>
        </w:rPr>
        <w:t xml:space="preserve">Grunow, H.-W. u. a., </w:t>
      </w:r>
      <w:r>
        <w:rPr>
          <w:rFonts w:hint="default" w:ascii="Times New Roman" w:hAnsi="Times New Roman" w:cs="Times New Roman"/>
          <w:sz w:val="20"/>
          <w:szCs w:val="20"/>
          <w:lang w:val="de-DE"/>
        </w:rPr>
        <w:t xml:space="preserve">Sustainable Finance, 2025, </w:t>
      </w:r>
      <w:r>
        <w:rPr>
          <w:rFonts w:hint="default" w:ascii="Times New Roman" w:hAnsi="Times New Roman" w:cs="Times New Roman"/>
          <w:lang w:val="de-DE"/>
        </w:rPr>
        <w:t>S. 31.</w:t>
      </w:r>
    </w:p>
  </w:footnote>
  <w:footnote w:id="14">
    <w:p w14:paraId="57214CD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Thelen, M., </w:t>
      </w:r>
      <w:r>
        <w:rPr>
          <w:rFonts w:hint="default" w:ascii="Times New Roman" w:hAnsi="Times New Roman" w:cs="Times New Roman"/>
          <w:lang w:val="de-DE" w:eastAsia="zh-CN"/>
        </w:rPr>
        <w:t>Impact Investing, 2024, S. 210 f.</w:t>
      </w:r>
    </w:p>
  </w:footnote>
  <w:footnote w:id="15">
    <w:p w14:paraId="5AB8637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Wendt, K., </w:t>
      </w:r>
      <w:r>
        <w:rPr>
          <w:rFonts w:hint="default" w:ascii="Times New Roman" w:hAnsi="Times New Roman" w:cs="Times New Roman"/>
          <w:lang w:val="de-DE"/>
        </w:rPr>
        <w:t>Nachhaltige Finanzanlagen, 2025, S. 194.</w:t>
      </w:r>
    </w:p>
  </w:footnote>
  <w:footnote w:id="16">
    <w:p w14:paraId="76E190EE">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Schempf, T., </w:t>
      </w:r>
      <w:r>
        <w:rPr>
          <w:rFonts w:hint="default" w:ascii="Times New Roman" w:hAnsi="Times New Roman" w:cs="Times New Roman"/>
          <w:lang w:val="de-DE"/>
        </w:rPr>
        <w:t>Green Finance, 2024, S. 167.</w:t>
      </w:r>
    </w:p>
  </w:footnote>
  <w:footnote w:id="17">
    <w:p w14:paraId="24BAD8A6">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highlight w:val="none"/>
          <w:lang w:val="en-US" w:eastAsia="zh-CN"/>
        </w:rPr>
        <w:t>Glänzel</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G</w:t>
      </w:r>
      <w:r>
        <w:rPr>
          <w:rFonts w:hint="default" w:ascii="Times New Roman" w:hAnsi="Times New Roman" w:cs="Times New Roman"/>
          <w:i/>
          <w:iCs/>
          <w:sz w:val="20"/>
          <w:szCs w:val="20"/>
          <w:highlight w:val="none"/>
          <w:lang w:val="de-DE" w:eastAsia="zh-CN"/>
        </w:rPr>
        <w:t>.,</w:t>
      </w:r>
      <w:r>
        <w:rPr>
          <w:rFonts w:hint="default" w:ascii="Times New Roman" w:hAnsi="Times New Roman" w:cs="Times New Roman"/>
          <w:i/>
          <w:iCs/>
          <w:sz w:val="20"/>
          <w:szCs w:val="20"/>
          <w:highlight w:val="none"/>
          <w:lang w:val="en-US" w:eastAsia="zh-CN"/>
        </w:rPr>
        <w:t xml:space="preserve"> Scheuerle</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T</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sz w:val="20"/>
          <w:szCs w:val="20"/>
          <w:highlight w:val="none"/>
          <w:lang w:val="en-US" w:eastAsia="zh-CN"/>
        </w:rPr>
        <w:t>Impact Investing</w:t>
      </w:r>
      <w:r>
        <w:rPr>
          <w:rFonts w:hint="default" w:ascii="Times New Roman" w:hAnsi="Times New Roman" w:cs="Times New Roman"/>
          <w:sz w:val="20"/>
          <w:szCs w:val="20"/>
          <w:highlight w:val="none"/>
          <w:lang w:val="de-DE" w:eastAsia="zh-CN"/>
        </w:rPr>
        <w:t>, 2019, S. 107.</w:t>
      </w:r>
    </w:p>
  </w:footnote>
  <w:footnote w:id="18">
    <w:p w14:paraId="3A838DB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highlight w:val="none"/>
          <w:lang w:val="de-DE" w:eastAsia="zh-CN"/>
        </w:rPr>
        <w:t xml:space="preserve">von Schnurbein, G., </w:t>
      </w:r>
      <w:r>
        <w:rPr>
          <w:rFonts w:hint="default" w:ascii="Times New Roman" w:hAnsi="Times New Roman" w:cs="Times New Roman"/>
          <w:sz w:val="20"/>
          <w:szCs w:val="20"/>
          <w:highlight w:val="none"/>
          <w:lang w:val="de-DE" w:eastAsia="zh-CN"/>
        </w:rPr>
        <w:t>Finanzmanagement, 2023, S. 323.</w:t>
      </w:r>
    </w:p>
  </w:footnote>
  <w:footnote w:id="19">
    <w:p w14:paraId="2B610C36">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sz w:val="20"/>
          <w:szCs w:val="20"/>
          <w:lang w:val="de-DE"/>
        </w:rPr>
        <w:t>Jackson, E</w:t>
      </w:r>
      <w:r>
        <w:rPr>
          <w:rFonts w:hint="default" w:ascii="Times New Roman" w:hAnsi="Times New Roman" w:cs="Times New Roman"/>
          <w:i/>
          <w:iCs/>
          <w:sz w:val="20"/>
          <w:szCs w:val="20"/>
          <w:lang w:val="en-US" w:eastAsia="zh-CN"/>
        </w:rPr>
        <w:t>.</w:t>
      </w:r>
      <w:r>
        <w:rPr>
          <w:rFonts w:hint="default" w:ascii="Times New Roman" w:hAnsi="Times New Roman" w:cs="Times New Roman"/>
          <w:i/>
          <w:iCs/>
          <w:sz w:val="20"/>
          <w:szCs w:val="20"/>
          <w:lang w:val="de-DE"/>
        </w:rPr>
        <w:t xml:space="preserve"> T., Harji, K</w:t>
      </w:r>
      <w:r>
        <w:rPr>
          <w:rFonts w:hint="default" w:ascii="Times New Roman" w:hAnsi="Times New Roman" w:cs="Times New Roman"/>
          <w:i/>
          <w:iCs/>
          <w:sz w:val="20"/>
          <w:szCs w:val="20"/>
          <w:lang w:val="en-US" w:eastAsia="zh-CN"/>
        </w:rPr>
        <w:t xml:space="preserve">., </w:t>
      </w:r>
      <w:r>
        <w:rPr>
          <w:rFonts w:hint="default" w:ascii="Times New Roman" w:hAnsi="Times New Roman" w:cs="Times New Roman"/>
          <w:sz w:val="20"/>
          <w:szCs w:val="20"/>
          <w:lang w:val="de-DE"/>
        </w:rPr>
        <w:t>Impact Investing, 2016</w:t>
      </w:r>
      <w:r>
        <w:rPr>
          <w:rFonts w:hint="default" w:ascii="Times New Roman" w:hAnsi="Times New Roman" w:cs="Times New Roman"/>
          <w:sz w:val="20"/>
          <w:szCs w:val="20"/>
          <w:lang w:val="en-US" w:eastAsia="zh-CN"/>
        </w:rPr>
        <w:t>, S. 26.</w:t>
      </w:r>
    </w:p>
  </w:footnote>
  <w:footnote w:id="20">
    <w:p w14:paraId="1CAD6F2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Rizzello, A., </w:t>
      </w:r>
      <w:r>
        <w:rPr>
          <w:rFonts w:hint="default" w:ascii="Times New Roman" w:hAnsi="Times New Roman" w:cs="Times New Roman"/>
          <w:lang w:val="de-DE"/>
        </w:rPr>
        <w:t>Green Investing, 2022, S. 68.</w:t>
      </w:r>
    </w:p>
  </w:footnote>
  <w:footnote w:id="21">
    <w:p w14:paraId="56147A5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Wendt, K., </w:t>
      </w:r>
      <w:r>
        <w:rPr>
          <w:rFonts w:hint="default" w:ascii="Times New Roman" w:hAnsi="Times New Roman" w:cs="Times New Roman"/>
          <w:lang w:val="de-DE"/>
        </w:rPr>
        <w:t>Impact Investing, 2022, S. 35.</w:t>
      </w:r>
    </w:p>
  </w:footnote>
  <w:footnote w:id="22">
    <w:p w14:paraId="68B000A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eastAsia="宋体" w:cs="Times New Roman"/>
          <w:i/>
          <w:iCs/>
          <w:lang w:val="de-DE" w:eastAsia="zh-CN"/>
        </w:rPr>
        <w:t xml:space="preserve">Oberhollenzer, U. u. a., </w:t>
      </w:r>
      <w:r>
        <w:rPr>
          <w:rFonts w:hint="default" w:ascii="Times New Roman" w:hAnsi="Times New Roman" w:eastAsia="宋体" w:cs="Times New Roman"/>
          <w:lang w:val="de-DE" w:eastAsia="zh-CN"/>
        </w:rPr>
        <w:t>Impact Investing</w:t>
      </w:r>
      <w:r>
        <w:rPr>
          <w:rFonts w:hint="default" w:ascii="Times New Roman" w:hAnsi="Times New Roman" w:cs="Times New Roman"/>
          <w:lang w:val="de-DE" w:eastAsia="zh-CN"/>
        </w:rPr>
        <w:t xml:space="preserve">, </w:t>
      </w:r>
      <w:r>
        <w:rPr>
          <w:rFonts w:hint="default" w:ascii="Times New Roman" w:hAnsi="Times New Roman" w:eastAsia="宋体" w:cs="Times New Roman"/>
          <w:lang w:val="de-DE" w:eastAsia="zh-CN"/>
        </w:rPr>
        <w:t>2025, S. 658.</w:t>
      </w:r>
    </w:p>
  </w:footnote>
  <w:footnote w:id="23">
    <w:p w14:paraId="033FE8A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Thelen, M., </w:t>
      </w:r>
      <w:r>
        <w:rPr>
          <w:rFonts w:hint="default" w:ascii="Times New Roman" w:hAnsi="Times New Roman" w:cs="Times New Roman"/>
          <w:lang w:val="de-DE" w:eastAsia="zh-CN"/>
        </w:rPr>
        <w:t>Impact Investing, 2024, S. 211.</w:t>
      </w:r>
    </w:p>
  </w:footnote>
  <w:footnote w:id="24">
    <w:p w14:paraId="4FD05CA5">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Wendt, K., </w:t>
      </w:r>
      <w:r>
        <w:rPr>
          <w:rFonts w:hint="default" w:ascii="Times New Roman" w:hAnsi="Times New Roman" w:cs="Times New Roman"/>
          <w:lang w:val="de-DE"/>
        </w:rPr>
        <w:t>Nachhaltige Finanzanlagen, 2025, S. 194.</w:t>
      </w:r>
    </w:p>
  </w:footnote>
  <w:footnote w:id="25">
    <w:p w14:paraId="7CCF7E9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lang w:val="de-DE"/>
        </w:rPr>
        <w:t xml:space="preserve">Grunow, H.-W. u. a., </w:t>
      </w:r>
      <w:r>
        <w:rPr>
          <w:rFonts w:hint="default" w:ascii="Times New Roman" w:hAnsi="Times New Roman" w:cs="Times New Roman"/>
          <w:sz w:val="20"/>
          <w:szCs w:val="20"/>
          <w:lang w:val="de-DE"/>
        </w:rPr>
        <w:t xml:space="preserve">Sustainable Finance, 2025, </w:t>
      </w:r>
      <w:r>
        <w:rPr>
          <w:rFonts w:hint="default" w:ascii="Times New Roman" w:hAnsi="Times New Roman" w:cs="Times New Roman"/>
          <w:lang w:val="de-DE"/>
        </w:rPr>
        <w:t>S. 32.</w:t>
      </w:r>
    </w:p>
  </w:footnote>
  <w:footnote w:id="26">
    <w:p w14:paraId="59E3C9F2">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Golka</w:t>
      </w:r>
      <w:r>
        <w:rPr>
          <w:rFonts w:hint="default" w:ascii="Times New Roman" w:hAnsi="Times New Roman" w:cs="Times New Roman"/>
          <w:i/>
          <w:iCs/>
          <w:lang w:val="en-US" w:eastAsia="zh-CN"/>
        </w:rPr>
        <w:t xml:space="preserve">, </w:t>
      </w:r>
      <w:r>
        <w:rPr>
          <w:rFonts w:hint="default" w:ascii="Times New Roman" w:hAnsi="Times New Roman" w:cs="Times New Roman"/>
          <w:i/>
          <w:iCs/>
          <w:lang w:val="de-DE"/>
        </w:rPr>
        <w:t>P</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Financialization</w:t>
      </w:r>
      <w:r>
        <w:rPr>
          <w:rFonts w:hint="default" w:ascii="Times New Roman" w:hAnsi="Times New Roman" w:cs="Times New Roman"/>
          <w:lang w:val="en-US" w:eastAsia="zh-CN"/>
        </w:rPr>
        <w:t>, 2019, S. 18.</w:t>
      </w:r>
    </w:p>
  </w:footnote>
  <w:footnote w:id="27">
    <w:p w14:paraId="7621DFE6">
      <w:pPr>
        <w:pStyle w:val="35"/>
        <w:snapToGrid w:val="0"/>
        <w:jc w:val="left"/>
        <w:rPr>
          <w:rFonts w:hint="default" w:ascii="Times New Roman" w:hAnsi="Times New Roman" w:eastAsia="宋体" w:cs="Times New Roman"/>
          <w:lang w:val="de-DE"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Emmanuel, J. A. u. a., </w:t>
      </w:r>
      <w:r>
        <w:rPr>
          <w:rFonts w:hint="default" w:ascii="Times New Roman" w:hAnsi="Times New Roman" w:cs="Times New Roman"/>
          <w:lang w:val="de-DE"/>
        </w:rPr>
        <w:t>Impact Investors, 2024, S. 38.</w:t>
      </w:r>
    </w:p>
  </w:footnote>
  <w:footnote w:id="28">
    <w:p w14:paraId="58312035">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Scognamiglio, E</w:t>
      </w:r>
      <w:r>
        <w:rPr>
          <w:rFonts w:hint="default" w:ascii="Times New Roman" w:hAnsi="Times New Roman" w:cs="Times New Roman"/>
          <w:i/>
          <w:iCs/>
          <w:lang w:val="en-US" w:eastAsia="zh-CN"/>
        </w:rPr>
        <w:t xml:space="preserve">. u.a., </w:t>
      </w:r>
      <w:r>
        <w:rPr>
          <w:rFonts w:hint="default" w:ascii="Times New Roman" w:hAnsi="Times New Roman" w:cs="Times New Roman"/>
          <w:lang w:val="de-DE"/>
        </w:rPr>
        <w:t>Impact Bonds</w:t>
      </w:r>
      <w:r>
        <w:rPr>
          <w:rFonts w:hint="default" w:ascii="Times New Roman" w:hAnsi="Times New Roman" w:cs="Times New Roman"/>
          <w:lang w:val="en-US" w:eastAsia="zh-CN"/>
        </w:rPr>
        <w:t xml:space="preserve">, </w:t>
      </w:r>
      <w:r>
        <w:rPr>
          <w:rFonts w:hint="default" w:ascii="Times New Roman" w:hAnsi="Times New Roman" w:cs="Times New Roman"/>
          <w:lang w:val="de-DE"/>
        </w:rPr>
        <w:t>2018</w:t>
      </w:r>
      <w:r>
        <w:rPr>
          <w:rFonts w:hint="default" w:ascii="Times New Roman" w:hAnsi="Times New Roman" w:cs="Times New Roman"/>
          <w:lang w:val="en-US" w:eastAsia="zh-CN"/>
        </w:rPr>
        <w:t>, S. 50.</w:t>
      </w:r>
    </w:p>
  </w:footnote>
  <w:footnote w:id="29">
    <w:p w14:paraId="01A7A330">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Wendt, K., </w:t>
      </w:r>
      <w:r>
        <w:rPr>
          <w:rFonts w:hint="default" w:ascii="Times New Roman" w:hAnsi="Times New Roman" w:cs="Times New Roman"/>
          <w:lang w:val="de-DE"/>
        </w:rPr>
        <w:t>Impact Investing, 2022, S. 32.</w:t>
      </w:r>
    </w:p>
  </w:footnote>
  <w:footnote w:id="30">
    <w:p w14:paraId="5A605A9A">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Dilg, M</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Nachhaltigkeit investieren, 2024</w:t>
      </w:r>
      <w:r>
        <w:rPr>
          <w:rFonts w:hint="default" w:ascii="Times New Roman" w:hAnsi="Times New Roman" w:cs="Times New Roman"/>
          <w:lang w:val="en-US" w:eastAsia="zh-CN"/>
        </w:rPr>
        <w:t>, S. 98.</w:t>
      </w:r>
    </w:p>
  </w:footnote>
  <w:footnote w:id="31">
    <w:p w14:paraId="4079199E">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Gutterman, A. S.</w:t>
      </w:r>
      <w:r>
        <w:rPr>
          <w:rFonts w:hint="default" w:ascii="Times New Roman" w:hAnsi="Times New Roman" w:cs="Times New Roman"/>
          <w:lang w:val="de-DE"/>
        </w:rPr>
        <w:t>, Sustainable Financ, 2021, S. 54 f.</w:t>
      </w:r>
    </w:p>
  </w:footnote>
  <w:footnote w:id="32">
    <w:p w14:paraId="579D65E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highlight w:val="none"/>
          <w:lang w:val="de-DE" w:eastAsia="zh-CN"/>
        </w:rPr>
        <w:t xml:space="preserve">von Schnurbein, G., </w:t>
      </w:r>
      <w:r>
        <w:rPr>
          <w:rFonts w:hint="default" w:ascii="Times New Roman" w:hAnsi="Times New Roman" w:cs="Times New Roman"/>
          <w:sz w:val="20"/>
          <w:szCs w:val="20"/>
          <w:highlight w:val="none"/>
          <w:lang w:val="de-DE" w:eastAsia="zh-CN"/>
        </w:rPr>
        <w:t>Finanzmanagement, 2023, S. 321.</w:t>
      </w:r>
    </w:p>
  </w:footnote>
  <w:footnote w:id="33">
    <w:p w14:paraId="07C3C95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Koch, M., Kruse, J., </w:t>
      </w:r>
      <w:r>
        <w:rPr>
          <w:rFonts w:hint="default" w:ascii="Times New Roman" w:hAnsi="Times New Roman" w:cs="Times New Roman"/>
          <w:lang w:val="de-DE"/>
        </w:rPr>
        <w:t>Geldanlagen, 2024, S. 130.</w:t>
      </w:r>
    </w:p>
  </w:footnote>
  <w:footnote w:id="34">
    <w:p w14:paraId="35730E91">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Ostmann, R., </w:t>
      </w:r>
      <w:r>
        <w:rPr>
          <w:rFonts w:hint="default" w:ascii="Times New Roman" w:hAnsi="Times New Roman" w:cs="Times New Roman"/>
          <w:lang w:val="de-DE"/>
        </w:rPr>
        <w:t>Nachhaltige Investieren, 2020, S. 368.</w:t>
      </w:r>
    </w:p>
  </w:footnote>
  <w:footnote w:id="35">
    <w:p w14:paraId="59A168C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Koch, R., Otto, S., </w:t>
      </w:r>
      <w:r>
        <w:rPr>
          <w:rFonts w:hint="default" w:ascii="Times New Roman" w:hAnsi="Times New Roman" w:cs="Times New Roman"/>
          <w:lang w:val="de-DE"/>
        </w:rPr>
        <w:t>ESG-Kriterien, 2025, S. 15.</w:t>
      </w:r>
    </w:p>
  </w:footnote>
  <w:footnote w:id="36">
    <w:p w14:paraId="2E56659C">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Schaefers, K., </w:t>
      </w:r>
      <w:r>
        <w:rPr>
          <w:rFonts w:hint="default" w:ascii="Times New Roman" w:hAnsi="Times New Roman" w:cs="Times New Roman"/>
          <w:lang w:val="de-DE"/>
        </w:rPr>
        <w:t>Ökonomistisches Engagement, 2020, S. 81.</w:t>
      </w:r>
    </w:p>
  </w:footnote>
  <w:footnote w:id="37">
    <w:p w14:paraId="3E95D7FE">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Dilg, M., </w:t>
      </w:r>
      <w:r>
        <w:rPr>
          <w:rFonts w:hint="default" w:ascii="Times New Roman" w:hAnsi="Times New Roman" w:cs="Times New Roman"/>
          <w:lang w:val="de-DE"/>
        </w:rPr>
        <w:t>Nachhaltigkeit investieren, 2024, S. 96.</w:t>
      </w:r>
    </w:p>
  </w:footnote>
  <w:footnote w:id="38">
    <w:p w14:paraId="7C9A435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Koch, R., Otto, S., </w:t>
      </w:r>
      <w:r>
        <w:rPr>
          <w:rFonts w:hint="default" w:ascii="Times New Roman" w:hAnsi="Times New Roman" w:cs="Times New Roman"/>
          <w:lang w:val="de-DE"/>
        </w:rPr>
        <w:t>ESG-Kriterien, 2025, S. 15.</w:t>
      </w:r>
    </w:p>
  </w:footnote>
  <w:footnote w:id="39">
    <w:p w14:paraId="30616EC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Spiess-Knafl, W</w:t>
      </w:r>
      <w:r>
        <w:rPr>
          <w:rFonts w:hint="default" w:ascii="Times New Roman" w:hAnsi="Times New Roman" w:cs="Times New Roman"/>
          <w:i/>
          <w:iCs/>
          <w:lang w:val="de-DE"/>
        </w:rPr>
        <w:t>.,</w:t>
      </w:r>
      <w:r>
        <w:rPr>
          <w:rFonts w:hint="default" w:ascii="Times New Roman" w:hAnsi="Times New Roman" w:cs="Times New Roman"/>
          <w:i/>
          <w:iCs/>
        </w:rPr>
        <w:t xml:space="preserve"> Scheck,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73.</w:t>
      </w:r>
    </w:p>
  </w:footnote>
  <w:footnote w:id="40">
    <w:p w14:paraId="3D0B901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Schaefers, K., </w:t>
      </w:r>
      <w:r>
        <w:rPr>
          <w:rFonts w:hint="default" w:ascii="Times New Roman" w:hAnsi="Times New Roman" w:cs="Times New Roman"/>
          <w:lang w:val="de-DE"/>
        </w:rPr>
        <w:t>Ökonomistisches Engagement, 2020, S. 82.</w:t>
      </w:r>
    </w:p>
  </w:footnote>
  <w:footnote w:id="41">
    <w:p w14:paraId="3FF377C5">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Ostmann, R., </w:t>
      </w:r>
      <w:r>
        <w:rPr>
          <w:rFonts w:hint="default" w:ascii="Times New Roman" w:hAnsi="Times New Roman" w:cs="Times New Roman"/>
          <w:lang w:val="de-DE"/>
        </w:rPr>
        <w:t>Nachhaltige Investieren, 2020, S. 368.</w:t>
      </w:r>
    </w:p>
  </w:footnote>
  <w:footnote w:id="42">
    <w:p w14:paraId="1C747A9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Keeley, T., </w:t>
      </w:r>
      <w:r>
        <w:rPr>
          <w:rFonts w:hint="default" w:ascii="Times New Roman" w:hAnsi="Times New Roman" w:cs="Times New Roman"/>
          <w:lang w:val="de-DE"/>
        </w:rPr>
        <w:t>Impact Investing, 2022, S. 240.</w:t>
      </w:r>
    </w:p>
  </w:footnote>
  <w:footnote w:id="43">
    <w:p w14:paraId="1372BE8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Gutterman, A. S.</w:t>
      </w:r>
      <w:r>
        <w:rPr>
          <w:rFonts w:hint="default" w:ascii="Times New Roman" w:hAnsi="Times New Roman" w:cs="Times New Roman"/>
          <w:lang w:val="de-DE"/>
        </w:rPr>
        <w:t>, Sustainable Financ, 2021, S. 56.</w:t>
      </w:r>
    </w:p>
  </w:footnote>
  <w:footnote w:id="44">
    <w:p w14:paraId="76DE6158">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Schempf, T., </w:t>
      </w:r>
      <w:r>
        <w:rPr>
          <w:rFonts w:hint="default" w:ascii="Times New Roman" w:hAnsi="Times New Roman" w:cs="Times New Roman"/>
          <w:lang w:val="de-DE"/>
        </w:rPr>
        <w:t>Green Finance, 2024, S. 167.</w:t>
      </w:r>
    </w:p>
  </w:footnote>
  <w:footnote w:id="45">
    <w:p w14:paraId="2F61932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Koch, M., Kruse, J., </w:t>
      </w:r>
      <w:r>
        <w:rPr>
          <w:rFonts w:hint="default" w:ascii="Times New Roman" w:hAnsi="Times New Roman" w:cs="Times New Roman"/>
          <w:lang w:val="de-DE"/>
        </w:rPr>
        <w:t>Geldanlagen, 2024, S. 128.</w:t>
      </w:r>
    </w:p>
  </w:footnote>
  <w:footnote w:id="46">
    <w:p w14:paraId="62477E93">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Keeley, T., </w:t>
      </w:r>
      <w:r>
        <w:rPr>
          <w:rFonts w:hint="default" w:ascii="Times New Roman" w:hAnsi="Times New Roman" w:cs="Times New Roman"/>
          <w:lang w:val="de-DE"/>
        </w:rPr>
        <w:t>Impact Investing, 2022, S. 237.</w:t>
      </w:r>
    </w:p>
  </w:footnote>
  <w:footnote w:id="47">
    <w:p w14:paraId="5727CAF9">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Krlev, G</w:t>
      </w:r>
      <w:r>
        <w:rPr>
          <w:rFonts w:hint="default" w:ascii="Times New Roman" w:hAnsi="Times New Roman" w:cs="Times New Roman"/>
          <w:i/>
          <w:iCs/>
          <w:lang w:val="en-US" w:eastAsia="zh-CN"/>
        </w:rPr>
        <w:t xml:space="preserve">. u. a., </w:t>
      </w:r>
      <w:r>
        <w:rPr>
          <w:rFonts w:hint="default" w:ascii="Times New Roman" w:hAnsi="Times New Roman" w:cs="Times New Roman"/>
          <w:lang w:val="de-DE"/>
        </w:rPr>
        <w:t>Soziale Innovationen, 2021</w:t>
      </w:r>
      <w:r>
        <w:rPr>
          <w:rFonts w:hint="default" w:ascii="Times New Roman" w:hAnsi="Times New Roman" w:cs="Times New Roman"/>
          <w:lang w:val="en-US" w:eastAsia="zh-CN"/>
        </w:rPr>
        <w:t>, S. 18.</w:t>
      </w:r>
    </w:p>
  </w:footnote>
  <w:footnote w:id="48">
    <w:p w14:paraId="79A228F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Vaudt, S., </w:t>
      </w:r>
      <w:r>
        <w:rPr>
          <w:rFonts w:hint="default" w:ascii="Times New Roman" w:hAnsi="Times New Roman" w:cs="Times New Roman"/>
          <w:lang w:val="de-DE"/>
        </w:rPr>
        <w:t>Sozialökonomie, 2022, S. 75.</w:t>
      </w:r>
    </w:p>
  </w:footnote>
  <w:footnote w:id="49">
    <w:p w14:paraId="0F91CA7B">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Krlev, G</w:t>
      </w:r>
      <w:r>
        <w:rPr>
          <w:rFonts w:hint="default" w:ascii="Times New Roman" w:hAnsi="Times New Roman" w:cs="Times New Roman"/>
          <w:i/>
          <w:iCs/>
          <w:lang w:val="en-US" w:eastAsia="zh-CN"/>
        </w:rPr>
        <w:t xml:space="preserve">. u. a., </w:t>
      </w:r>
      <w:r>
        <w:rPr>
          <w:rFonts w:hint="default" w:ascii="Times New Roman" w:hAnsi="Times New Roman" w:cs="Times New Roman"/>
          <w:lang w:val="de-DE"/>
        </w:rPr>
        <w:t>Soziale Innovationen, 2021</w:t>
      </w:r>
      <w:r>
        <w:rPr>
          <w:rFonts w:hint="default" w:ascii="Times New Roman" w:hAnsi="Times New Roman" w:cs="Times New Roman"/>
          <w:lang w:val="en-US" w:eastAsia="zh-CN"/>
        </w:rPr>
        <w:t>, S. 18.</w:t>
      </w:r>
    </w:p>
  </w:footnote>
  <w:footnote w:id="50">
    <w:p w14:paraId="362FE422">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Mayer, K</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Nachhaltigkeit</w:t>
      </w:r>
      <w:r>
        <w:rPr>
          <w:rFonts w:hint="default" w:ascii="Times New Roman" w:hAnsi="Times New Roman" w:cs="Times New Roman"/>
          <w:lang w:val="en-US" w:eastAsia="zh-CN"/>
        </w:rPr>
        <w:t xml:space="preserve">, </w:t>
      </w:r>
      <w:r>
        <w:rPr>
          <w:rFonts w:hint="default" w:ascii="Times New Roman" w:hAnsi="Times New Roman" w:cs="Times New Roman"/>
          <w:lang w:val="de-DE"/>
        </w:rPr>
        <w:t>2020</w:t>
      </w:r>
      <w:r>
        <w:rPr>
          <w:rFonts w:hint="default" w:ascii="Times New Roman" w:hAnsi="Times New Roman" w:cs="Times New Roman"/>
          <w:lang w:val="en-US" w:eastAsia="zh-CN"/>
        </w:rPr>
        <w:t>, S. 138.</w:t>
      </w:r>
    </w:p>
  </w:footnote>
  <w:footnote w:id="51">
    <w:p w14:paraId="5C3DB9ED">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Kolhoff, L</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Finanzierung</w:t>
      </w:r>
      <w:r>
        <w:rPr>
          <w:rFonts w:hint="default" w:ascii="Times New Roman" w:hAnsi="Times New Roman" w:cs="Times New Roman"/>
          <w:lang w:val="en-US" w:eastAsia="zh-CN"/>
        </w:rPr>
        <w:t xml:space="preserve">, </w:t>
      </w:r>
      <w:r>
        <w:rPr>
          <w:rFonts w:hint="default" w:ascii="Times New Roman" w:hAnsi="Times New Roman" w:cs="Times New Roman"/>
          <w:lang w:val="de-DE"/>
        </w:rPr>
        <w:t>2025</w:t>
      </w:r>
      <w:r>
        <w:rPr>
          <w:rFonts w:hint="default" w:ascii="Times New Roman" w:hAnsi="Times New Roman" w:cs="Times New Roman"/>
          <w:lang w:val="en-US" w:eastAsia="zh-CN"/>
        </w:rPr>
        <w:t>, S. 155.</w:t>
      </w:r>
    </w:p>
  </w:footnote>
  <w:footnote w:id="52">
    <w:p w14:paraId="45739B19">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Spiess-Knafl, W</w:t>
      </w:r>
      <w:r>
        <w:rPr>
          <w:rFonts w:hint="default" w:ascii="Times New Roman" w:hAnsi="Times New Roman" w:cs="Times New Roman"/>
          <w:i/>
          <w:iCs/>
          <w:lang w:val="en-US" w:eastAsia="zh-CN"/>
        </w:rPr>
        <w:t>.,</w:t>
      </w:r>
      <w:r>
        <w:rPr>
          <w:rFonts w:hint="default" w:ascii="Times New Roman" w:hAnsi="Times New Roman" w:cs="Times New Roman"/>
          <w:i/>
          <w:iCs/>
          <w:lang w:val="de-DE"/>
        </w:rPr>
        <w:t xml:space="preserve"> Langer, H</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Finanzierung</w:t>
      </w:r>
      <w:r>
        <w:rPr>
          <w:rFonts w:hint="default" w:ascii="Times New Roman" w:hAnsi="Times New Roman" w:cs="Times New Roman"/>
          <w:lang w:val="en-US" w:eastAsia="zh-CN"/>
        </w:rPr>
        <w:t xml:space="preserve">, </w:t>
      </w:r>
      <w:r>
        <w:rPr>
          <w:rFonts w:hint="default" w:ascii="Times New Roman" w:hAnsi="Times New Roman" w:cs="Times New Roman"/>
          <w:lang w:val="de-DE"/>
        </w:rPr>
        <w:t>2019</w:t>
      </w:r>
      <w:r>
        <w:rPr>
          <w:rFonts w:hint="default" w:ascii="Times New Roman" w:hAnsi="Times New Roman" w:cs="Times New Roman"/>
          <w:lang w:val="en-US" w:eastAsia="zh-CN"/>
        </w:rPr>
        <w:t>, S. 145.</w:t>
      </w:r>
    </w:p>
  </w:footnote>
  <w:footnote w:id="53">
    <w:p w14:paraId="6FF7937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Eisenreich, T., Scholz, S., </w:t>
      </w:r>
      <w:r>
        <w:rPr>
          <w:rFonts w:hint="default" w:ascii="Times New Roman" w:hAnsi="Times New Roman" w:cs="Times New Roman"/>
          <w:lang w:val="de-DE"/>
        </w:rPr>
        <w:t>Finanzierung, 2018, S. 201.</w:t>
      </w:r>
    </w:p>
  </w:footnote>
  <w:footnote w:id="54">
    <w:p w14:paraId="6229E7A9">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Golka</w:t>
      </w:r>
      <w:r>
        <w:rPr>
          <w:rFonts w:hint="default" w:ascii="Times New Roman" w:hAnsi="Times New Roman" w:cs="Times New Roman"/>
          <w:i/>
          <w:iCs/>
          <w:lang w:val="en-US" w:eastAsia="zh-CN"/>
        </w:rPr>
        <w:t xml:space="preserve">, </w:t>
      </w:r>
      <w:r>
        <w:rPr>
          <w:rFonts w:hint="default" w:ascii="Times New Roman" w:hAnsi="Times New Roman" w:cs="Times New Roman"/>
          <w:i/>
          <w:iCs/>
          <w:lang w:val="de-DE"/>
        </w:rPr>
        <w:t>P</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Financialization</w:t>
      </w:r>
      <w:r>
        <w:rPr>
          <w:rFonts w:hint="default" w:ascii="Times New Roman" w:hAnsi="Times New Roman" w:cs="Times New Roman"/>
          <w:lang w:val="en-US" w:eastAsia="zh-CN"/>
        </w:rPr>
        <w:t>, 2019, S. 17.</w:t>
      </w:r>
    </w:p>
  </w:footnote>
  <w:footnote w:id="55">
    <w:p w14:paraId="2A9B4736">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Dahlbeck, E. u. a., </w:t>
      </w:r>
      <w:r>
        <w:rPr>
          <w:rFonts w:hint="default" w:ascii="Times New Roman" w:hAnsi="Times New Roman" w:cs="Times New Roman"/>
          <w:lang w:val="de-DE"/>
        </w:rPr>
        <w:t>Finanzierungsmodelle, 2022, S. 319.</w:t>
      </w:r>
    </w:p>
  </w:footnote>
  <w:footnote w:id="56">
    <w:p w14:paraId="1AA875C1">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Kolhoff, L., </w:t>
      </w:r>
      <w:r>
        <w:rPr>
          <w:rFonts w:hint="default" w:ascii="Times New Roman" w:hAnsi="Times New Roman" w:cs="Times New Roman"/>
          <w:lang w:val="de-DE"/>
        </w:rPr>
        <w:t>Sozialwirtschaft, 2019, S. 158.</w:t>
      </w:r>
    </w:p>
  </w:footnote>
  <w:footnote w:id="57">
    <w:p w14:paraId="05FFEAA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Kolhoff, L</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Finanzierung</w:t>
      </w:r>
      <w:r>
        <w:rPr>
          <w:rFonts w:hint="default" w:ascii="Times New Roman" w:hAnsi="Times New Roman" w:cs="Times New Roman"/>
          <w:lang w:val="en-US" w:eastAsia="zh-CN"/>
        </w:rPr>
        <w:t xml:space="preserve">, </w:t>
      </w:r>
      <w:r>
        <w:rPr>
          <w:rFonts w:hint="default" w:ascii="Times New Roman" w:hAnsi="Times New Roman" w:cs="Times New Roman"/>
          <w:lang w:val="de-DE"/>
        </w:rPr>
        <w:t>2025</w:t>
      </w:r>
      <w:r>
        <w:rPr>
          <w:rFonts w:hint="default" w:ascii="Times New Roman" w:hAnsi="Times New Roman" w:cs="Times New Roman"/>
          <w:lang w:val="en-US" w:eastAsia="zh-CN"/>
        </w:rPr>
        <w:t>, S. 155.</w:t>
      </w:r>
    </w:p>
  </w:footnote>
  <w:footnote w:id="58">
    <w:p w14:paraId="64BB8B6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Frick, A., </w:t>
      </w:r>
      <w:r>
        <w:rPr>
          <w:rFonts w:hint="default" w:ascii="Times New Roman" w:hAnsi="Times New Roman" w:cs="Times New Roman"/>
          <w:lang w:val="de-DE"/>
        </w:rPr>
        <w:t>Projektmanagement, 2023, S. 110.</w:t>
      </w:r>
    </w:p>
  </w:footnote>
  <w:footnote w:id="59">
    <w:p w14:paraId="4AAC9BB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Grillitsch, W., Sagmeister, M., </w:t>
      </w:r>
      <w:r>
        <w:rPr>
          <w:rFonts w:hint="default" w:ascii="Times New Roman" w:hAnsi="Times New Roman" w:cs="Times New Roman"/>
          <w:lang w:val="de-DE"/>
        </w:rPr>
        <w:t>Sozialwirtschaft, 2021, S. 187.</w:t>
      </w:r>
    </w:p>
  </w:footnote>
  <w:footnote w:id="60">
    <w:p w14:paraId="459D403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Kahle, U., </w:t>
      </w:r>
      <w:r>
        <w:rPr>
          <w:rFonts w:hint="default" w:ascii="Times New Roman" w:hAnsi="Times New Roman" w:cs="Times New Roman"/>
          <w:lang w:val="de-DE"/>
        </w:rPr>
        <w:t>Betriebssozialarbeit, 2025, S. 160.</w:t>
      </w:r>
    </w:p>
  </w:footnote>
  <w:footnote w:id="61">
    <w:p w14:paraId="6809AEA8">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Stepanek, P., </w:t>
      </w:r>
      <w:r>
        <w:rPr>
          <w:rFonts w:hint="default" w:ascii="Times New Roman" w:hAnsi="Times New Roman" w:cs="Times New Roman"/>
          <w:lang w:val="de-DE"/>
        </w:rPr>
        <w:t>Sozialwirtschaft, 2022, S. 65.</w:t>
      </w:r>
    </w:p>
  </w:footnote>
  <w:footnote w:id="62">
    <w:p w14:paraId="2620E9E0">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Eisenreich, T., Scholz, S., </w:t>
      </w:r>
      <w:r>
        <w:rPr>
          <w:rFonts w:hint="default" w:ascii="Times New Roman" w:hAnsi="Times New Roman" w:cs="Times New Roman"/>
          <w:lang w:val="de-DE"/>
        </w:rPr>
        <w:t>Finanzierung, 2018, S. 209.</w:t>
      </w:r>
    </w:p>
  </w:footnote>
  <w:footnote w:id="63">
    <w:p w14:paraId="1BE2CA74">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Mayer, K</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Nachhaltigkeit</w:t>
      </w:r>
      <w:r>
        <w:rPr>
          <w:rFonts w:hint="default" w:ascii="Times New Roman" w:hAnsi="Times New Roman" w:cs="Times New Roman"/>
          <w:lang w:val="en-US" w:eastAsia="zh-CN"/>
        </w:rPr>
        <w:t xml:space="preserve">, </w:t>
      </w:r>
      <w:r>
        <w:rPr>
          <w:rFonts w:hint="default" w:ascii="Times New Roman" w:hAnsi="Times New Roman" w:cs="Times New Roman"/>
          <w:lang w:val="de-DE"/>
        </w:rPr>
        <w:t>2020</w:t>
      </w:r>
      <w:r>
        <w:rPr>
          <w:rFonts w:hint="default" w:ascii="Times New Roman" w:hAnsi="Times New Roman" w:cs="Times New Roman"/>
          <w:lang w:val="en-US" w:eastAsia="zh-CN"/>
        </w:rPr>
        <w:t>, S. 138.</w:t>
      </w:r>
    </w:p>
  </w:footnote>
  <w:footnote w:id="64">
    <w:p w14:paraId="7074542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Grillitsch, W., Sagmeister, M., </w:t>
      </w:r>
      <w:r>
        <w:rPr>
          <w:rFonts w:hint="default" w:ascii="Times New Roman" w:hAnsi="Times New Roman" w:cs="Times New Roman"/>
          <w:lang w:val="de-DE"/>
        </w:rPr>
        <w:t>Sozialwirtschaft, 2021, S. 104.</w:t>
      </w:r>
    </w:p>
  </w:footnote>
  <w:footnote w:id="65">
    <w:p w14:paraId="5124614C">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Golka</w:t>
      </w:r>
      <w:r>
        <w:rPr>
          <w:rFonts w:hint="default" w:ascii="Times New Roman" w:hAnsi="Times New Roman" w:cs="Times New Roman"/>
          <w:i/>
          <w:iCs/>
          <w:lang w:val="en-US" w:eastAsia="zh-CN"/>
        </w:rPr>
        <w:t xml:space="preserve">, </w:t>
      </w:r>
      <w:r>
        <w:rPr>
          <w:rFonts w:hint="default" w:ascii="Times New Roman" w:hAnsi="Times New Roman" w:cs="Times New Roman"/>
          <w:i/>
          <w:iCs/>
          <w:lang w:val="de-DE"/>
        </w:rPr>
        <w:t>P</w:t>
      </w:r>
      <w:r>
        <w:rPr>
          <w:rFonts w:hint="default" w:ascii="Times New Roman" w:hAnsi="Times New Roman" w:cs="Times New Roman"/>
          <w:i/>
          <w:iCs/>
          <w:lang w:val="en-US" w:eastAsia="zh-CN"/>
        </w:rPr>
        <w:t xml:space="preserve">., </w:t>
      </w:r>
      <w:r>
        <w:rPr>
          <w:rFonts w:hint="default" w:ascii="Times New Roman" w:hAnsi="Times New Roman" w:cs="Times New Roman"/>
          <w:lang w:val="de-DE"/>
        </w:rPr>
        <w:t>Financialization</w:t>
      </w:r>
      <w:r>
        <w:rPr>
          <w:rFonts w:hint="default" w:ascii="Times New Roman" w:hAnsi="Times New Roman" w:cs="Times New Roman"/>
          <w:lang w:val="en-US" w:eastAsia="zh-CN"/>
        </w:rPr>
        <w:t>, 2019, S. 17.</w:t>
      </w:r>
    </w:p>
  </w:footnote>
  <w:footnote w:id="66">
    <w:p w14:paraId="66394C1C">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en-US" w:eastAsia="zh-CN"/>
        </w:rPr>
        <w:t xml:space="preserve">Vgl. </w:t>
      </w:r>
      <w:r>
        <w:rPr>
          <w:rFonts w:hint="default" w:ascii="Times New Roman" w:hAnsi="Times New Roman" w:cs="Times New Roman"/>
          <w:i/>
          <w:iCs/>
          <w:lang w:val="de-DE"/>
        </w:rPr>
        <w:t xml:space="preserve">Tavanti, M., </w:t>
      </w:r>
      <w:r>
        <w:rPr>
          <w:rFonts w:hint="default" w:ascii="Times New Roman" w:hAnsi="Times New Roman" w:cs="Times New Roman"/>
          <w:lang w:val="de-DE"/>
        </w:rPr>
        <w:t>Sustainability, 2025</w:t>
      </w:r>
      <w:r>
        <w:rPr>
          <w:rFonts w:hint="default" w:ascii="Times New Roman" w:hAnsi="Times New Roman" w:cs="Times New Roman"/>
          <w:lang w:val="en-US" w:eastAsia="zh-CN"/>
        </w:rPr>
        <w:t>, S.</w:t>
      </w:r>
      <w:r>
        <w:rPr>
          <w:rFonts w:hint="default" w:ascii="Times New Roman" w:hAnsi="Times New Roman" w:cs="Times New Roman"/>
          <w:lang w:val="de-DE" w:eastAsia="zh-CN"/>
        </w:rPr>
        <w:t xml:space="preserve"> 318.</w:t>
      </w:r>
    </w:p>
  </w:footnote>
  <w:footnote w:id="67">
    <w:p w14:paraId="43765A2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highlight w:val="none"/>
          <w:lang w:val="en-US" w:eastAsia="zh-CN"/>
        </w:rPr>
        <w:t>Glänzel</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G</w:t>
      </w:r>
      <w:r>
        <w:rPr>
          <w:rFonts w:hint="default" w:ascii="Times New Roman" w:hAnsi="Times New Roman" w:cs="Times New Roman"/>
          <w:i/>
          <w:iCs/>
          <w:sz w:val="20"/>
          <w:szCs w:val="20"/>
          <w:highlight w:val="none"/>
          <w:lang w:val="de-DE" w:eastAsia="zh-CN"/>
        </w:rPr>
        <w:t>.,</w:t>
      </w:r>
      <w:r>
        <w:rPr>
          <w:rFonts w:hint="default" w:ascii="Times New Roman" w:hAnsi="Times New Roman" w:cs="Times New Roman"/>
          <w:i/>
          <w:iCs/>
          <w:sz w:val="20"/>
          <w:szCs w:val="20"/>
          <w:highlight w:val="none"/>
          <w:lang w:val="en-US" w:eastAsia="zh-CN"/>
        </w:rPr>
        <w:t xml:space="preserve"> Scheuerle</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i/>
          <w:iCs/>
          <w:sz w:val="20"/>
          <w:szCs w:val="20"/>
          <w:highlight w:val="none"/>
          <w:lang w:val="en-US" w:eastAsia="zh-CN"/>
        </w:rPr>
        <w:t>T</w:t>
      </w:r>
      <w:r>
        <w:rPr>
          <w:rFonts w:hint="default" w:ascii="Times New Roman" w:hAnsi="Times New Roman" w:cs="Times New Roman"/>
          <w:i/>
          <w:iCs/>
          <w:sz w:val="20"/>
          <w:szCs w:val="20"/>
          <w:highlight w:val="none"/>
          <w:lang w:val="de-DE" w:eastAsia="zh-CN"/>
        </w:rPr>
        <w:t xml:space="preserve">., </w:t>
      </w:r>
      <w:r>
        <w:rPr>
          <w:rFonts w:hint="default" w:ascii="Times New Roman" w:hAnsi="Times New Roman" w:cs="Times New Roman"/>
          <w:sz w:val="20"/>
          <w:szCs w:val="20"/>
          <w:highlight w:val="none"/>
          <w:lang w:val="en-US" w:eastAsia="zh-CN"/>
        </w:rPr>
        <w:t>Impact Investing</w:t>
      </w:r>
      <w:r>
        <w:rPr>
          <w:rFonts w:hint="default" w:ascii="Times New Roman" w:hAnsi="Times New Roman" w:cs="Times New Roman"/>
          <w:sz w:val="20"/>
          <w:szCs w:val="20"/>
          <w:highlight w:val="none"/>
          <w:lang w:val="de-DE" w:eastAsia="zh-CN"/>
        </w:rPr>
        <w:t>, 2019, S. 112.</w:t>
      </w:r>
    </w:p>
  </w:footnote>
  <w:footnote w:id="68">
    <w:p w14:paraId="55FD2691">
      <w:pPr>
        <w:pStyle w:val="35"/>
        <w:snapToGrid w:val="0"/>
        <w:jc w:val="left"/>
        <w:rPr>
          <w:rFonts w:hint="default" w:ascii="Times New Roman" w:hAnsi="Times New Roman" w:eastAsia="宋体" w:cs="Times New Roman"/>
          <w:lang w:val="de-DE"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Łudzińska, K., </w:t>
      </w:r>
      <w:r>
        <w:rPr>
          <w:rFonts w:hint="default" w:ascii="Times New Roman" w:hAnsi="Times New Roman" w:cs="Times New Roman"/>
          <w:lang w:val="de-DE"/>
        </w:rPr>
        <w:t>ESG Perspectives, 2025, S. 101.</w:t>
      </w:r>
    </w:p>
    <w:p w14:paraId="11CAA084">
      <w:pPr>
        <w:pStyle w:val="35"/>
        <w:snapToGrid w:val="0"/>
        <w:jc w:val="left"/>
        <w:rPr>
          <w:rFonts w:hint="default" w:ascii="Times New Roman" w:hAnsi="Times New Roman" w:cs="Times New Roman"/>
          <w:lang w:val="de-DE"/>
        </w:rPr>
      </w:pPr>
    </w:p>
  </w:footnote>
  <w:footnote w:id="69">
    <w:p w14:paraId="6EAFCF63">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Mia, M. A., </w:t>
      </w:r>
      <w:r>
        <w:rPr>
          <w:rFonts w:hint="default" w:ascii="Times New Roman" w:hAnsi="Times New Roman" w:cs="Times New Roman"/>
          <w:lang w:val="de-DE"/>
        </w:rPr>
        <w:t>Microfinance, 2022, S. 150.</w:t>
      </w:r>
    </w:p>
  </w:footnote>
  <w:footnote w:id="70">
    <w:p w14:paraId="7253D51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Fabisch, N., </w:t>
      </w:r>
      <w:r>
        <w:rPr>
          <w:rFonts w:hint="default" w:ascii="Times New Roman" w:hAnsi="Times New Roman" w:cs="Times New Roman"/>
          <w:lang w:val="de-DE"/>
        </w:rPr>
        <w:t>Nachhaltigkeitsziel, 2025, S. 644.</w:t>
      </w:r>
    </w:p>
  </w:footnote>
  <w:footnote w:id="71">
    <w:p w14:paraId="0CE7A63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Schiffleitner, K., </w:t>
      </w:r>
      <w:r>
        <w:rPr>
          <w:rFonts w:hint="default" w:ascii="Times New Roman" w:hAnsi="Times New Roman" w:cs="Times New Roman"/>
          <w:lang w:val="de-DE"/>
        </w:rPr>
        <w:t>Sustainability Reporting, 2025, S. 127.</w:t>
      </w:r>
    </w:p>
  </w:footnote>
  <w:footnote w:id="72">
    <w:p w14:paraId="22DBCE5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Abendroth, S., </w:t>
      </w:r>
      <w:r>
        <w:rPr>
          <w:rFonts w:hint="default" w:ascii="Times New Roman" w:hAnsi="Times New Roman" w:cs="Times New Roman"/>
          <w:lang w:val="de-DE"/>
        </w:rPr>
        <w:t>Nachhaltigkeitsmanagement, 2023, S. 6.</w:t>
      </w:r>
    </w:p>
  </w:footnote>
  <w:footnote w:id="73">
    <w:p w14:paraId="365A893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Nicholls, A</w:t>
      </w:r>
      <w:r>
        <w:rPr>
          <w:rFonts w:hint="default" w:ascii="Times New Roman" w:hAnsi="Times New Roman" w:cs="Times New Roman"/>
          <w:i/>
          <w:iCs/>
          <w:lang w:val="de-DE"/>
        </w:rPr>
        <w:t xml:space="preserve">. u. a., </w:t>
      </w:r>
      <w:r>
        <w:rPr>
          <w:rFonts w:hint="default" w:ascii="Times New Roman" w:hAnsi="Times New Roman" w:cs="Times New Roman"/>
          <w:lang w:val="de-DE" w:eastAsia="zh-CN"/>
        </w:rPr>
        <w:t>S</w:t>
      </w:r>
      <w:r>
        <w:rPr>
          <w:rFonts w:hint="default" w:ascii="Times New Roman" w:hAnsi="Times New Roman" w:cs="Times New Roman"/>
          <w:lang w:val="en-US" w:eastAsia="zh-CN"/>
        </w:rPr>
        <w:t xml:space="preserve">ocial </w:t>
      </w:r>
      <w:r>
        <w:rPr>
          <w:rFonts w:hint="default" w:ascii="Times New Roman" w:hAnsi="Times New Roman" w:cs="Times New Roman"/>
          <w:lang w:val="de-DE" w:eastAsia="zh-CN"/>
        </w:rPr>
        <w:t>f</w:t>
      </w:r>
      <w:r>
        <w:rPr>
          <w:rFonts w:hint="default" w:ascii="Times New Roman" w:hAnsi="Times New Roman" w:cs="Times New Roman"/>
          <w:lang w:val="en-US" w:eastAsia="zh-CN"/>
        </w:rPr>
        <w:t>inance</w:t>
      </w:r>
      <w:r>
        <w:rPr>
          <w:rFonts w:hint="default" w:ascii="Times New Roman" w:hAnsi="Times New Roman" w:cs="Times New Roman"/>
          <w:lang w:val="de-DE" w:eastAsia="zh-CN"/>
        </w:rPr>
        <w:t xml:space="preserve">, </w:t>
      </w:r>
      <w:r>
        <w:rPr>
          <w:rFonts w:hint="default" w:ascii="Times New Roman" w:hAnsi="Times New Roman" w:cs="Times New Roman"/>
          <w:lang w:val="en-US" w:eastAsia="zh-CN"/>
        </w:rPr>
        <w:t>2015</w:t>
      </w:r>
      <w:r>
        <w:rPr>
          <w:rFonts w:hint="default" w:ascii="Times New Roman" w:hAnsi="Times New Roman" w:cs="Times New Roman"/>
          <w:lang w:val="de-DE" w:eastAsia="zh-CN"/>
        </w:rPr>
        <w:t>, S. 374.</w:t>
      </w:r>
    </w:p>
  </w:footnote>
  <w:footnote w:id="74">
    <w:p w14:paraId="50A70FC9">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eastAsia" w:ascii="Times New Roman" w:hAnsi="Times New Roman" w:cs="Times New Roman"/>
          <w:lang w:val="en-US" w:eastAsia="zh-CN"/>
        </w:rPr>
        <w:t xml:space="preserve">Vgl. </w:t>
      </w:r>
      <w:r>
        <w:rPr>
          <w:rFonts w:hint="default" w:ascii="Times New Roman" w:hAnsi="Times New Roman" w:cs="Times New Roman"/>
          <w:i/>
          <w:iCs/>
          <w:lang w:val="de-DE"/>
        </w:rPr>
        <w:t>Newmark, T</w:t>
      </w:r>
      <w:r>
        <w:rPr>
          <w:rFonts w:hint="eastAsia" w:ascii="Times New Roman" w:hAnsi="Times New Roman" w:cs="Times New Roman"/>
          <w:i/>
          <w:iCs/>
          <w:lang w:val="en-US" w:eastAsia="zh-CN"/>
        </w:rPr>
        <w:t>.</w:t>
      </w:r>
      <w:r>
        <w:rPr>
          <w:rFonts w:hint="default" w:ascii="Times New Roman" w:hAnsi="Times New Roman" w:cs="Times New Roman"/>
          <w:i/>
          <w:iCs/>
          <w:lang w:val="de-DE"/>
        </w:rPr>
        <w:t xml:space="preserve"> E., Pena, T</w:t>
      </w:r>
      <w:r>
        <w:rPr>
          <w:rFonts w:hint="eastAsia" w:ascii="Times New Roman" w:hAnsi="Times New Roman" w:cs="Times New Roman"/>
          <w:i/>
          <w:iCs/>
          <w:lang w:val="en-US" w:eastAsia="zh-CN"/>
        </w:rPr>
        <w:t>.</w:t>
      </w:r>
      <w:r>
        <w:rPr>
          <w:rFonts w:hint="default" w:ascii="Times New Roman" w:hAnsi="Times New Roman" w:cs="Times New Roman"/>
          <w:i/>
          <w:iCs/>
          <w:lang w:val="de-DE"/>
        </w:rPr>
        <w:t xml:space="preserve"> E.</w:t>
      </w:r>
      <w:r>
        <w:rPr>
          <w:rFonts w:hint="eastAsia" w:ascii="Times New Roman" w:hAnsi="Times New Roman" w:cs="Times New Roman"/>
          <w:i/>
          <w:iCs/>
          <w:lang w:val="en-US" w:eastAsia="zh-CN"/>
        </w:rPr>
        <w:t xml:space="preserve">, </w:t>
      </w:r>
      <w:r>
        <w:rPr>
          <w:rFonts w:hint="default" w:ascii="Times New Roman" w:hAnsi="Times New Roman" w:cs="Times New Roman"/>
          <w:lang w:val="de-DE"/>
        </w:rPr>
        <w:t>Impact Investing, 2024</w:t>
      </w:r>
      <w:r>
        <w:rPr>
          <w:rFonts w:hint="eastAsia" w:ascii="Times New Roman" w:hAnsi="Times New Roman" w:cs="Times New Roman"/>
          <w:lang w:val="en-US" w:eastAsia="zh-CN"/>
        </w:rPr>
        <w:t>, S. 157.</w:t>
      </w:r>
    </w:p>
  </w:footnote>
  <w:footnote w:id="75">
    <w:p w14:paraId="7E54841F">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sz w:val="20"/>
          <w:szCs w:val="20"/>
          <w:lang w:val="de-DE" w:eastAsia="zh-CN"/>
        </w:rPr>
        <w:t xml:space="preserve">Wendt, K., </w:t>
      </w:r>
      <w:r>
        <w:rPr>
          <w:rFonts w:hint="default" w:ascii="Times New Roman" w:hAnsi="Times New Roman" w:cs="Times New Roman"/>
          <w:sz w:val="20"/>
          <w:szCs w:val="20"/>
          <w:lang w:val="de-DE" w:eastAsia="zh-CN"/>
        </w:rPr>
        <w:t>Investing for Impact, 2021, S. 294.</w:t>
      </w:r>
    </w:p>
  </w:footnote>
  <w:footnote w:id="76">
    <w:p w14:paraId="3B9B5AAF">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Jacob, M., </w:t>
      </w:r>
      <w:r>
        <w:rPr>
          <w:rFonts w:hint="default" w:ascii="Times New Roman" w:hAnsi="Times New Roman" w:cs="Times New Roman"/>
          <w:lang w:val="de-DE"/>
        </w:rPr>
        <w:t>Ökonomische Nachhaltigkeit, 2025, S. 57.</w:t>
      </w:r>
    </w:p>
  </w:footnote>
  <w:footnote w:id="77">
    <w:p w14:paraId="44C25BA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da Silva, A. F. u. a., </w:t>
      </w:r>
      <w:r>
        <w:rPr>
          <w:rFonts w:hint="default" w:ascii="Times New Roman" w:hAnsi="Times New Roman" w:cs="Times New Roman"/>
          <w:lang w:val="de-DE"/>
        </w:rPr>
        <w:t>ESG Performance, 2025, S. 52.</w:t>
      </w:r>
    </w:p>
  </w:footnote>
  <w:footnote w:id="78">
    <w:p w14:paraId="5B172E0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Bannick, M. u. a., </w:t>
      </w:r>
      <w:r>
        <w:rPr>
          <w:rFonts w:hint="default" w:ascii="Times New Roman" w:hAnsi="Times New Roman" w:cs="Times New Roman"/>
          <w:lang w:val="de-DE"/>
        </w:rPr>
        <w:t>Social Impact, 2015, S. 27.</w:t>
      </w:r>
    </w:p>
  </w:footnote>
  <w:footnote w:id="79">
    <w:p w14:paraId="22A8897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Jacob, M., </w:t>
      </w:r>
      <w:r>
        <w:rPr>
          <w:rFonts w:hint="default" w:ascii="Times New Roman" w:hAnsi="Times New Roman" w:cs="Times New Roman"/>
          <w:lang w:val="de-DE"/>
        </w:rPr>
        <w:t>Ökonomische Nachhaltigkeit, 2025, S. 57.</w:t>
      </w:r>
    </w:p>
  </w:footnote>
  <w:footnote w:id="80">
    <w:p w14:paraId="5945561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eastAsia" w:ascii="Times New Roman" w:hAnsi="Times New Roman" w:cs="Times New Roman"/>
          <w:lang w:val="en-US" w:eastAsia="zh-CN"/>
        </w:rPr>
        <w:t xml:space="preserve">Vgl. </w:t>
      </w:r>
      <w:r>
        <w:rPr>
          <w:rFonts w:hint="default" w:ascii="Times New Roman" w:hAnsi="Times New Roman" w:cs="Times New Roman"/>
          <w:i/>
          <w:iCs/>
          <w:lang w:val="de-DE"/>
        </w:rPr>
        <w:t>Newmark, T</w:t>
      </w:r>
      <w:r>
        <w:rPr>
          <w:rFonts w:hint="eastAsia" w:ascii="Times New Roman" w:hAnsi="Times New Roman" w:cs="Times New Roman"/>
          <w:i/>
          <w:iCs/>
          <w:lang w:val="en-US" w:eastAsia="zh-CN"/>
        </w:rPr>
        <w:t>.</w:t>
      </w:r>
      <w:r>
        <w:rPr>
          <w:rFonts w:hint="default" w:ascii="Times New Roman" w:hAnsi="Times New Roman" w:cs="Times New Roman"/>
          <w:i/>
          <w:iCs/>
          <w:lang w:val="de-DE"/>
        </w:rPr>
        <w:t xml:space="preserve"> E., Pena, T</w:t>
      </w:r>
      <w:r>
        <w:rPr>
          <w:rFonts w:hint="eastAsia" w:ascii="Times New Roman" w:hAnsi="Times New Roman" w:cs="Times New Roman"/>
          <w:i/>
          <w:iCs/>
          <w:lang w:val="en-US" w:eastAsia="zh-CN"/>
        </w:rPr>
        <w:t>.</w:t>
      </w:r>
      <w:r>
        <w:rPr>
          <w:rFonts w:hint="default" w:ascii="Times New Roman" w:hAnsi="Times New Roman" w:cs="Times New Roman"/>
          <w:i/>
          <w:iCs/>
          <w:lang w:val="de-DE"/>
        </w:rPr>
        <w:t xml:space="preserve"> E.</w:t>
      </w:r>
      <w:r>
        <w:rPr>
          <w:rFonts w:hint="eastAsia" w:ascii="Times New Roman" w:hAnsi="Times New Roman" w:cs="Times New Roman"/>
          <w:i/>
          <w:iCs/>
          <w:lang w:val="en-US" w:eastAsia="zh-CN"/>
        </w:rPr>
        <w:t xml:space="preserve">, </w:t>
      </w:r>
      <w:r>
        <w:rPr>
          <w:rFonts w:hint="default" w:ascii="Times New Roman" w:hAnsi="Times New Roman" w:cs="Times New Roman"/>
          <w:lang w:val="de-DE"/>
        </w:rPr>
        <w:t>Impact Investing, 2024</w:t>
      </w:r>
      <w:r>
        <w:rPr>
          <w:rFonts w:hint="eastAsia" w:ascii="Times New Roman" w:hAnsi="Times New Roman" w:cs="Times New Roman"/>
          <w:lang w:val="en-US" w:eastAsia="zh-CN"/>
        </w:rPr>
        <w:t>, S. 158.</w:t>
      </w:r>
    </w:p>
  </w:footnote>
  <w:footnote w:id="81">
    <w:p w14:paraId="05D3E702">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Schiffleitner, K., </w:t>
      </w:r>
      <w:r>
        <w:rPr>
          <w:rFonts w:hint="default" w:ascii="Times New Roman" w:hAnsi="Times New Roman" w:cs="Times New Roman"/>
          <w:lang w:val="de-DE"/>
        </w:rPr>
        <w:t>Sustainability Reporting, 2025, S. 141.</w:t>
      </w:r>
    </w:p>
  </w:footnote>
  <w:footnote w:id="82">
    <w:p w14:paraId="6BC0CBCA">
      <w:pPr>
        <w:pStyle w:val="35"/>
        <w:snapToGrid w:val="0"/>
        <w:jc w:val="left"/>
        <w:rPr>
          <w:rFonts w:hint="default" w:ascii="Times New Roman" w:hAnsi="Times New Roman" w:eastAsia="宋体" w:cs="Times New Roman"/>
          <w:lang w:val="en-US"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eastAsia" w:ascii="Times New Roman" w:hAnsi="Times New Roman" w:cs="Times New Roman"/>
          <w:lang w:val="en-US" w:eastAsia="zh-CN"/>
        </w:rPr>
        <w:t xml:space="preserve">Vgl. </w:t>
      </w:r>
      <w:r>
        <w:rPr>
          <w:rFonts w:hint="default" w:ascii="Times New Roman" w:hAnsi="Times New Roman" w:cs="Times New Roman"/>
          <w:i/>
          <w:iCs/>
          <w:lang w:val="de-DE"/>
        </w:rPr>
        <w:t>Subran, L</w:t>
      </w:r>
      <w:r>
        <w:rPr>
          <w:rFonts w:hint="eastAsia" w:ascii="Times New Roman" w:hAnsi="Times New Roman" w:cs="Times New Roman"/>
          <w:i/>
          <w:iCs/>
          <w:lang w:val="en-US" w:eastAsia="zh-CN"/>
        </w:rPr>
        <w:t>.</w:t>
      </w:r>
      <w:r>
        <w:rPr>
          <w:rFonts w:hint="default" w:ascii="Times New Roman" w:hAnsi="Times New Roman" w:cs="Times New Roman"/>
          <w:i/>
          <w:iCs/>
          <w:lang w:val="de-DE"/>
        </w:rPr>
        <w:t>, Zimmer, M</w:t>
      </w:r>
      <w:r>
        <w:rPr>
          <w:rFonts w:hint="eastAsia" w:ascii="Times New Roman" w:hAnsi="Times New Roman" w:cs="Times New Roman"/>
          <w:i/>
          <w:iCs/>
          <w:lang w:val="en-US" w:eastAsia="zh-CN"/>
        </w:rPr>
        <w:t xml:space="preserve">., </w:t>
      </w:r>
      <w:r>
        <w:rPr>
          <w:rFonts w:hint="default" w:ascii="Times New Roman" w:hAnsi="Times New Roman" w:cs="Times New Roman"/>
          <w:lang w:val="de-DE"/>
        </w:rPr>
        <w:t xml:space="preserve">Investing, </w:t>
      </w:r>
      <w:r>
        <w:rPr>
          <w:rFonts w:hint="default" w:ascii="Times New Roman" w:hAnsi="Times New Roman" w:cs="Times New Roman"/>
        </w:rPr>
        <w:t>2023</w:t>
      </w:r>
      <w:r>
        <w:rPr>
          <w:rFonts w:hint="eastAsia" w:ascii="Times New Roman" w:hAnsi="Times New Roman" w:cs="Times New Roman"/>
          <w:lang w:val="en-US" w:eastAsia="zh-CN"/>
        </w:rPr>
        <w:t xml:space="preserve">, S. </w:t>
      </w:r>
    </w:p>
  </w:footnote>
  <w:footnote w:id="83">
    <w:p w14:paraId="1F40F1E1">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Fabisch, N., </w:t>
      </w:r>
      <w:r>
        <w:rPr>
          <w:rFonts w:hint="default" w:ascii="Times New Roman" w:hAnsi="Times New Roman" w:cs="Times New Roman"/>
          <w:lang w:val="de-DE"/>
        </w:rPr>
        <w:t>Nachhaltigkeitsziel, 2025, S. 644.</w:t>
      </w:r>
    </w:p>
  </w:footnote>
  <w:footnote w:id="84">
    <w:p w14:paraId="22964D01">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sz w:val="20"/>
          <w:szCs w:val="20"/>
          <w:highlight w:val="none"/>
          <w:lang w:val="de-DE" w:eastAsia="zh-CN"/>
        </w:rPr>
        <w:t xml:space="preserve">von Schnurbein, G., </w:t>
      </w:r>
      <w:r>
        <w:rPr>
          <w:rFonts w:hint="default" w:ascii="Times New Roman" w:hAnsi="Times New Roman" w:cs="Times New Roman"/>
          <w:sz w:val="20"/>
          <w:szCs w:val="20"/>
          <w:highlight w:val="none"/>
          <w:lang w:val="de-DE" w:eastAsia="zh-CN"/>
        </w:rPr>
        <w:t>Finanzmanagement, 2023, S. 323.</w:t>
      </w:r>
    </w:p>
  </w:footnote>
  <w:footnote w:id="85">
    <w:p w14:paraId="6877081A">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lang w:val="de-DE"/>
        </w:rPr>
        <w:t xml:space="preserve">Prigge, S., Sobottka, R. D., </w:t>
      </w:r>
      <w:r>
        <w:rPr>
          <w:rFonts w:hint="default" w:ascii="Times New Roman" w:hAnsi="Times New Roman" w:cs="Times New Roman"/>
          <w:lang w:val="de-DE"/>
        </w:rPr>
        <w:t>Active Ownership, 2025, S. 70.</w:t>
      </w:r>
    </w:p>
  </w:footnote>
  <w:footnote w:id="86">
    <w:p w14:paraId="5897DDD6">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lang w:val="de-DE"/>
        </w:rPr>
        <w:t xml:space="preserve">Mettgenberg-Lemiere, M., </w:t>
      </w:r>
      <w:r>
        <w:rPr>
          <w:rFonts w:hint="default" w:ascii="Times New Roman" w:hAnsi="Times New Roman" w:cs="Times New Roman"/>
          <w:lang w:val="de-DE"/>
        </w:rPr>
        <w:t>Impact Assessment, 2016, S. 69.</w:t>
      </w:r>
    </w:p>
  </w:footnote>
  <w:footnote w:id="87">
    <w:p w14:paraId="05962A7A">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lang w:val="de-DE"/>
        </w:rPr>
        <w:t xml:space="preserve">Mondello, E., </w:t>
      </w:r>
      <w:r>
        <w:rPr>
          <w:rFonts w:hint="default" w:ascii="Times New Roman" w:hAnsi="Times New Roman" w:cs="Times New Roman"/>
          <w:lang w:val="de-DE"/>
        </w:rPr>
        <w:t>Corporate Finance, 2022, S. 107.</w:t>
      </w:r>
    </w:p>
  </w:footnote>
  <w:footnote w:id="88">
    <w:p w14:paraId="57E4C2C0">
      <w:pPr>
        <w:pStyle w:val="35"/>
        <w:snapToGrid w:val="0"/>
        <w:rPr>
          <w:rFonts w:hint="default" w:eastAsia="宋体"/>
          <w:lang w:val="en-US" w:eastAsia="zh-CN"/>
        </w:rPr>
      </w:pPr>
      <w:r>
        <w:rPr>
          <w:rStyle w:val="52"/>
        </w:rPr>
        <w:footnoteRef/>
      </w:r>
      <w:r>
        <w:t xml:space="preserve"> </w:t>
      </w:r>
      <w:r>
        <w:rPr>
          <w:lang w:val="de-DE"/>
        </w:rPr>
        <w:t xml:space="preserve">Vgl. </w:t>
      </w:r>
      <w:r>
        <w:rPr>
          <w:rFonts w:hint="default" w:ascii="Times New Roman" w:hAnsi="Times New Roman" w:cs="Times New Roman"/>
          <w:i/>
          <w:iCs/>
          <w:lang w:val="de-DE"/>
        </w:rPr>
        <w:t xml:space="preserve">Aebi, C., </w:t>
      </w:r>
      <w:r>
        <w:rPr>
          <w:rFonts w:hint="default" w:ascii="Times New Roman" w:hAnsi="Times New Roman" w:cs="Times New Roman"/>
          <w:lang w:val="de-DE"/>
        </w:rPr>
        <w:t xml:space="preserve">Sustainability, 2025, S. </w:t>
      </w:r>
      <w:r>
        <w:rPr>
          <w:rFonts w:hint="eastAsia" w:ascii="Times New Roman" w:hAnsi="Times New Roman" w:cs="Times New Roman"/>
          <w:lang w:val="en-US" w:eastAsia="zh-CN"/>
        </w:rPr>
        <w:t>11.</w:t>
      </w:r>
    </w:p>
  </w:footnote>
  <w:footnote w:id="89">
    <w:p w14:paraId="0C5B9970">
      <w:pPr>
        <w:pStyle w:val="35"/>
        <w:snapToGrid w:val="0"/>
      </w:pPr>
      <w:r>
        <w:rPr>
          <w:rStyle w:val="52"/>
        </w:rPr>
        <w:footnoteRef/>
      </w:r>
      <w: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Freiling, J., Harima, J., </w:t>
      </w:r>
      <w:r>
        <w:rPr>
          <w:rFonts w:hint="default" w:ascii="Times New Roman" w:hAnsi="Times New Roman" w:cs="Times New Roman"/>
          <w:lang w:val="de-DE"/>
        </w:rPr>
        <w:t>Entrepreneurship, 2024, S. 310.</w:t>
      </w:r>
    </w:p>
  </w:footnote>
  <w:footnote w:id="90">
    <w:p w14:paraId="3048A520">
      <w:pPr>
        <w:pStyle w:val="35"/>
        <w:snapToGrid w:val="0"/>
      </w:pPr>
      <w:r>
        <w:rPr>
          <w:rStyle w:val="52"/>
        </w:rPr>
        <w:footnoteRef/>
      </w:r>
      <w:r>
        <w:t xml:space="preserve"> </w:t>
      </w:r>
      <w:r>
        <w:rPr>
          <w:rFonts w:hint="eastAsia"/>
          <w:lang w:val="en-US" w:eastAsia="zh-CN"/>
        </w:rPr>
        <w:t xml:space="preserve">Vgl. </w:t>
      </w:r>
      <w:r>
        <w:rPr>
          <w:rFonts w:hint="default" w:ascii="Times New Roman" w:hAnsi="Times New Roman" w:cs="Times New Roman"/>
          <w:i/>
          <w:iCs/>
          <w:sz w:val="20"/>
          <w:szCs w:val="20"/>
          <w:highlight w:val="none"/>
          <w:lang w:val="de-DE" w:eastAsia="zh-CN"/>
        </w:rPr>
        <w:t xml:space="preserve">von Schnurbein, G., </w:t>
      </w:r>
      <w:r>
        <w:rPr>
          <w:rFonts w:hint="default" w:ascii="Times New Roman" w:hAnsi="Times New Roman" w:cs="Times New Roman"/>
          <w:sz w:val="20"/>
          <w:szCs w:val="20"/>
          <w:highlight w:val="none"/>
          <w:lang w:val="de-DE" w:eastAsia="zh-CN"/>
        </w:rPr>
        <w:t>Finanzmanagement, 2023, S. 323.</w:t>
      </w:r>
    </w:p>
  </w:footnote>
  <w:footnote w:id="91">
    <w:p w14:paraId="77BF419C">
      <w:pPr>
        <w:pStyle w:val="35"/>
        <w:snapToGrid w:val="0"/>
        <w:rPr>
          <w:rFonts w:hint="default" w:eastAsia="宋体"/>
          <w:lang w:val="en-US" w:eastAsia="zh-CN"/>
        </w:rPr>
      </w:pPr>
      <w:r>
        <w:rPr>
          <w:rStyle w:val="52"/>
        </w:rPr>
        <w:footnoteRef/>
      </w:r>
      <w:r>
        <w:t xml:space="preserve"> </w:t>
      </w:r>
      <w:r>
        <w:rPr>
          <w:rFonts w:hint="eastAsia"/>
          <w:lang w:val="en-US" w:eastAsia="zh-CN"/>
        </w:rPr>
        <w:t xml:space="preserve">Vgl. </w:t>
      </w:r>
      <w:r>
        <w:rPr>
          <w:rFonts w:hint="default" w:ascii="Times New Roman" w:hAnsi="Times New Roman" w:cs="Times New Roman"/>
          <w:i/>
          <w:iCs/>
          <w:lang w:val="de-DE"/>
        </w:rPr>
        <w:t>Kimura, F</w:t>
      </w:r>
      <w:r>
        <w:rPr>
          <w:rFonts w:hint="eastAsia" w:ascii="Times New Roman" w:hAnsi="Times New Roman" w:cs="Times New Roman"/>
          <w:i/>
          <w:iCs/>
          <w:lang w:val="en-US" w:eastAsia="zh-CN"/>
        </w:rPr>
        <w:t xml:space="preserve">. u. a., </w:t>
      </w:r>
      <w:r>
        <w:rPr>
          <w:rFonts w:hint="default" w:ascii="Times New Roman" w:hAnsi="Times New Roman" w:cs="Times New Roman"/>
          <w:lang w:val="de-DE"/>
        </w:rPr>
        <w:t>Social Enterprises, 2023</w:t>
      </w:r>
      <w:r>
        <w:rPr>
          <w:rFonts w:hint="eastAsia" w:ascii="Times New Roman" w:hAnsi="Times New Roman" w:cs="Times New Roman"/>
          <w:lang w:val="en-US" w:eastAsia="zh-CN"/>
        </w:rPr>
        <w:t>, S. 42.</w:t>
      </w:r>
    </w:p>
  </w:footnote>
  <w:footnote w:id="92">
    <w:p w14:paraId="1959CEE9">
      <w:pPr>
        <w:pStyle w:val="35"/>
        <w:snapToGrid w:val="0"/>
      </w:pPr>
      <w:r>
        <w:rPr>
          <w:rStyle w:val="52"/>
        </w:rPr>
        <w:footnoteRef/>
      </w:r>
      <w:r>
        <w:t xml:space="preserve"> </w:t>
      </w:r>
      <w:r>
        <w:rPr>
          <w:lang w:val="de-DE"/>
        </w:rPr>
        <w:t xml:space="preserve">Vgl. </w:t>
      </w:r>
      <w:r>
        <w:rPr>
          <w:rFonts w:hint="default" w:ascii="Times New Roman" w:hAnsi="Times New Roman" w:cs="Times New Roman"/>
          <w:i/>
          <w:iCs/>
          <w:lang w:val="de-DE"/>
        </w:rPr>
        <w:t xml:space="preserve">Aebi, C., </w:t>
      </w:r>
      <w:r>
        <w:rPr>
          <w:rFonts w:hint="default" w:ascii="Times New Roman" w:hAnsi="Times New Roman" w:cs="Times New Roman"/>
          <w:lang w:val="de-DE"/>
        </w:rPr>
        <w:t xml:space="preserve">Sustainability, 2025, S. </w:t>
      </w:r>
      <w:r>
        <w:rPr>
          <w:rFonts w:hint="eastAsia" w:ascii="Times New Roman" w:hAnsi="Times New Roman" w:cs="Times New Roman"/>
          <w:lang w:val="en-US" w:eastAsia="zh-CN"/>
        </w:rPr>
        <w:t>7.</w:t>
      </w:r>
    </w:p>
  </w:footnote>
  <w:footnote w:id="93">
    <w:p w14:paraId="5BAEEFEF">
      <w:pPr>
        <w:pStyle w:val="35"/>
        <w:snapToGrid w:val="0"/>
      </w:pPr>
      <w:r>
        <w:rPr>
          <w:rStyle w:val="52"/>
        </w:rPr>
        <w:footnoteRef/>
      </w:r>
      <w: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Schäfer, J., Zheng, J., </w:t>
      </w:r>
      <w:r>
        <w:rPr>
          <w:rFonts w:hint="default" w:ascii="Times New Roman" w:hAnsi="Times New Roman" w:cs="Times New Roman"/>
          <w:lang w:val="de-DE"/>
        </w:rPr>
        <w:t>Green Bonds, 2025, S. 165.</w:t>
      </w:r>
    </w:p>
  </w:footnote>
  <w:footnote w:id="94">
    <w:p w14:paraId="287A703F">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lang w:val="de-DE"/>
        </w:rPr>
        <w:t xml:space="preserve">Graf Adelmann v. A., Q., </w:t>
      </w:r>
      <w:r>
        <w:rPr>
          <w:rFonts w:hint="default" w:ascii="Times New Roman" w:hAnsi="Times New Roman" w:cs="Times New Roman"/>
          <w:lang w:val="de-DE"/>
        </w:rPr>
        <w:t>Unternehmensfinanzierung, 2023, S. 39.</w:t>
      </w:r>
    </w:p>
  </w:footnote>
  <w:footnote w:id="95">
    <w:p w14:paraId="1AF8FA9D">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Mia, M. A., </w:t>
      </w:r>
      <w:r>
        <w:rPr>
          <w:rFonts w:hint="default" w:ascii="Times New Roman" w:hAnsi="Times New Roman" w:cs="Times New Roman"/>
          <w:lang w:val="de-DE"/>
        </w:rPr>
        <w:t>Microfinance, 2022, S. 150.</w:t>
      </w:r>
    </w:p>
  </w:footnote>
  <w:footnote w:id="96">
    <w:p w14:paraId="07A3132F">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Bannick, M. u. a., </w:t>
      </w:r>
      <w:r>
        <w:rPr>
          <w:rFonts w:hint="default" w:ascii="Times New Roman" w:hAnsi="Times New Roman" w:cs="Times New Roman"/>
          <w:lang w:val="de-DE"/>
        </w:rPr>
        <w:t>Social Impact, 2015, S. 8.</w:t>
      </w:r>
    </w:p>
  </w:footnote>
  <w:footnote w:id="97">
    <w:p w14:paraId="631A32A3">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Daggers, J., Nicholls, Al., </w:t>
      </w:r>
      <w:r>
        <w:rPr>
          <w:rFonts w:hint="default" w:ascii="Times New Roman" w:hAnsi="Times New Roman" w:cs="Times New Roman"/>
          <w:lang w:val="de-DE" w:eastAsia="zh-CN"/>
        </w:rPr>
        <w:t>Impact Investment, 2016, S. 7.</w:t>
      </w:r>
    </w:p>
  </w:footnote>
  <w:footnote w:id="98">
    <w:p w14:paraId="38CD0AFC">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Nicholls, A</w:t>
      </w:r>
      <w:r>
        <w:rPr>
          <w:rFonts w:hint="default" w:ascii="Times New Roman" w:hAnsi="Times New Roman" w:cs="Times New Roman"/>
          <w:i/>
          <w:iCs/>
          <w:lang w:val="de-DE"/>
        </w:rPr>
        <w:t xml:space="preserve">. u. a., </w:t>
      </w:r>
      <w:r>
        <w:rPr>
          <w:rFonts w:hint="default" w:ascii="Times New Roman" w:hAnsi="Times New Roman" w:cs="Times New Roman"/>
          <w:lang w:val="de-DE" w:eastAsia="zh-CN"/>
        </w:rPr>
        <w:t>S</w:t>
      </w:r>
      <w:r>
        <w:rPr>
          <w:rFonts w:hint="default" w:ascii="Times New Roman" w:hAnsi="Times New Roman" w:cs="Times New Roman"/>
          <w:lang w:val="en-US" w:eastAsia="zh-CN"/>
        </w:rPr>
        <w:t xml:space="preserve">ocial </w:t>
      </w:r>
      <w:r>
        <w:rPr>
          <w:rFonts w:hint="default" w:ascii="Times New Roman" w:hAnsi="Times New Roman" w:cs="Times New Roman"/>
          <w:lang w:val="de-DE" w:eastAsia="zh-CN"/>
        </w:rPr>
        <w:t>f</w:t>
      </w:r>
      <w:r>
        <w:rPr>
          <w:rFonts w:hint="default" w:ascii="Times New Roman" w:hAnsi="Times New Roman" w:cs="Times New Roman"/>
          <w:lang w:val="en-US" w:eastAsia="zh-CN"/>
        </w:rPr>
        <w:t>inance</w:t>
      </w:r>
      <w:r>
        <w:rPr>
          <w:rFonts w:hint="default" w:ascii="Times New Roman" w:hAnsi="Times New Roman" w:cs="Times New Roman"/>
          <w:lang w:val="de-DE" w:eastAsia="zh-CN"/>
        </w:rPr>
        <w:t xml:space="preserve">, </w:t>
      </w:r>
      <w:r>
        <w:rPr>
          <w:rFonts w:hint="default" w:ascii="Times New Roman" w:hAnsi="Times New Roman" w:cs="Times New Roman"/>
          <w:lang w:val="en-US" w:eastAsia="zh-CN"/>
        </w:rPr>
        <w:t>2015</w:t>
      </w:r>
      <w:r>
        <w:rPr>
          <w:rFonts w:hint="default" w:ascii="Times New Roman" w:hAnsi="Times New Roman" w:cs="Times New Roman"/>
          <w:lang w:val="de-DE" w:eastAsia="zh-CN"/>
        </w:rPr>
        <w:t>, S. 396.</w:t>
      </w:r>
    </w:p>
  </w:footnote>
  <w:footnote w:id="99">
    <w:p w14:paraId="0DEA562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eastAsia"/>
          <w:lang w:val="en-US" w:eastAsia="zh-CN"/>
        </w:rPr>
        <w:t xml:space="preserve">Vgl. </w:t>
      </w:r>
      <w:r>
        <w:rPr>
          <w:rFonts w:hint="default" w:ascii="Times New Roman" w:hAnsi="Times New Roman" w:cs="Times New Roman"/>
          <w:i/>
          <w:iCs/>
          <w:lang w:val="de-DE"/>
        </w:rPr>
        <w:t>Kimura, F</w:t>
      </w:r>
      <w:r>
        <w:rPr>
          <w:rFonts w:hint="eastAsia" w:ascii="Times New Roman" w:hAnsi="Times New Roman" w:cs="Times New Roman"/>
          <w:i/>
          <w:iCs/>
          <w:lang w:val="en-US" w:eastAsia="zh-CN"/>
        </w:rPr>
        <w:t xml:space="preserve">. u. a., </w:t>
      </w:r>
      <w:r>
        <w:rPr>
          <w:rFonts w:hint="default" w:ascii="Times New Roman" w:hAnsi="Times New Roman" w:cs="Times New Roman"/>
          <w:lang w:val="de-DE"/>
        </w:rPr>
        <w:t>Social Enterprises, 2023</w:t>
      </w:r>
      <w:r>
        <w:rPr>
          <w:rFonts w:hint="eastAsia" w:ascii="Times New Roman" w:hAnsi="Times New Roman" w:cs="Times New Roman"/>
          <w:lang w:val="en-US" w:eastAsia="zh-CN"/>
        </w:rPr>
        <w:t>, S. 42.</w:t>
      </w:r>
    </w:p>
  </w:footnote>
  <w:footnote w:id="100">
    <w:p w14:paraId="12C4C34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lang w:val="de-DE"/>
        </w:rPr>
        <w:t xml:space="preserve">Vgl. </w:t>
      </w:r>
      <w:r>
        <w:rPr>
          <w:rFonts w:hint="default" w:ascii="Times New Roman" w:hAnsi="Times New Roman" w:cs="Times New Roman"/>
          <w:i/>
          <w:iCs/>
          <w:lang w:val="de-DE"/>
        </w:rPr>
        <w:t xml:space="preserve">Prigge, S., Sobottka, R. D., </w:t>
      </w:r>
      <w:r>
        <w:rPr>
          <w:rFonts w:hint="default" w:ascii="Times New Roman" w:hAnsi="Times New Roman" w:cs="Times New Roman"/>
          <w:lang w:val="de-DE"/>
        </w:rPr>
        <w:t>Active Ownership, 2025, S. 71.</w:t>
      </w:r>
    </w:p>
  </w:footnote>
  <w:footnote w:id="101">
    <w:p w14:paraId="6A3FF20B">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lang w:val="de-DE"/>
        </w:rPr>
        <w:t xml:space="preserve">Vgl. </w:t>
      </w:r>
      <w:r>
        <w:rPr>
          <w:rFonts w:hint="default" w:ascii="Times New Roman" w:hAnsi="Times New Roman" w:cs="Times New Roman"/>
          <w:i/>
          <w:iCs/>
          <w:lang w:val="de-DE"/>
        </w:rPr>
        <w:t xml:space="preserve">Graf Adelmann v. A., Q., </w:t>
      </w:r>
      <w:r>
        <w:rPr>
          <w:rFonts w:hint="default" w:ascii="Times New Roman" w:hAnsi="Times New Roman" w:cs="Times New Roman"/>
          <w:lang w:val="de-DE"/>
        </w:rPr>
        <w:t>Unternehmensfinanzierung, 2023, S. 53.</w:t>
      </w:r>
    </w:p>
  </w:footnote>
  <w:footnote w:id="102">
    <w:p w14:paraId="3283E69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Freiling, J., Harima, J., </w:t>
      </w:r>
      <w:r>
        <w:rPr>
          <w:rFonts w:hint="default" w:ascii="Times New Roman" w:hAnsi="Times New Roman" w:cs="Times New Roman"/>
          <w:lang w:val="de-DE"/>
        </w:rPr>
        <w:t>Entrepreneurship, 2024, S. 88.</w:t>
      </w:r>
    </w:p>
  </w:footnote>
  <w:footnote w:id="103">
    <w:p w14:paraId="1A7659B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Bhattacharya, P. u. a., </w:t>
      </w:r>
      <w:r>
        <w:rPr>
          <w:rFonts w:hint="default" w:ascii="Times New Roman" w:hAnsi="Times New Roman" w:cs="Times New Roman"/>
          <w:lang w:val="de-DE"/>
        </w:rPr>
        <w:t>TBL, 2025, S. 225.</w:t>
      </w:r>
    </w:p>
  </w:footnote>
  <w:footnote w:id="104">
    <w:p w14:paraId="1743A3F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Tavanti, M., </w:t>
      </w:r>
      <w:r>
        <w:rPr>
          <w:rFonts w:hint="default" w:ascii="Times New Roman" w:hAnsi="Times New Roman" w:cs="Times New Roman"/>
          <w:lang w:val="de-DE"/>
        </w:rPr>
        <w:t>Sustainability, 2025, S. 52.</w:t>
      </w:r>
    </w:p>
  </w:footnote>
  <w:footnote w:id="105">
    <w:p w14:paraId="78C6F757">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Ragazou, K. u. a., </w:t>
      </w:r>
      <w:r>
        <w:rPr>
          <w:rFonts w:hint="default" w:ascii="Times New Roman" w:hAnsi="Times New Roman" w:cs="Times New Roman"/>
          <w:lang w:val="de-DE"/>
        </w:rPr>
        <w:t>TBL, 2024, S. 2.</w:t>
      </w:r>
    </w:p>
  </w:footnote>
  <w:footnote w:id="106">
    <w:p w14:paraId="672B677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Bhattacharya, P. u. a., </w:t>
      </w:r>
      <w:r>
        <w:rPr>
          <w:rFonts w:hint="default" w:ascii="Times New Roman" w:hAnsi="Times New Roman" w:cs="Times New Roman"/>
          <w:lang w:val="de-DE"/>
        </w:rPr>
        <w:t>TBL, 2025, S. 230.</w:t>
      </w:r>
    </w:p>
  </w:footnote>
  <w:footnote w:id="107">
    <w:p w14:paraId="50781FE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Spiess-Knafl, W</w:t>
      </w:r>
      <w:r>
        <w:rPr>
          <w:rFonts w:hint="default" w:ascii="Times New Roman" w:hAnsi="Times New Roman" w:cs="Times New Roman"/>
          <w:i/>
          <w:iCs/>
          <w:lang w:val="de-DE"/>
        </w:rPr>
        <w:t>.,</w:t>
      </w:r>
      <w:r>
        <w:rPr>
          <w:rFonts w:hint="default" w:ascii="Times New Roman" w:hAnsi="Times New Roman" w:cs="Times New Roman"/>
          <w:i/>
          <w:iCs/>
        </w:rPr>
        <w:t xml:space="preserve"> Scheck, B</w:t>
      </w:r>
      <w:r>
        <w:rPr>
          <w:rFonts w:hint="default" w:ascii="Times New Roman" w:hAnsi="Times New Roman" w:cs="Times New Roman"/>
          <w:i/>
          <w:iCs/>
          <w:lang w:val="de-DE"/>
        </w:rPr>
        <w:t xml:space="preserve">.,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138.</w:t>
      </w:r>
    </w:p>
  </w:footnote>
  <w:footnote w:id="108">
    <w:p w14:paraId="4686E15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Mondello, E., </w:t>
      </w:r>
      <w:r>
        <w:rPr>
          <w:rFonts w:hint="default" w:ascii="Times New Roman" w:hAnsi="Times New Roman" w:cs="Times New Roman"/>
          <w:lang w:val="de-DE"/>
        </w:rPr>
        <w:t>Corporate Finance, 2022, S. 426.</w:t>
      </w:r>
    </w:p>
  </w:footnote>
  <w:footnote w:id="109">
    <w:p w14:paraId="2D2E1E83">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Mettgenberg-Lemiere, M., </w:t>
      </w:r>
      <w:r>
        <w:rPr>
          <w:rFonts w:hint="default" w:ascii="Times New Roman" w:hAnsi="Times New Roman" w:cs="Times New Roman"/>
          <w:lang w:val="de-DE"/>
        </w:rPr>
        <w:t>Impact Assessment, 2016, S. 37.</w:t>
      </w:r>
    </w:p>
  </w:footnote>
  <w:footnote w:id="110">
    <w:p w14:paraId="7672FE2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Sonntag, M., </w:t>
      </w:r>
      <w:r>
        <w:rPr>
          <w:rFonts w:hint="default" w:ascii="Times New Roman" w:hAnsi="Times New Roman" w:cs="Times New Roman"/>
          <w:lang w:val="de-DE"/>
        </w:rPr>
        <w:t xml:space="preserve">Organisationskultur, </w:t>
      </w:r>
      <w:r>
        <w:rPr>
          <w:rFonts w:hint="default" w:ascii="Times New Roman" w:hAnsi="Times New Roman" w:cs="Times New Roman"/>
        </w:rPr>
        <w:t>2023</w:t>
      </w:r>
      <w:r>
        <w:rPr>
          <w:rFonts w:hint="default" w:ascii="Times New Roman" w:hAnsi="Times New Roman" w:cs="Times New Roman"/>
          <w:lang w:val="de-DE"/>
        </w:rPr>
        <w:t>, S. 154.</w:t>
      </w:r>
    </w:p>
  </w:footnote>
  <w:footnote w:id="111">
    <w:p w14:paraId="1A41A50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Schäfer, H., </w:t>
      </w:r>
      <w:r>
        <w:rPr>
          <w:rFonts w:hint="default" w:ascii="Times New Roman" w:hAnsi="Times New Roman" w:cs="Times New Roman"/>
          <w:i w:val="0"/>
          <w:iCs w:val="0"/>
          <w:lang w:val="de-DE" w:eastAsia="zh-CN"/>
        </w:rPr>
        <w:t>I</w:t>
      </w:r>
      <w:r>
        <w:rPr>
          <w:rFonts w:hint="default" w:ascii="Times New Roman" w:hAnsi="Times New Roman" w:cs="Times New Roman"/>
          <w:lang w:val="de-DE" w:eastAsia="zh-CN"/>
        </w:rPr>
        <w:t>mpact Investing, 2021, S. 252.</w:t>
      </w:r>
    </w:p>
  </w:footnote>
  <w:footnote w:id="112">
    <w:p w14:paraId="17FE64C1">
      <w:pPr>
        <w:pStyle w:val="35"/>
        <w:snapToGrid w:val="0"/>
      </w:pPr>
      <w:r>
        <w:rPr>
          <w:rStyle w:val="52"/>
        </w:rPr>
        <w:footnoteRef/>
      </w:r>
      <w: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Daggers, J., Nicholls, Al., </w:t>
      </w:r>
      <w:r>
        <w:rPr>
          <w:rFonts w:hint="default" w:ascii="Times New Roman" w:hAnsi="Times New Roman" w:cs="Times New Roman"/>
          <w:lang w:val="de-DE" w:eastAsia="zh-CN"/>
        </w:rPr>
        <w:t>Impact Investment, 2016, S. 8.</w:t>
      </w:r>
    </w:p>
  </w:footnote>
  <w:footnote w:id="113">
    <w:p w14:paraId="5C5D9C5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Sonntag, M. u. a., </w:t>
      </w:r>
      <w:r>
        <w:rPr>
          <w:rFonts w:hint="default" w:ascii="Times New Roman" w:hAnsi="Times New Roman" w:cs="Times New Roman"/>
          <w:lang w:val="de-DE" w:eastAsia="zh-CN"/>
        </w:rPr>
        <w:t>Evolutionary investment, 2021, S. 88.</w:t>
      </w:r>
    </w:p>
  </w:footnote>
  <w:footnote w:id="114">
    <w:p w14:paraId="4D40367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Abendroth, S., </w:t>
      </w:r>
      <w:r>
        <w:rPr>
          <w:rFonts w:hint="default" w:ascii="Times New Roman" w:hAnsi="Times New Roman" w:cs="Times New Roman"/>
          <w:lang w:val="de-DE"/>
        </w:rPr>
        <w:t>Nachhaltigkeitsmanagement, 2023, S. 14.</w:t>
      </w:r>
    </w:p>
  </w:footnote>
  <w:footnote w:id="115">
    <w:p w14:paraId="2B59CC96">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Ragazou, K. u. a., </w:t>
      </w:r>
      <w:r>
        <w:rPr>
          <w:rFonts w:hint="default" w:ascii="Times New Roman" w:hAnsi="Times New Roman" w:cs="Times New Roman"/>
          <w:lang w:val="de-DE"/>
        </w:rPr>
        <w:t>TBL, 2024, S. 38.</w:t>
      </w:r>
    </w:p>
  </w:footnote>
  <w:footnote w:id="116">
    <w:p w14:paraId="2DFE0FB7">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Wendt, K., </w:t>
      </w:r>
      <w:r>
        <w:rPr>
          <w:rFonts w:hint="default" w:ascii="Times New Roman" w:hAnsi="Times New Roman" w:cs="Times New Roman"/>
          <w:lang w:val="de-DE" w:eastAsia="zh-CN"/>
        </w:rPr>
        <w:t>Decarbonizing Finance, 2021, S. 239.</w:t>
      </w:r>
    </w:p>
  </w:footnote>
  <w:footnote w:id="117">
    <w:p w14:paraId="309AB3DC">
      <w:pPr>
        <w:pStyle w:val="35"/>
        <w:snapToGrid w:val="0"/>
        <w:jc w:val="left"/>
        <w:rPr>
          <w:rFonts w:hint="eastAsia" w:ascii="Times New Roman" w:hAnsi="Times New Roman" w:eastAsia="宋体" w:cs="Times New Roman"/>
          <w:lang w:val="de-DE"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Wendt, K., </w:t>
      </w:r>
      <w:r>
        <w:rPr>
          <w:rFonts w:hint="default" w:ascii="Times New Roman" w:hAnsi="Times New Roman" w:cs="Times New Roman"/>
          <w:lang w:val="de-DE" w:eastAsia="zh-CN"/>
        </w:rPr>
        <w:t>Investing for Impact, 2021, S. 294.</w:t>
      </w:r>
    </w:p>
  </w:footnote>
  <w:footnote w:id="118">
    <w:p w14:paraId="716FB90D">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Bogsnes, B., </w:t>
      </w:r>
      <w:r>
        <w:rPr>
          <w:rFonts w:hint="default" w:ascii="Times New Roman" w:hAnsi="Times New Roman" w:cs="Times New Roman"/>
          <w:lang w:val="de-DE" w:eastAsia="zh-CN"/>
        </w:rPr>
        <w:t>Performance potential, 2016, S. 234.</w:t>
      </w:r>
    </w:p>
  </w:footnote>
  <w:footnote w:id="119">
    <w:p w14:paraId="4E04D2C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Sonntag, M., </w:t>
      </w:r>
      <w:r>
        <w:rPr>
          <w:rFonts w:hint="default" w:ascii="Times New Roman" w:hAnsi="Times New Roman" w:cs="Times New Roman"/>
          <w:lang w:val="de-DE" w:eastAsia="zh-CN"/>
        </w:rPr>
        <w:t>Evolutionary Economy, 2018, S. 250.</w:t>
      </w:r>
    </w:p>
  </w:footnote>
  <w:footnote w:id="120">
    <w:p w14:paraId="787F558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Margreiter-Otieno, C., Spennlingwimmer, T., </w:t>
      </w:r>
      <w:r>
        <w:rPr>
          <w:rFonts w:hint="default" w:ascii="Times New Roman" w:hAnsi="Times New Roman" w:cs="Times New Roman"/>
          <w:lang w:val="de-DE" w:eastAsia="zh-CN"/>
        </w:rPr>
        <w:t>Impact Innovation, 2024, S. 33.</w:t>
      </w:r>
    </w:p>
  </w:footnote>
  <w:footnote w:id="121">
    <w:p w14:paraId="40A82CA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Then, V. u. a., </w:t>
      </w:r>
      <w:r>
        <w:rPr>
          <w:rFonts w:hint="default" w:ascii="Times New Roman" w:hAnsi="Times New Roman" w:cs="Times New Roman"/>
          <w:lang w:val="de-DE" w:eastAsia="zh-CN"/>
        </w:rPr>
        <w:t>SROI,</w:t>
      </w:r>
      <w:r>
        <w:rPr>
          <w:rFonts w:hint="default" w:ascii="Times New Roman" w:hAnsi="Times New Roman" w:cs="Times New Roman"/>
          <w:lang w:val="de-DE"/>
        </w:rPr>
        <w:t xml:space="preserve"> 2017, S. 13.</w:t>
      </w:r>
    </w:p>
  </w:footnote>
  <w:footnote w:id="122">
    <w:p w14:paraId="36BFB13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Nikolakis, W., da Veiga, R. M., </w:t>
      </w:r>
      <w:r>
        <w:rPr>
          <w:rFonts w:hint="default" w:ascii="Times New Roman" w:hAnsi="Times New Roman" w:cs="Times New Roman"/>
          <w:lang w:val="de-DE"/>
        </w:rPr>
        <w:t>SROI, 2023, S. 3.</w:t>
      </w:r>
    </w:p>
  </w:footnote>
  <w:footnote w:id="123">
    <w:p w14:paraId="5831E9B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da Silva, A. F. u. a., </w:t>
      </w:r>
      <w:r>
        <w:rPr>
          <w:rFonts w:hint="default" w:ascii="Times New Roman" w:hAnsi="Times New Roman" w:cs="Times New Roman"/>
          <w:lang w:val="de-DE"/>
        </w:rPr>
        <w:t>ESG Performance, 2025, S. 52.</w:t>
      </w:r>
    </w:p>
  </w:footnote>
  <w:footnote w:id="124">
    <w:p w14:paraId="1F995D67">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Dalal, S. P. u. a., </w:t>
      </w:r>
      <w:r>
        <w:rPr>
          <w:rFonts w:hint="default" w:ascii="Times New Roman" w:hAnsi="Times New Roman" w:cs="Times New Roman"/>
          <w:lang w:val="de-DE" w:eastAsia="zh-CN"/>
        </w:rPr>
        <w:t>Investment Products, 2015, S. 291.</w:t>
      </w:r>
    </w:p>
  </w:footnote>
  <w:footnote w:id="125">
    <w:p w14:paraId="627E9A2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Richards, A., </w:t>
      </w:r>
      <w:r>
        <w:rPr>
          <w:rFonts w:hint="default" w:ascii="Times New Roman" w:hAnsi="Times New Roman" w:cs="Times New Roman"/>
          <w:lang w:val="de-DE"/>
        </w:rPr>
        <w:t>Social Value, 2023, S. 44.</w:t>
      </w:r>
    </w:p>
  </w:footnote>
  <w:footnote w:id="126">
    <w:p w14:paraId="7796C5A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Then, V. u. a., </w:t>
      </w:r>
      <w:r>
        <w:rPr>
          <w:rFonts w:hint="default" w:ascii="Times New Roman" w:hAnsi="Times New Roman" w:cs="Times New Roman"/>
          <w:lang w:val="de-DE" w:eastAsia="zh-CN"/>
        </w:rPr>
        <w:t>SROI,</w:t>
      </w:r>
      <w:r>
        <w:rPr>
          <w:rFonts w:hint="default" w:ascii="Times New Roman" w:hAnsi="Times New Roman" w:cs="Times New Roman"/>
          <w:lang w:val="de-DE"/>
        </w:rPr>
        <w:t xml:space="preserve"> 2017, S. 23.</w:t>
      </w:r>
    </w:p>
  </w:footnote>
  <w:footnote w:id="127">
    <w:p w14:paraId="04AD9EE3">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Lykkesfeldt, P., Kjaergaard, L. L., </w:t>
      </w:r>
      <w:r>
        <w:rPr>
          <w:rFonts w:hint="default" w:ascii="Times New Roman" w:hAnsi="Times New Roman" w:cs="Times New Roman"/>
          <w:lang w:val="de-DE"/>
        </w:rPr>
        <w:t>ESG Reporting, 2022, S. 245.</w:t>
      </w:r>
    </w:p>
  </w:footnote>
  <w:footnote w:id="128">
    <w:p w14:paraId="48A4DB0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EMPEA</w:t>
      </w:r>
      <w:r>
        <w:rPr>
          <w:rFonts w:hint="default" w:ascii="Times New Roman" w:hAnsi="Times New Roman" w:cs="Times New Roman"/>
          <w:lang w:val="de-DE" w:eastAsia="zh-CN"/>
        </w:rPr>
        <w:t>, Impact Investing, 2015, S. 565.</w:t>
      </w:r>
    </w:p>
  </w:footnote>
  <w:footnote w:id="129">
    <w:p w14:paraId="06FB690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eastAsia="zh-CN"/>
        </w:rPr>
        <w:t xml:space="preserve">Berkey, J., </w:t>
      </w:r>
      <w:r>
        <w:rPr>
          <w:rFonts w:hint="default" w:ascii="Times New Roman" w:hAnsi="Times New Roman" w:cs="Times New Roman"/>
          <w:lang w:val="de-DE" w:eastAsia="zh-CN"/>
        </w:rPr>
        <w:t>Sustainability, 2016, S. 10.</w:t>
      </w:r>
    </w:p>
  </w:footnote>
  <w:footnote w:id="130">
    <w:p w14:paraId="68018198">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Lykkesfeldt, P., Kjaergaard, L. L., </w:t>
      </w:r>
      <w:r>
        <w:rPr>
          <w:rFonts w:hint="default" w:ascii="Times New Roman" w:hAnsi="Times New Roman" w:cs="Times New Roman"/>
          <w:lang w:val="de-DE"/>
        </w:rPr>
        <w:t>ESG Reporting, 2022, S. 247.</w:t>
      </w:r>
    </w:p>
  </w:footnote>
  <w:footnote w:id="131">
    <w:p w14:paraId="46E4677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Nanda, M</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rPr>
        <w:t>SKS Microfinance</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 S. 618.</w:t>
      </w:r>
    </w:p>
  </w:footnote>
  <w:footnote w:id="132">
    <w:p w14:paraId="0CA91319">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Chakrabarti, R., Sanyal, K., </w:t>
      </w:r>
      <w:r>
        <w:rPr>
          <w:rFonts w:hint="default" w:ascii="Times New Roman" w:hAnsi="Times New Roman" w:cs="Times New Roman"/>
          <w:lang w:val="de-DE"/>
        </w:rPr>
        <w:t>Microfinance, 2016, S. 226.</w:t>
      </w:r>
    </w:p>
  </w:footnote>
  <w:footnote w:id="133">
    <w:p w14:paraId="2122773F">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Wondirad, H</w:t>
      </w:r>
      <w:r>
        <w:rPr>
          <w:rFonts w:hint="default" w:ascii="Times New Roman" w:hAnsi="Times New Roman" w:cs="Times New Roman"/>
          <w:i/>
          <w:iCs/>
          <w:lang w:val="de-DE"/>
        </w:rPr>
        <w:t>.</w:t>
      </w:r>
      <w:r>
        <w:rPr>
          <w:rFonts w:hint="default" w:ascii="Times New Roman" w:hAnsi="Times New Roman" w:cs="Times New Roman"/>
          <w:i/>
          <w:iCs/>
        </w:rPr>
        <w:t xml:space="preserve"> A</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2020</w:t>
      </w:r>
      <w:r>
        <w:rPr>
          <w:rFonts w:hint="default" w:ascii="Times New Roman" w:hAnsi="Times New Roman" w:cs="Times New Roman"/>
          <w:lang w:val="de-DE"/>
        </w:rPr>
        <w:t>, S. 4.</w:t>
      </w:r>
    </w:p>
  </w:footnote>
  <w:footnote w:id="134">
    <w:p w14:paraId="3F99B5A4">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Sarma, S</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i/>
          <w:iCs/>
        </w:rPr>
        <w:t>Mishra, D</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S. 721.</w:t>
      </w:r>
    </w:p>
  </w:footnote>
  <w:footnote w:id="135">
    <w:p w14:paraId="2BF94C7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Wondirad, H</w:t>
      </w:r>
      <w:r>
        <w:rPr>
          <w:rFonts w:hint="default" w:ascii="Times New Roman" w:hAnsi="Times New Roman" w:cs="Times New Roman"/>
          <w:i/>
          <w:iCs/>
          <w:lang w:val="de-DE"/>
        </w:rPr>
        <w:t>.</w:t>
      </w:r>
      <w:r>
        <w:rPr>
          <w:rFonts w:hint="default" w:ascii="Times New Roman" w:hAnsi="Times New Roman" w:cs="Times New Roman"/>
          <w:i/>
          <w:iCs/>
        </w:rPr>
        <w:t xml:space="preserve"> A</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S. 4539.</w:t>
      </w:r>
    </w:p>
  </w:footnote>
  <w:footnote w:id="136">
    <w:p w14:paraId="6258529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Nanda, M</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rPr>
        <w:t>SKS Microfinance</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 S. 625.</w:t>
      </w:r>
    </w:p>
  </w:footnote>
  <w:footnote w:id="137">
    <w:p w14:paraId="5901564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Heller, P. W.</w:t>
      </w:r>
      <w:r>
        <w:rPr>
          <w:rFonts w:hint="default" w:ascii="Times New Roman" w:hAnsi="Times New Roman" w:cs="Times New Roman"/>
          <w:lang w:val="de-DE"/>
        </w:rPr>
        <w:t>, Microcredit, 2021, S. 157.</w:t>
      </w:r>
    </w:p>
  </w:footnote>
  <w:footnote w:id="138">
    <w:p w14:paraId="5E898595">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 xml:space="preserve">Chakrabarti, R., Sanyal, K., </w:t>
      </w:r>
      <w:r>
        <w:rPr>
          <w:rFonts w:hint="default" w:ascii="Times New Roman" w:hAnsi="Times New Roman" w:cs="Times New Roman"/>
          <w:lang w:val="de-DE"/>
        </w:rPr>
        <w:t>Microfinance, 2016, S. 230.</w:t>
      </w:r>
    </w:p>
  </w:footnote>
  <w:footnote w:id="139">
    <w:p w14:paraId="786C526C">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Sarma, S</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i/>
          <w:iCs/>
        </w:rPr>
        <w:t>Mishra, D</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S. 721.</w:t>
      </w:r>
    </w:p>
  </w:footnote>
  <w:footnote w:id="140">
    <w:p w14:paraId="18277960">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Wondirad, H</w:t>
      </w:r>
      <w:r>
        <w:rPr>
          <w:rFonts w:hint="default" w:ascii="Times New Roman" w:hAnsi="Times New Roman" w:cs="Times New Roman"/>
          <w:i/>
          <w:iCs/>
          <w:lang w:val="de-DE"/>
        </w:rPr>
        <w:t>.</w:t>
      </w:r>
      <w:r>
        <w:rPr>
          <w:rFonts w:hint="default" w:ascii="Times New Roman" w:hAnsi="Times New Roman" w:cs="Times New Roman"/>
          <w:i/>
          <w:iCs/>
        </w:rPr>
        <w:t xml:space="preserve"> A</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S. 4539.</w:t>
      </w:r>
    </w:p>
  </w:footnote>
  <w:footnote w:id="141">
    <w:p w14:paraId="335D352C">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https://bfsi.economictimes.indiatimes.com/news/nbfc/women-borrowers-drive-indias-microfinance-sector-to-rs-4-43-lakh-crore-report/115668818</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2">
    <w:p w14:paraId="5CAAC7D7">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https://economictimes.indiatimes.com/news/economy/indicators/stress-in-microfinance-sector-doubles-in-april-to-september-2024-rbi/articleshow/116800847.cms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3">
    <w:p w14:paraId="059D9F0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https://www.strategicmarketresearch.com/market-report/microfinance-market</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4">
    <w:p w14:paraId="4487FBC2">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https://www.fortuneindia.com/economy/microfinance-sector-undergoing-a-churn-hints-bharat-microfinance-report-2025/127614</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5">
    <w:p w14:paraId="42FCE1C8">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https://economictimes.indiatimes.com/news/economy/indicators/stress-in-microfinance-sector-doubles-in-april-to-september-2024-rbi/articleshow/116800847.cms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6">
    <w:p w14:paraId="282AE34E">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https://bfsi.economictimes.indiatimes.com/news/nbfc/women-borrowers-drive-indias-microfinance-sector-to-rs-4-43-lakh-crore-report/115668818</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7">
    <w:p w14:paraId="4F04BA0B">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lang w:val="de-DE"/>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https://www.strategicmarketresearch.com/market-report/microfinance-market</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8">
    <w:p w14:paraId="27DE642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https://www.business-standard.com/finance/news/microfinance-borrower-indebtedness-declines-despite-rise-in-stressed-assets-125063001128_1.html</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49">
    <w:p w14:paraId="53412936">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https://bfsi.economictimes.indiatimes.com/news/nbfc/women-borrowers-drive-indias-microfinance-sector-to-rs-4-43-lakh-crore-report/115668818</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15.02.2026.</w:t>
      </w:r>
    </w:p>
  </w:footnote>
  <w:footnote w:id="150">
    <w:p w14:paraId="6A9B6E78">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Ashta, A</w:t>
      </w:r>
      <w:r>
        <w:rPr>
          <w:rFonts w:hint="default" w:ascii="Times New Roman" w:hAnsi="Times New Roman" w:cs="Times New Roman"/>
          <w:i/>
          <w:iCs/>
          <w:lang w:val="de-DE"/>
        </w:rPr>
        <w:t xml:space="preserve">. u. a., </w:t>
      </w:r>
      <w:r>
        <w:rPr>
          <w:rFonts w:hint="default" w:ascii="Times New Roman" w:hAnsi="Times New Roman" w:cs="Times New Roman"/>
        </w:rPr>
        <w:t>Microfinance Practices</w:t>
      </w:r>
      <w:r>
        <w:rPr>
          <w:rFonts w:hint="default" w:ascii="Times New Roman" w:hAnsi="Times New Roman" w:cs="Times New Roman"/>
          <w:lang w:val="de-DE"/>
        </w:rPr>
        <w:t xml:space="preserve">, </w:t>
      </w:r>
      <w:r>
        <w:rPr>
          <w:rFonts w:hint="default" w:ascii="Times New Roman" w:hAnsi="Times New Roman" w:cs="Times New Roman"/>
        </w:rPr>
        <w:t>2021</w:t>
      </w:r>
      <w:r>
        <w:rPr>
          <w:rFonts w:hint="default" w:ascii="Times New Roman" w:hAnsi="Times New Roman" w:cs="Times New Roman"/>
          <w:lang w:val="de-DE"/>
        </w:rPr>
        <w:t>, S. 154.</w:t>
      </w:r>
    </w:p>
  </w:footnote>
  <w:footnote w:id="151">
    <w:p w14:paraId="28C27651">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Ault, J</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rPr>
        <w:t>Commercial microfinance</w:t>
      </w:r>
      <w:r>
        <w:rPr>
          <w:rFonts w:hint="default" w:ascii="Times New Roman" w:hAnsi="Times New Roman" w:cs="Times New Roman"/>
          <w:lang w:val="de-DE"/>
        </w:rPr>
        <w:t>,</w:t>
      </w:r>
      <w:r>
        <w:rPr>
          <w:rFonts w:hint="default" w:ascii="Times New Roman" w:hAnsi="Times New Roman" w:cs="Times New Roman"/>
        </w:rPr>
        <w:t xml:space="preserve"> 2016</w:t>
      </w:r>
      <w:r>
        <w:rPr>
          <w:rFonts w:hint="default" w:ascii="Times New Roman" w:hAnsi="Times New Roman" w:cs="Times New Roman"/>
          <w:lang w:val="de-DE"/>
        </w:rPr>
        <w:t>, S. 956.</w:t>
      </w:r>
    </w:p>
  </w:footnote>
  <w:footnote w:id="152">
    <w:p w14:paraId="739528E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https://ecoligo.com/de/uber-ecoligo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3">
    <w:p w14:paraId="0F5A8BBC">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https://erneuerbare-energien-aktuell.de/anbieter/ecoligo/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4">
    <w:p w14:paraId="6D3E4D7D">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https://ecoligo.com/de/uber-ecoligo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5">
    <w:p w14:paraId="2563A144">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https://impact-investor.com/mirova-gigaton-fund-invests-e9-75m-in-solar-firm-ecoligos-vietnam-projects/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6">
    <w:p w14:paraId="0588C27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https://crowdinform.com/en/crowdfunding-platforms/ai-overview/ecoligo-g3wn</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7">
    <w:p w14:paraId="3E9CFA6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https://canvasbusinessmodel.com/blogs/how-it-works/ecoligo-how-it-works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8">
    <w:p w14:paraId="03800387">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https://impact-investor.com/mirova-gigaton-fund-invests-e9-75m-in-solar-firm-ecoligos-vietnam-projects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59">
    <w:p w14:paraId="31A6687E">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https://impact-investor.com/mirova-gigaton-fund-invests-e9-75m-in-solar-firm-ecoligos-vietnam-projects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17.02.2026.</w:t>
      </w:r>
    </w:p>
  </w:footnote>
  <w:footnote w:id="160">
    <w:p w14:paraId="49B836C8">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https://impact-investor.com/mirova-gigaton-fund-invests-e9-75m-in-solar-firm-ecoligos-vietnam-projects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16.02.2026.</w:t>
      </w:r>
    </w:p>
  </w:footnote>
  <w:footnote w:id="161">
    <w:p w14:paraId="15B875BB">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https://www.dfpa.info/real-assets-news/ecoligo-emittiert-erste-gruene-anleihe.html</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16.02.2026.</w:t>
      </w:r>
    </w:p>
  </w:footnote>
  <w:footnote w:id="162">
    <w:p w14:paraId="55AF545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https://erneuerbare-energien-aktuell.de/anbieter/ecoligo/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16.02.2026.</w:t>
      </w:r>
    </w:p>
  </w:footnote>
  <w:footnote w:id="163">
    <w:p w14:paraId="1D55D908">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https://crowdinform.com/en/crowdfunding-platforms/ai-overview/ecoligo-g3wn</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19.02.2026.</w:t>
      </w:r>
    </w:p>
  </w:footnote>
  <w:footnote w:id="164">
    <w:p w14:paraId="02EECD3D">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https://www.dfpa.info/real-assets-news/ecoligo-emittiert-erste-gruene-anleihe.html</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19.02.2026.</w:t>
      </w:r>
    </w:p>
  </w:footnote>
  <w:footnote w:id="165">
    <w:p w14:paraId="557B6D2A">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https://crowdinform.com/en/crowdfunding-platforms/ai-overview/ecoligo-g3wn</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19.02.2026.</w:t>
      </w:r>
    </w:p>
  </w:footnote>
  <w:footnote w:id="166">
    <w:p w14:paraId="21BA3A8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https://impact-investor.com/mirova-gigaton-fund-invests-e9-75m-in-solar-firm-ecoligos-vietnam-projects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19.02.2026.</w:t>
      </w:r>
    </w:p>
  </w:footnote>
  <w:footnote w:id="167">
    <w:p w14:paraId="56F1F216">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https://erneuerbare-energien-aktuell.de/anbieter/ecoligo/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19.02.2026.</w:t>
      </w:r>
    </w:p>
  </w:footnote>
  <w:footnote w:id="168">
    <w:p w14:paraId="27123E65">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https://canvasbusinessmodel.com/products/ecoligo-business-model-canvas</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69">
    <w:p w14:paraId="2C087D3F">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https://crowdinform.com/en/crowdfunding-platforms/ai-overview/ecoligo-g3wn</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70">
    <w:p w14:paraId="282897DB">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71">
    <w:p w14:paraId="152E34F3">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https://www.dfpa.info/real-assets-news/ecoligo-emittiert-erste-gruene-anleihe.html</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72">
    <w:p w14:paraId="74822361">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73">
    <w:p w14:paraId="38FA7CC7">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https://www.dfpa.info/real-assets-news/ecoligo-emittiert-erste-gruene-anleihe.html</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74">
    <w:p w14:paraId="6A5A2FE7">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Beisland, L</w:t>
      </w:r>
      <w:r>
        <w:rPr>
          <w:rFonts w:hint="default" w:ascii="Times New Roman" w:hAnsi="Times New Roman" w:cs="Times New Roman"/>
          <w:i/>
          <w:iCs/>
          <w:lang w:val="de-DE"/>
        </w:rPr>
        <w:t>.</w:t>
      </w:r>
      <w:r>
        <w:rPr>
          <w:rFonts w:hint="default" w:ascii="Times New Roman" w:hAnsi="Times New Roman" w:cs="Times New Roman"/>
          <w:i/>
          <w:iCs/>
        </w:rPr>
        <w:t xml:space="preserve"> A</w:t>
      </w:r>
      <w:r>
        <w:rPr>
          <w:rFonts w:hint="default" w:ascii="Times New Roman" w:hAnsi="Times New Roman" w:cs="Times New Roman"/>
          <w:i/>
          <w:iCs/>
          <w:lang w:val="de-DE"/>
        </w:rPr>
        <w:t xml:space="preserve">. u. a., </w:t>
      </w:r>
      <w:r>
        <w:rPr>
          <w:rFonts w:hint="default" w:ascii="Times New Roman" w:hAnsi="Times New Roman" w:cs="Times New Roman"/>
        </w:rPr>
        <w:t>Microfinance Institution</w:t>
      </w:r>
      <w:r>
        <w:rPr>
          <w:rFonts w:hint="default" w:ascii="Times New Roman" w:hAnsi="Times New Roman" w:cs="Times New Roman"/>
          <w:lang w:val="de-DE"/>
        </w:rPr>
        <w:t xml:space="preserve">s, </w:t>
      </w:r>
      <w:r>
        <w:rPr>
          <w:rFonts w:hint="default" w:ascii="Times New Roman" w:hAnsi="Times New Roman" w:cs="Times New Roman"/>
        </w:rPr>
        <w:t>2021</w:t>
      </w:r>
      <w:r>
        <w:rPr>
          <w:rFonts w:hint="default" w:ascii="Times New Roman" w:hAnsi="Times New Roman" w:cs="Times New Roman"/>
          <w:lang w:val="de-DE"/>
        </w:rPr>
        <w:t>, S. 53.</w:t>
      </w:r>
    </w:p>
  </w:footnote>
  <w:footnote w:id="175">
    <w:p w14:paraId="297BB0D1">
      <w:pPr>
        <w:pStyle w:val="35"/>
        <w:snapToGrid w:val="0"/>
      </w:pPr>
      <w:r>
        <w:rPr>
          <w:rStyle w:val="52"/>
        </w:rPr>
        <w:footnoteRef/>
      </w:r>
      <w:r>
        <w:t xml:space="preserve"> </w:t>
      </w:r>
      <w:r>
        <w:rPr>
          <w:rFonts w:hint="default" w:ascii="Times New Roman" w:hAnsi="Times New Roman" w:cs="Times New Roman"/>
          <w:lang w:val="de-DE"/>
        </w:rPr>
        <w:t xml:space="preserve">Vgl. </w:t>
      </w:r>
      <w:r>
        <w:rPr>
          <w:rFonts w:hint="default" w:ascii="Times New Roman" w:hAnsi="Times New Roman" w:cs="Times New Roman"/>
          <w:i/>
          <w:iCs/>
        </w:rPr>
        <w:t>Khanam, D</w:t>
      </w:r>
      <w:r>
        <w:rPr>
          <w:rFonts w:hint="default" w:ascii="Times New Roman" w:hAnsi="Times New Roman" w:cs="Times New Roman"/>
          <w:i/>
          <w:iCs/>
          <w:lang w:val="de-DE"/>
        </w:rPr>
        <w:t xml:space="preserve">. u. a., </w:t>
      </w:r>
      <w:r>
        <w:rPr>
          <w:rFonts w:hint="default" w:ascii="Times New Roman" w:hAnsi="Times New Roman" w:cs="Times New Roman"/>
          <w:lang w:val="de-DE"/>
        </w:rPr>
        <w:t>M</w:t>
      </w:r>
      <w:r>
        <w:rPr>
          <w:rFonts w:hint="default" w:ascii="Times New Roman" w:hAnsi="Times New Roman" w:cs="Times New Roman"/>
        </w:rPr>
        <w:t>icrofinance</w:t>
      </w:r>
      <w:r>
        <w:rPr>
          <w:rFonts w:hint="default" w:ascii="Times New Roman" w:hAnsi="Times New Roman" w:cs="Times New Roman"/>
          <w:lang w:val="de-DE"/>
        </w:rPr>
        <w:t xml:space="preserve">, </w:t>
      </w:r>
      <w:r>
        <w:rPr>
          <w:rFonts w:hint="default" w:ascii="Times New Roman" w:hAnsi="Times New Roman" w:cs="Times New Roman"/>
        </w:rPr>
        <w:t>2018</w:t>
      </w:r>
      <w:r>
        <w:rPr>
          <w:rFonts w:hint="default" w:ascii="Times New Roman" w:hAnsi="Times New Roman" w:cs="Times New Roman"/>
          <w:lang w:val="de-DE"/>
        </w:rPr>
        <w:t>, S. 4.</w:t>
      </w:r>
    </w:p>
  </w:footnote>
  <w:footnote w:id="176">
    <w:p w14:paraId="7B0038D0">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Dunbar, K</w:t>
      </w:r>
      <w:r>
        <w:rPr>
          <w:rFonts w:hint="default" w:ascii="Times New Roman" w:hAnsi="Times New Roman" w:cs="Times New Roman"/>
          <w:i/>
          <w:iCs/>
          <w:lang w:val="de-DE"/>
        </w:rPr>
        <w:t xml:space="preserve">. u. a., </w:t>
      </w:r>
      <w:r>
        <w:rPr>
          <w:rFonts w:hint="default" w:ascii="Times New Roman" w:hAnsi="Times New Roman" w:cs="Times New Roman"/>
        </w:rPr>
        <w:t>FinTech</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23.</w:t>
      </w:r>
    </w:p>
  </w:footnote>
  <w:footnote w:id="177">
    <w:p w14:paraId="3253E51B">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Tchuigoua, H</w:t>
      </w:r>
      <w:r>
        <w:rPr>
          <w:rFonts w:hint="default" w:ascii="Times New Roman" w:hAnsi="Times New Roman" w:cs="Times New Roman"/>
          <w:i/>
          <w:iCs/>
          <w:lang w:val="de-DE"/>
        </w:rPr>
        <w:t>.</w:t>
      </w:r>
      <w:r>
        <w:rPr>
          <w:rFonts w:hint="default" w:ascii="Times New Roman" w:hAnsi="Times New Roman" w:cs="Times New Roman"/>
          <w:lang w:val="de-DE"/>
        </w:rPr>
        <w:t xml:space="preserve"> </w:t>
      </w:r>
      <w:r>
        <w:rPr>
          <w:rFonts w:hint="default" w:ascii="Times New Roman" w:hAnsi="Times New Roman" w:cs="Times New Roman"/>
          <w:i/>
          <w:iCs/>
        </w:rPr>
        <w:t>T</w:t>
      </w:r>
      <w:r>
        <w:rPr>
          <w:rFonts w:hint="default" w:ascii="Times New Roman" w:hAnsi="Times New Roman" w:cs="Times New Roman"/>
          <w:i/>
          <w:iCs/>
          <w:lang w:val="de-DE"/>
        </w:rPr>
        <w:t xml:space="preserve">., </w:t>
      </w:r>
      <w:r>
        <w:rPr>
          <w:rFonts w:hint="default" w:ascii="Times New Roman" w:hAnsi="Times New Roman" w:cs="Times New Roman"/>
        </w:rPr>
        <w:t>Microfinance</w:t>
      </w:r>
      <w:r>
        <w:rPr>
          <w:rFonts w:hint="default" w:ascii="Times New Roman" w:hAnsi="Times New Roman" w:cs="Times New Roman"/>
          <w:lang w:val="de-DE"/>
        </w:rPr>
        <w:t xml:space="preserve">, </w:t>
      </w:r>
      <w:r>
        <w:rPr>
          <w:rFonts w:hint="default" w:ascii="Times New Roman" w:hAnsi="Times New Roman" w:cs="Times New Roman"/>
        </w:rPr>
        <w:t>2026</w:t>
      </w:r>
      <w:r>
        <w:rPr>
          <w:rFonts w:hint="default" w:ascii="Times New Roman" w:hAnsi="Times New Roman" w:cs="Times New Roman"/>
          <w:lang w:val="de-DE"/>
        </w:rPr>
        <w:t>, S. 4.</w:t>
      </w:r>
    </w:p>
  </w:footnote>
  <w:footnote w:id="178">
    <w:p w14:paraId="0B017BA9">
      <w:pPr>
        <w:pStyle w:val="35"/>
        <w:snapToGrid w:val="0"/>
        <w:rPr>
          <w:rFonts w:hint="default"/>
          <w:lang w:val="de-DE"/>
        </w:rPr>
      </w:pPr>
      <w:r>
        <w:rPr>
          <w:rStyle w:val="52"/>
        </w:rPr>
        <w:footnoteRef/>
      </w:r>
      <w:r>
        <w:t xml:space="preserve"> </w:t>
      </w:r>
      <w:r>
        <w:rPr>
          <w:rFonts w:hint="default"/>
          <w:lang w:val="de-DE"/>
        </w:rPr>
        <w:t xml:space="preserve">Vgl. </w:t>
      </w:r>
      <w:r>
        <w:rPr>
          <w:rFonts w:hint="default" w:ascii="Times New Roman" w:hAnsi="Times New Roman" w:cs="Times New Roman"/>
          <w:i/>
          <w:iCs/>
        </w:rPr>
        <w:t>Mia, M</w:t>
      </w:r>
      <w:r>
        <w:rPr>
          <w:rFonts w:hint="default" w:ascii="Times New Roman" w:hAnsi="Times New Roman" w:cs="Times New Roman"/>
          <w:i/>
          <w:iCs/>
          <w:lang w:val="de-DE"/>
        </w:rPr>
        <w:t>.</w:t>
      </w:r>
      <w:r>
        <w:rPr>
          <w:rFonts w:hint="default" w:ascii="Times New Roman" w:hAnsi="Times New Roman" w:cs="Times New Roman"/>
          <w:i/>
          <w:iCs/>
        </w:rPr>
        <w:t xml:space="preserve"> A</w:t>
      </w:r>
      <w:r>
        <w:rPr>
          <w:rFonts w:hint="default" w:ascii="Times New Roman" w:hAnsi="Times New Roman" w:cs="Times New Roman"/>
          <w:i/>
          <w:iCs/>
          <w:lang w:val="de-DE"/>
        </w:rPr>
        <w:t xml:space="preserve">. u. a., </w:t>
      </w:r>
      <w:r>
        <w:rPr>
          <w:rFonts w:hint="default" w:ascii="Times New Roman" w:hAnsi="Times New Roman" w:cs="Times New Roman"/>
          <w:lang w:val="de-DE"/>
        </w:rPr>
        <w:t>M</w:t>
      </w:r>
      <w:r>
        <w:rPr>
          <w:rFonts w:hint="default" w:ascii="Times New Roman" w:hAnsi="Times New Roman" w:cs="Times New Roman"/>
        </w:rPr>
        <w:t xml:space="preserve">icrofinance </w:t>
      </w:r>
      <w:r>
        <w:rPr>
          <w:rFonts w:hint="default" w:ascii="Times New Roman" w:hAnsi="Times New Roman" w:cs="Times New Roman"/>
          <w:lang w:val="de-DE"/>
        </w:rPr>
        <w:t>I</w:t>
      </w:r>
      <w:r>
        <w:rPr>
          <w:rFonts w:hint="default" w:ascii="Times New Roman" w:hAnsi="Times New Roman" w:cs="Times New Roman"/>
        </w:rPr>
        <w:t>nstitutions</w:t>
      </w:r>
      <w:r>
        <w:rPr>
          <w:rFonts w:hint="default" w:ascii="Times New Roman" w:hAnsi="Times New Roman" w:cs="Times New Roman"/>
          <w:lang w:val="de-DE"/>
        </w:rPr>
        <w:t>, 2023, S. 3.</w:t>
      </w:r>
    </w:p>
  </w:footnote>
  <w:footnote w:id="179">
    <w:p w14:paraId="6D1C029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color w:val="auto"/>
          <w:u w:val="none"/>
          <w:lang w:val="de-DE"/>
        </w:rPr>
        <w:t>https://pteccosolar-esco.com/about-ecoligo/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w:t>
      </w:r>
      <w:r>
        <w:rPr>
          <w:rFonts w:hint="default" w:ascii="Times New Roman" w:hAnsi="Times New Roman" w:cs="Times New Roman"/>
          <w:lang w:val="de-DE"/>
        </w:rPr>
        <w:t>Zugriff am 20.02.2026.</w:t>
      </w:r>
    </w:p>
  </w:footnote>
  <w:footnote w:id="180">
    <w:p w14:paraId="07C649F2">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Khanam, D</w:t>
      </w:r>
      <w:r>
        <w:rPr>
          <w:rFonts w:hint="default" w:ascii="Times New Roman" w:hAnsi="Times New Roman" w:cs="Times New Roman"/>
          <w:i/>
          <w:iCs/>
          <w:lang w:val="de-DE"/>
        </w:rPr>
        <w:t xml:space="preserve">. u. a., </w:t>
      </w:r>
      <w:r>
        <w:rPr>
          <w:rFonts w:hint="default" w:ascii="Times New Roman" w:hAnsi="Times New Roman" w:cs="Times New Roman"/>
          <w:lang w:val="de-DE"/>
        </w:rPr>
        <w:t>M</w:t>
      </w:r>
      <w:r>
        <w:rPr>
          <w:rFonts w:hint="default" w:ascii="Times New Roman" w:hAnsi="Times New Roman" w:cs="Times New Roman"/>
        </w:rPr>
        <w:t>icrofinance</w:t>
      </w:r>
      <w:r>
        <w:rPr>
          <w:rFonts w:hint="default" w:ascii="Times New Roman" w:hAnsi="Times New Roman" w:cs="Times New Roman"/>
          <w:lang w:val="de-DE"/>
        </w:rPr>
        <w:t xml:space="preserve">, </w:t>
      </w:r>
      <w:r>
        <w:rPr>
          <w:rFonts w:hint="default" w:ascii="Times New Roman" w:hAnsi="Times New Roman" w:cs="Times New Roman"/>
        </w:rPr>
        <w:t>2018</w:t>
      </w:r>
      <w:r>
        <w:rPr>
          <w:rFonts w:hint="default" w:ascii="Times New Roman" w:hAnsi="Times New Roman" w:cs="Times New Roman"/>
          <w:lang w:val="de-DE"/>
        </w:rPr>
        <w:t>, S. 4.</w:t>
      </w:r>
    </w:p>
  </w:footnote>
  <w:footnote w:id="181">
    <w:p w14:paraId="5A11EEB9">
      <w:pPr>
        <w:pStyle w:val="35"/>
        <w:snapToGrid w:val="0"/>
        <w:jc w:val="left"/>
        <w:rPr>
          <w:rFonts w:hint="default" w:ascii="Times New Roman" w:hAnsi="Times New Roman" w:cs="Times New Roma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20.02.2026.</w:t>
      </w:r>
    </w:p>
  </w:footnote>
  <w:footnote w:id="182">
    <w:p w14:paraId="54D437E5">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Marcil, L</w:t>
      </w:r>
      <w:r>
        <w:rPr>
          <w:rFonts w:hint="default" w:ascii="Times New Roman" w:hAnsi="Times New Roman" w:cs="Times New Roman"/>
          <w:i/>
          <w:iCs/>
          <w:lang w:val="de-DE"/>
        </w:rPr>
        <w:t xml:space="preserve">. u. a., </w:t>
      </w:r>
      <w:r>
        <w:rPr>
          <w:rFonts w:hint="default" w:ascii="Times New Roman" w:hAnsi="Times New Roman" w:cs="Times New Roman"/>
        </w:rPr>
        <w:t>Project’s Experience</w:t>
      </w:r>
      <w:r>
        <w:rPr>
          <w:rFonts w:hint="default" w:ascii="Times New Roman" w:hAnsi="Times New Roman" w:cs="Times New Roman"/>
          <w:lang w:val="de-DE"/>
        </w:rPr>
        <w:t xml:space="preserve">, </w:t>
      </w:r>
      <w:r>
        <w:rPr>
          <w:rFonts w:hint="default" w:ascii="Times New Roman" w:hAnsi="Times New Roman" w:cs="Times New Roman"/>
        </w:rPr>
        <w:t>2016</w:t>
      </w:r>
      <w:r>
        <w:rPr>
          <w:rFonts w:hint="default" w:ascii="Times New Roman" w:hAnsi="Times New Roman" w:cs="Times New Roman"/>
          <w:lang w:val="de-DE"/>
        </w:rPr>
        <w:t>, S. 7.</w:t>
      </w:r>
    </w:p>
  </w:footnote>
  <w:footnote w:id="183">
    <w:p w14:paraId="10C9CCF1">
      <w:pPr>
        <w:pStyle w:val="35"/>
        <w:snapToGrid w:val="0"/>
        <w:jc w:val="left"/>
        <w:rPr>
          <w:rFonts w:hint="eastAsia" w:ascii="Times New Roman" w:hAnsi="Times New Roman" w:eastAsia="宋体" w:cs="Times New Roman"/>
          <w:lang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lang w:val="de-DE"/>
        </w:rPr>
        <w:t>https://crowdinform.com/en/crowdfunding-platforms/ai-overview/ecoligo</w:t>
      </w:r>
      <w:r>
        <w:rPr>
          <w:rFonts w:hint="default" w:ascii="Times New Roman" w:hAnsi="Times New Roman" w:cs="Times New Roman"/>
          <w:color w:val="auto"/>
          <w:u w:val="none"/>
          <w:lang w:val="de-DE"/>
        </w:rPr>
        <w:t>,</w:t>
      </w:r>
      <w:r>
        <w:rPr>
          <w:rFonts w:hint="default" w:ascii="Times New Roman" w:hAnsi="Times New Roman" w:cs="Times New Roman"/>
          <w:lang w:val="de-DE"/>
        </w:rPr>
        <w:t xml:space="preserve"> Zugriff am 21.02.2026.</w:t>
      </w:r>
    </w:p>
  </w:footnote>
  <w:footnote w:id="184">
    <w:p w14:paraId="70BEA4CE">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Chatterjee, A</w:t>
      </w:r>
      <w:r>
        <w:rPr>
          <w:rFonts w:hint="default" w:ascii="Times New Roman" w:hAnsi="Times New Roman" w:cs="Times New Roman"/>
          <w:i/>
          <w:iCs/>
          <w:lang w:val="de-DE"/>
        </w:rPr>
        <w:t>.,</w:t>
      </w:r>
      <w:r>
        <w:rPr>
          <w:rFonts w:hint="default" w:ascii="Times New Roman" w:hAnsi="Times New Roman" w:cs="Times New Roman"/>
          <w:i/>
          <w:iCs/>
        </w:rPr>
        <w:t xml:space="preserve"> Pani, S</w:t>
      </w:r>
      <w:r>
        <w:rPr>
          <w:rFonts w:hint="default" w:ascii="Times New Roman" w:hAnsi="Times New Roman" w:cs="Times New Roman"/>
          <w:i/>
          <w:iCs/>
          <w:lang w:val="de-DE"/>
        </w:rPr>
        <w:t>.</w:t>
      </w:r>
      <w:r>
        <w:rPr>
          <w:rFonts w:hint="default" w:ascii="Times New Roman" w:hAnsi="Times New Roman" w:cs="Times New Roman"/>
          <w:i/>
          <w:iCs/>
        </w:rPr>
        <w:t xml:space="preserve"> K</w:t>
      </w:r>
      <w:r>
        <w:rPr>
          <w:rFonts w:hint="default" w:ascii="Times New Roman" w:hAnsi="Times New Roman" w:cs="Times New Roman"/>
          <w:i/>
          <w:iCs/>
          <w:lang w:val="de-DE"/>
        </w:rPr>
        <w:t xml:space="preserve">., </w:t>
      </w:r>
      <w:r>
        <w:rPr>
          <w:rFonts w:hint="default" w:ascii="Times New Roman" w:hAnsi="Times New Roman" w:cs="Times New Roman"/>
        </w:rPr>
        <w:t>Lessons</w:t>
      </w:r>
      <w:r>
        <w:rPr>
          <w:rFonts w:hint="default" w:ascii="Times New Roman" w:hAnsi="Times New Roman" w:cs="Times New Roman"/>
          <w:lang w:val="de-DE"/>
        </w:rPr>
        <w:t xml:space="preserve">, </w:t>
      </w:r>
      <w:r>
        <w:rPr>
          <w:rFonts w:hint="default" w:ascii="Times New Roman" w:hAnsi="Times New Roman" w:cs="Times New Roman"/>
        </w:rPr>
        <w:t>2024</w:t>
      </w:r>
      <w:r>
        <w:rPr>
          <w:rFonts w:hint="default" w:ascii="Times New Roman" w:hAnsi="Times New Roman" w:cs="Times New Roman"/>
          <w:lang w:val="de-DE"/>
        </w:rPr>
        <w:t>, S. 66.</w:t>
      </w:r>
    </w:p>
  </w:footnote>
  <w:footnote w:id="185">
    <w:p w14:paraId="036E04CA">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Vandor, P</w:t>
      </w:r>
      <w:r>
        <w:rPr>
          <w:rFonts w:hint="default" w:ascii="Times New Roman" w:hAnsi="Times New Roman" w:cs="Times New Roman"/>
          <w:i/>
          <w:iCs/>
          <w:lang w:val="de-DE"/>
        </w:rPr>
        <w:t xml:space="preserve">. u. a., </w:t>
      </w:r>
      <w:r>
        <w:rPr>
          <w:rFonts w:hint="default" w:ascii="Times New Roman" w:hAnsi="Times New Roman" w:cs="Times New Roman"/>
          <w:lang w:val="de-DE"/>
        </w:rPr>
        <w:t>I</w:t>
      </w:r>
      <w:r>
        <w:rPr>
          <w:rFonts w:hint="default" w:ascii="Times New Roman" w:hAnsi="Times New Roman" w:cs="Times New Roman"/>
        </w:rPr>
        <w:t xml:space="preserve">mpact </w:t>
      </w:r>
      <w:r>
        <w:rPr>
          <w:rFonts w:hint="default" w:ascii="Times New Roman" w:hAnsi="Times New Roman" w:cs="Times New Roman"/>
          <w:lang w:val="de-DE"/>
        </w:rPr>
        <w:t>I</w:t>
      </w:r>
      <w:r>
        <w:rPr>
          <w:rFonts w:hint="default" w:ascii="Times New Roman" w:hAnsi="Times New Roman" w:cs="Times New Roman"/>
        </w:rPr>
        <w:t>nvesting</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S. 8.</w:t>
      </w:r>
    </w:p>
  </w:footnote>
  <w:footnote w:id="186">
    <w:p w14:paraId="5D7CE9FF">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Del Giudice, A</w:t>
      </w:r>
      <w:r>
        <w:rPr>
          <w:rFonts w:hint="default" w:ascii="Times New Roman" w:hAnsi="Times New Roman" w:cs="Times New Roman"/>
          <w:i/>
          <w:iCs/>
          <w:lang w:val="de-DE"/>
        </w:rPr>
        <w:t xml:space="preserve">. u. a., </w:t>
      </w:r>
      <w:r>
        <w:rPr>
          <w:rFonts w:hint="default" w:ascii="Times New Roman" w:hAnsi="Times New Roman" w:cs="Times New Roman"/>
        </w:rPr>
        <w:t>Impact Bonds</w:t>
      </w:r>
      <w:r>
        <w:rPr>
          <w:rFonts w:hint="default" w:ascii="Times New Roman" w:hAnsi="Times New Roman" w:cs="Times New Roman"/>
          <w:lang w:val="de-DE"/>
        </w:rPr>
        <w:t>, 2025, S. 13.</w:t>
      </w:r>
    </w:p>
  </w:footnote>
  <w:footnote w:id="187">
    <w:p w14:paraId="450605BE">
      <w:pPr>
        <w:pStyle w:val="35"/>
        <w:snapToGrid w:val="0"/>
        <w:jc w:val="left"/>
        <w:rPr>
          <w:rFonts w:hint="default" w:ascii="Times New Roman" w:hAnsi="Times New Roman" w:cs="Times New Roman"/>
          <w:lang w:val="de-DE"/>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Hasan, I</w:t>
      </w:r>
      <w:r>
        <w:rPr>
          <w:rFonts w:hint="default" w:ascii="Times New Roman" w:hAnsi="Times New Roman" w:cs="Times New Roman"/>
          <w:i/>
          <w:iCs/>
          <w:lang w:val="de-DE"/>
        </w:rPr>
        <w:t xml:space="preserve">. u. a., </w:t>
      </w:r>
      <w:r>
        <w:rPr>
          <w:rFonts w:hint="default" w:ascii="Times New Roman" w:hAnsi="Times New Roman" w:cs="Times New Roman"/>
        </w:rPr>
        <w:t>Investing</w:t>
      </w:r>
      <w:r>
        <w:rPr>
          <w:rFonts w:hint="default" w:ascii="Times New Roman" w:hAnsi="Times New Roman" w:cs="Times New Roman"/>
          <w:lang w:val="de-DE"/>
        </w:rPr>
        <w:t xml:space="preserve">, </w:t>
      </w:r>
      <w:r>
        <w:rPr>
          <w:rFonts w:hint="default" w:ascii="Times New Roman" w:hAnsi="Times New Roman" w:cs="Times New Roman"/>
        </w:rPr>
        <w:t>2025</w:t>
      </w:r>
      <w:r>
        <w:rPr>
          <w:rFonts w:hint="default" w:ascii="Times New Roman" w:hAnsi="Times New Roman" w:cs="Times New Roman"/>
          <w:lang w:val="de-DE"/>
        </w:rPr>
        <w:t>, S. 1313.</w:t>
      </w:r>
    </w:p>
  </w:footnote>
  <w:footnote w:id="188">
    <w:p w14:paraId="0B9B884E">
      <w:pPr>
        <w:pStyle w:val="35"/>
        <w:snapToGrid w:val="0"/>
        <w:jc w:val="left"/>
        <w:rPr>
          <w:rFonts w:hint="eastAsia" w:ascii="Times New Roman" w:hAnsi="Times New Roman" w:eastAsia="宋体" w:cs="Times New Roman"/>
          <w:lang w:val="de-DE" w:eastAsia="zh-CN"/>
        </w:rPr>
      </w:pPr>
      <w:r>
        <w:rPr>
          <w:rStyle w:val="52"/>
          <w:rFonts w:hint="default" w:ascii="Times New Roman" w:hAnsi="Times New Roman" w:cs="Times New Roman"/>
        </w:rPr>
        <w:footnoteRef/>
      </w:r>
      <w:r>
        <w:rPr>
          <w:rFonts w:hint="default" w:ascii="Times New Roman" w:hAnsi="Times New Roman" w:cs="Times New Roman"/>
        </w:rPr>
        <w:t xml:space="preserve"> </w:t>
      </w:r>
      <w:r>
        <w:rPr>
          <w:rFonts w:hint="default" w:ascii="Times New Roman" w:hAnsi="Times New Roman" w:cs="Times New Roman"/>
          <w:lang w:val="de-DE"/>
        </w:rPr>
        <w:t xml:space="preserve">Vgl. </w:t>
      </w:r>
      <w:r>
        <w:rPr>
          <w:rFonts w:hint="default" w:ascii="Times New Roman" w:hAnsi="Times New Roman" w:cs="Times New Roman"/>
          <w:i/>
          <w:iCs/>
        </w:rPr>
        <w:t>Hockerts, K</w:t>
      </w:r>
      <w:r>
        <w:rPr>
          <w:rFonts w:hint="default" w:ascii="Times New Roman" w:hAnsi="Times New Roman" w:cs="Times New Roman"/>
          <w:i/>
          <w:iCs/>
          <w:lang w:val="de-DE"/>
        </w:rPr>
        <w:t xml:space="preserve">. u. a., </w:t>
      </w:r>
      <w:r>
        <w:rPr>
          <w:rFonts w:hint="default" w:ascii="Times New Roman" w:hAnsi="Times New Roman" w:cs="Times New Roman"/>
        </w:rPr>
        <w:t>Impact Investing</w:t>
      </w:r>
      <w:r>
        <w:rPr>
          <w:rFonts w:hint="default" w:ascii="Times New Roman" w:hAnsi="Times New Roman" w:cs="Times New Roman"/>
          <w:lang w:val="de-DE"/>
        </w:rPr>
        <w:t xml:space="preserve">, </w:t>
      </w:r>
      <w:r>
        <w:rPr>
          <w:rFonts w:hint="default" w:ascii="Times New Roman" w:hAnsi="Times New Roman" w:cs="Times New Roman"/>
        </w:rPr>
        <w:t>2022</w:t>
      </w:r>
      <w:r>
        <w:rPr>
          <w:rFonts w:hint="default" w:ascii="Times New Roman" w:hAnsi="Times New Roman" w:cs="Times New Roman"/>
          <w:lang w:val="de-DE"/>
        </w:rPr>
        <w:t>, S. 940.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C9DE9">
    <w:pPr>
      <w:pStyle w:val="30"/>
      <w:jc w:val="right"/>
    </w:pPr>
    <w:r>
      <w:fldChar w:fldCharType="begin"/>
    </w:r>
    <w:r>
      <w:instrText xml:space="preserve"> PAGE   \* MERGEFORMAT </w:instrText>
    </w:r>
    <w:r>
      <w:fldChar w:fldCharType="separate"/>
    </w:r>
    <w:r>
      <w:rPr>
        <w:lang/>
      </w:rPr>
      <w:t>II</w:t>
    </w:r>
    <w:r>
      <w:fldChar w:fldCharType="end"/>
    </w:r>
  </w:p>
  <w:p w14:paraId="415890B4">
    <w:pPr>
      <w:pStyle w:val="3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9C930">
    <w:pPr>
      <w:pStyle w:val="30"/>
      <w:framePr w:wrap="around" w:vAnchor="text" w:hAnchor="margin" w:xAlign="right" w:y="1"/>
      <w:rPr>
        <w:rStyle w:val="48"/>
      </w:rPr>
    </w:pPr>
    <w:r>
      <w:rPr>
        <w:rStyle w:val="48"/>
      </w:rPr>
      <w:fldChar w:fldCharType="begin"/>
    </w:r>
    <w:r>
      <w:rPr>
        <w:rStyle w:val="48"/>
      </w:rPr>
      <w:instrText xml:space="preserve">PAGE  </w:instrText>
    </w:r>
    <w:r>
      <w:rPr>
        <w:rStyle w:val="48"/>
      </w:rPr>
      <w:fldChar w:fldCharType="end"/>
    </w:r>
  </w:p>
  <w:p w14:paraId="61102A8C">
    <w:pPr>
      <w:pStyle w:val="30"/>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B677B">
    <w:pPr>
      <w:pStyle w:val="30"/>
      <w:jc w:val="right"/>
    </w:pPr>
    <w:r>
      <w:fldChar w:fldCharType="begin"/>
    </w:r>
    <w:r>
      <w:instrText xml:space="preserve"> PAGE   \* MERGEFORMAT </w:instrText>
    </w:r>
    <w:r>
      <w:fldChar w:fldCharType="separate"/>
    </w:r>
    <w:r>
      <w:rPr>
        <w:lang/>
      </w:rPr>
      <w:t>II</w:t>
    </w:r>
    <w:r>
      <w:fldChar w:fldCharType="end"/>
    </w:r>
  </w:p>
  <w:p w14:paraId="46C5F35B">
    <w:pPr>
      <w:pStyle w:val="30"/>
      <w:rPr>
        <w:highlight w:val="yellow"/>
      </w:rPr>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B86AD">
    <w:pPr>
      <w:pStyle w:val="30"/>
      <w:framePr w:wrap="around" w:vAnchor="text" w:hAnchor="margin" w:xAlign="right" w:y="1"/>
      <w:rPr>
        <w:rStyle w:val="48"/>
      </w:rPr>
    </w:pPr>
    <w:r>
      <w:rPr>
        <w:rStyle w:val="48"/>
      </w:rPr>
      <w:fldChar w:fldCharType="begin"/>
    </w:r>
    <w:r>
      <w:rPr>
        <w:rStyle w:val="48"/>
      </w:rPr>
      <w:instrText xml:space="preserve">PAGE  </w:instrText>
    </w:r>
    <w:r>
      <w:rPr>
        <w:rStyle w:val="48"/>
      </w:rPr>
      <w:fldChar w:fldCharType="end"/>
    </w:r>
  </w:p>
  <w:p w14:paraId="3F1554EF">
    <w:pPr>
      <w:pStyle w:val="30"/>
      <w:ind w:right="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B01F1">
    <w:pPr>
      <w:pStyle w:val="30"/>
      <w:jc w:val="right"/>
    </w:pPr>
    <w:r>
      <w:fldChar w:fldCharType="begin"/>
    </w:r>
    <w:r>
      <w:instrText xml:space="preserve"> PAGE   \* MERGEFORMAT </w:instrText>
    </w:r>
    <w:r>
      <w:fldChar w:fldCharType="separate"/>
    </w:r>
    <w:r>
      <w:rPr>
        <w:lang/>
      </w:rPr>
      <w:t>I</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95ACF">
    <w:pPr>
      <w:pStyle w:val="30"/>
      <w:jc w:val="right"/>
    </w:pPr>
    <w:r>
      <w:fldChar w:fldCharType="begin"/>
    </w:r>
    <w:r>
      <w:instrText xml:space="preserve"> PAGE   \* MERGEFORMAT </w:instrText>
    </w:r>
    <w:r>
      <w:fldChar w:fldCharType="separate"/>
    </w:r>
    <w:r>
      <w:rPr>
        <w:lang/>
      </w:rPr>
      <w:t>1</w:t>
    </w:r>
    <w:r>
      <w:fldChar w:fldCharType="end"/>
    </w:r>
  </w:p>
  <w:p w14:paraId="4657392F">
    <w:pPr>
      <w:pStyle w:val="30"/>
      <w:rPr>
        <w:highlight w:val="yellow"/>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B6A64">
    <w:pPr>
      <w:pStyle w:val="30"/>
      <w:jc w:val="right"/>
    </w:pPr>
  </w:p>
  <w:p w14:paraId="013F182F">
    <w:pPr>
      <w:pStyle w:val="30"/>
      <w:rPr>
        <w:highlight w:val="yellow"/>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777D7"/>
    <w:multiLevelType w:val="singleLevel"/>
    <w:tmpl w:val="AE6777D7"/>
    <w:lvl w:ilvl="0" w:tentative="0">
      <w:start w:val="1"/>
      <w:numFmt w:val="decimal"/>
      <w:suff w:val="space"/>
      <w:lvlText w:val="%1."/>
      <w:lvlJc w:val="left"/>
    </w:lvl>
  </w:abstractNum>
  <w:abstractNum w:abstractNumId="1">
    <w:nsid w:val="62E6631C"/>
    <w:multiLevelType w:val="multilevel"/>
    <w:tmpl w:val="62E6631C"/>
    <w:lvl w:ilvl="0" w:tentative="0">
      <w:start w:val="1"/>
      <w:numFmt w:val="decimal"/>
      <w:pStyle w:val="3"/>
      <w:lvlText w:val="%1"/>
      <w:lvlJc w:val="left"/>
      <w:pPr>
        <w:ind w:left="432" w:hanging="432"/>
      </w:pPr>
      <w:rPr>
        <w:rFonts w:hint="default"/>
      </w:rPr>
    </w:lvl>
    <w:lvl w:ilvl="1" w:tentative="0">
      <w:start w:val="1"/>
      <w:numFmt w:val="decimal"/>
      <w:pStyle w:val="5"/>
      <w:lvlText w:val="%1.%2"/>
      <w:lvlJc w:val="left"/>
      <w:pPr>
        <w:ind w:left="576" w:hanging="576"/>
      </w:pPr>
      <w:rPr>
        <w:rFonts w:hint="eastAsia"/>
      </w:rPr>
    </w:lvl>
    <w:lvl w:ilvl="2" w:tentative="0">
      <w:start w:val="1"/>
      <w:numFmt w:val="decimal"/>
      <w:pStyle w:val="7"/>
      <w:lvlText w:val="%1.%2.%3"/>
      <w:lvlJc w:val="left"/>
      <w:pPr>
        <w:ind w:left="720" w:hanging="720"/>
      </w:pPr>
      <w:rPr>
        <w:rFonts w:hint="eastAsia"/>
      </w:rPr>
    </w:lvl>
    <w:lvl w:ilvl="3" w:tentative="0">
      <w:start w:val="1"/>
      <w:numFmt w:val="decimal"/>
      <w:pStyle w:val="8"/>
      <w:lvlText w:val="%1.%2.%3.%4"/>
      <w:lvlJc w:val="left"/>
      <w:pPr>
        <w:ind w:left="864" w:hanging="864"/>
      </w:pPr>
      <w:rPr>
        <w:rFonts w:hint="eastAsia"/>
      </w:rPr>
    </w:lvl>
    <w:lvl w:ilvl="4" w:tentative="0">
      <w:start w:val="1"/>
      <w:numFmt w:val="decimal"/>
      <w:pStyle w:val="9"/>
      <w:lvlText w:val="%1.%2.%3.%4.%5"/>
      <w:lvlJc w:val="left"/>
      <w:pPr>
        <w:ind w:left="1008" w:hanging="1008"/>
      </w:pPr>
      <w:rPr>
        <w:rFonts w:hint="eastAsia"/>
      </w:rPr>
    </w:lvl>
    <w:lvl w:ilvl="5" w:tentative="0">
      <w:start w:val="1"/>
      <w:numFmt w:val="decimal"/>
      <w:pStyle w:val="10"/>
      <w:lvlText w:val="%1.%2.%3.%4.%5.%6"/>
      <w:lvlJc w:val="left"/>
      <w:pPr>
        <w:ind w:left="1152" w:hanging="1152"/>
      </w:pPr>
      <w:rPr>
        <w:rFonts w:hint="eastAsia"/>
      </w:rPr>
    </w:lvl>
    <w:lvl w:ilvl="6" w:tentative="0">
      <w:start w:val="1"/>
      <w:numFmt w:val="decimal"/>
      <w:pStyle w:val="11"/>
      <w:lvlText w:val="%1.%2.%3.%4.%5.%6.%7"/>
      <w:lvlJc w:val="left"/>
      <w:pPr>
        <w:ind w:left="1296" w:hanging="1296"/>
      </w:pPr>
      <w:rPr>
        <w:rFonts w:hint="eastAsia"/>
      </w:rPr>
    </w:lvl>
    <w:lvl w:ilvl="7" w:tentative="0">
      <w:start w:val="1"/>
      <w:numFmt w:val="decimal"/>
      <w:pStyle w:val="12"/>
      <w:lvlText w:val="%1.%2.%3.%4.%5.%6.%7.%8"/>
      <w:lvlJc w:val="left"/>
      <w:pPr>
        <w:ind w:left="1440" w:hanging="1440"/>
      </w:pPr>
      <w:rPr>
        <w:rFonts w:hint="eastAsia"/>
      </w:rPr>
    </w:lvl>
    <w:lvl w:ilvl="8" w:tentative="0">
      <w:start w:val="1"/>
      <w:numFmt w:val="decimal"/>
      <w:pStyle w:val="13"/>
      <w:lvlText w:val="%1.%2.%3.%4.%5.%6.%7.%8.%9"/>
      <w:lvlJc w:val="left"/>
      <w:pPr>
        <w:ind w:left="1584" w:hanging="1584"/>
      </w:pPr>
      <w:rPr>
        <w:rFonts w:hint="eastAsi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1644"/>
  <w:hyphenationZone w:val="425"/>
  <w:drawingGridHorizontalSpacing w:val="120"/>
  <w:displayHorizontalDrawingGridEvery w:val="1"/>
  <w:displayVerticalDrawingGridEvery w:val="1"/>
  <w:noPunctuationKerning w:val="1"/>
  <w:characterSpacingControl w:val="doNotCompress"/>
  <w:footnotePr>
    <w:footnote w:id="378"/>
    <w:footnote w:id="379"/>
  </w:footnotePr>
  <w:compat>
    <w:doNotExpandShiftReturn/>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yMGEzMDE3YTk1ZWNlYjhhOGFiMWRmNjc2NDA3YTIifQ=="/>
  </w:docVars>
  <w:rsids>
    <w:rsidRoot w:val="00DF0C0A"/>
    <w:rsid w:val="00000B12"/>
    <w:rsid w:val="0000205F"/>
    <w:rsid w:val="00020B50"/>
    <w:rsid w:val="00023946"/>
    <w:rsid w:val="00023AD0"/>
    <w:rsid w:val="00034FD6"/>
    <w:rsid w:val="000421E6"/>
    <w:rsid w:val="000449EA"/>
    <w:rsid w:val="00044E62"/>
    <w:rsid w:val="00045EDB"/>
    <w:rsid w:val="000562E5"/>
    <w:rsid w:val="00060005"/>
    <w:rsid w:val="00062F8E"/>
    <w:rsid w:val="00066FEE"/>
    <w:rsid w:val="00071166"/>
    <w:rsid w:val="0007205B"/>
    <w:rsid w:val="00073715"/>
    <w:rsid w:val="000763E2"/>
    <w:rsid w:val="000842C2"/>
    <w:rsid w:val="000A0BA0"/>
    <w:rsid w:val="000B05B4"/>
    <w:rsid w:val="000C024B"/>
    <w:rsid w:val="000C17B2"/>
    <w:rsid w:val="000E57BE"/>
    <w:rsid w:val="000E6E1A"/>
    <w:rsid w:val="000F4C52"/>
    <w:rsid w:val="000F76AF"/>
    <w:rsid w:val="00102C68"/>
    <w:rsid w:val="001136A8"/>
    <w:rsid w:val="00115C2F"/>
    <w:rsid w:val="001242F8"/>
    <w:rsid w:val="00134297"/>
    <w:rsid w:val="001512BB"/>
    <w:rsid w:val="00175B0A"/>
    <w:rsid w:val="0019797D"/>
    <w:rsid w:val="00197C80"/>
    <w:rsid w:val="001A4462"/>
    <w:rsid w:val="001B5220"/>
    <w:rsid w:val="001C1389"/>
    <w:rsid w:val="001D440B"/>
    <w:rsid w:val="001D55BD"/>
    <w:rsid w:val="001E638D"/>
    <w:rsid w:val="001F054C"/>
    <w:rsid w:val="00210441"/>
    <w:rsid w:val="00220010"/>
    <w:rsid w:val="00231A67"/>
    <w:rsid w:val="00252FC4"/>
    <w:rsid w:val="00253630"/>
    <w:rsid w:val="0026005F"/>
    <w:rsid w:val="00271D34"/>
    <w:rsid w:val="002755FD"/>
    <w:rsid w:val="00277EE5"/>
    <w:rsid w:val="00282537"/>
    <w:rsid w:val="002903D6"/>
    <w:rsid w:val="0029438D"/>
    <w:rsid w:val="002A680C"/>
    <w:rsid w:val="002A74AF"/>
    <w:rsid w:val="002B59D0"/>
    <w:rsid w:val="002C07D4"/>
    <w:rsid w:val="002C2B4C"/>
    <w:rsid w:val="002C3875"/>
    <w:rsid w:val="002E00DF"/>
    <w:rsid w:val="002E328A"/>
    <w:rsid w:val="002E6755"/>
    <w:rsid w:val="002E6FE1"/>
    <w:rsid w:val="00301187"/>
    <w:rsid w:val="003052C9"/>
    <w:rsid w:val="00315428"/>
    <w:rsid w:val="00315D26"/>
    <w:rsid w:val="00315FBB"/>
    <w:rsid w:val="0037494D"/>
    <w:rsid w:val="00374D82"/>
    <w:rsid w:val="00385EF1"/>
    <w:rsid w:val="003911D3"/>
    <w:rsid w:val="003958B6"/>
    <w:rsid w:val="003B0952"/>
    <w:rsid w:val="003B107E"/>
    <w:rsid w:val="003B3385"/>
    <w:rsid w:val="003C3BAE"/>
    <w:rsid w:val="003E26C9"/>
    <w:rsid w:val="003F72DD"/>
    <w:rsid w:val="00415348"/>
    <w:rsid w:val="00416D49"/>
    <w:rsid w:val="00427448"/>
    <w:rsid w:val="00433E9F"/>
    <w:rsid w:val="004535E6"/>
    <w:rsid w:val="004537C7"/>
    <w:rsid w:val="004A2ECE"/>
    <w:rsid w:val="004A4E19"/>
    <w:rsid w:val="004D4686"/>
    <w:rsid w:val="004D7FE3"/>
    <w:rsid w:val="004E2535"/>
    <w:rsid w:val="004E4250"/>
    <w:rsid w:val="00506249"/>
    <w:rsid w:val="00522ACD"/>
    <w:rsid w:val="00524234"/>
    <w:rsid w:val="00524BCC"/>
    <w:rsid w:val="0052564E"/>
    <w:rsid w:val="00532A77"/>
    <w:rsid w:val="00545B64"/>
    <w:rsid w:val="0057741B"/>
    <w:rsid w:val="005A31B6"/>
    <w:rsid w:val="005A3F3F"/>
    <w:rsid w:val="005C2C08"/>
    <w:rsid w:val="005C4A24"/>
    <w:rsid w:val="005D57E8"/>
    <w:rsid w:val="005E06CD"/>
    <w:rsid w:val="005E374D"/>
    <w:rsid w:val="005F21CD"/>
    <w:rsid w:val="00610C0D"/>
    <w:rsid w:val="00613B63"/>
    <w:rsid w:val="00620443"/>
    <w:rsid w:val="006208C2"/>
    <w:rsid w:val="006250D6"/>
    <w:rsid w:val="00634847"/>
    <w:rsid w:val="00634A88"/>
    <w:rsid w:val="00640520"/>
    <w:rsid w:val="00663220"/>
    <w:rsid w:val="0066652B"/>
    <w:rsid w:val="006832EE"/>
    <w:rsid w:val="00683E89"/>
    <w:rsid w:val="00691A53"/>
    <w:rsid w:val="00692921"/>
    <w:rsid w:val="00692A16"/>
    <w:rsid w:val="006A0BFF"/>
    <w:rsid w:val="006A105C"/>
    <w:rsid w:val="006A16F3"/>
    <w:rsid w:val="006A31BE"/>
    <w:rsid w:val="006C01CB"/>
    <w:rsid w:val="006C2519"/>
    <w:rsid w:val="006D1856"/>
    <w:rsid w:val="006F05BB"/>
    <w:rsid w:val="006F6FB4"/>
    <w:rsid w:val="006F7CEE"/>
    <w:rsid w:val="00700E3D"/>
    <w:rsid w:val="0072276A"/>
    <w:rsid w:val="0072554C"/>
    <w:rsid w:val="007375DA"/>
    <w:rsid w:val="0074165E"/>
    <w:rsid w:val="007439E6"/>
    <w:rsid w:val="007468F5"/>
    <w:rsid w:val="007514A7"/>
    <w:rsid w:val="00751E10"/>
    <w:rsid w:val="0075497A"/>
    <w:rsid w:val="00755D6F"/>
    <w:rsid w:val="00757144"/>
    <w:rsid w:val="00775918"/>
    <w:rsid w:val="00782A86"/>
    <w:rsid w:val="0078384E"/>
    <w:rsid w:val="00797375"/>
    <w:rsid w:val="007A0E47"/>
    <w:rsid w:val="007A6209"/>
    <w:rsid w:val="007C222B"/>
    <w:rsid w:val="007D03E6"/>
    <w:rsid w:val="007D22D8"/>
    <w:rsid w:val="007E5599"/>
    <w:rsid w:val="007E65AB"/>
    <w:rsid w:val="007F15BC"/>
    <w:rsid w:val="007F3C91"/>
    <w:rsid w:val="007F5787"/>
    <w:rsid w:val="00804EBD"/>
    <w:rsid w:val="00805721"/>
    <w:rsid w:val="00820015"/>
    <w:rsid w:val="00821214"/>
    <w:rsid w:val="008441A2"/>
    <w:rsid w:val="008558EE"/>
    <w:rsid w:val="00856B8D"/>
    <w:rsid w:val="00862FD9"/>
    <w:rsid w:val="008652EC"/>
    <w:rsid w:val="00872EEA"/>
    <w:rsid w:val="008757A4"/>
    <w:rsid w:val="00890AAA"/>
    <w:rsid w:val="008917C7"/>
    <w:rsid w:val="00893216"/>
    <w:rsid w:val="00894809"/>
    <w:rsid w:val="008A7943"/>
    <w:rsid w:val="008A7D08"/>
    <w:rsid w:val="008B317C"/>
    <w:rsid w:val="008B757E"/>
    <w:rsid w:val="008E4BB0"/>
    <w:rsid w:val="008F2336"/>
    <w:rsid w:val="009009DE"/>
    <w:rsid w:val="00901EE5"/>
    <w:rsid w:val="00910400"/>
    <w:rsid w:val="00917883"/>
    <w:rsid w:val="00925382"/>
    <w:rsid w:val="009417C2"/>
    <w:rsid w:val="00952128"/>
    <w:rsid w:val="0098561E"/>
    <w:rsid w:val="00992D78"/>
    <w:rsid w:val="009967A3"/>
    <w:rsid w:val="009976D2"/>
    <w:rsid w:val="009A3EEC"/>
    <w:rsid w:val="009A71BD"/>
    <w:rsid w:val="009B6285"/>
    <w:rsid w:val="009C0514"/>
    <w:rsid w:val="009C1C81"/>
    <w:rsid w:val="009C4594"/>
    <w:rsid w:val="009C51F4"/>
    <w:rsid w:val="009F2A26"/>
    <w:rsid w:val="009F35CD"/>
    <w:rsid w:val="009F7974"/>
    <w:rsid w:val="00A0100C"/>
    <w:rsid w:val="00A24E98"/>
    <w:rsid w:val="00A312DF"/>
    <w:rsid w:val="00A36223"/>
    <w:rsid w:val="00A45AEC"/>
    <w:rsid w:val="00A46781"/>
    <w:rsid w:val="00A56A50"/>
    <w:rsid w:val="00A92290"/>
    <w:rsid w:val="00AA02C6"/>
    <w:rsid w:val="00AA0D16"/>
    <w:rsid w:val="00AA46DA"/>
    <w:rsid w:val="00AC0405"/>
    <w:rsid w:val="00AC07E2"/>
    <w:rsid w:val="00AD50EA"/>
    <w:rsid w:val="00AD6BAE"/>
    <w:rsid w:val="00AD6E56"/>
    <w:rsid w:val="00AE2920"/>
    <w:rsid w:val="00AE2F2C"/>
    <w:rsid w:val="00AF2C31"/>
    <w:rsid w:val="00AF3461"/>
    <w:rsid w:val="00AF5AB8"/>
    <w:rsid w:val="00B155D0"/>
    <w:rsid w:val="00B16893"/>
    <w:rsid w:val="00B27B2E"/>
    <w:rsid w:val="00B35687"/>
    <w:rsid w:val="00B404A9"/>
    <w:rsid w:val="00B42DB5"/>
    <w:rsid w:val="00B76A0D"/>
    <w:rsid w:val="00B9202B"/>
    <w:rsid w:val="00B96E0E"/>
    <w:rsid w:val="00BB2B75"/>
    <w:rsid w:val="00BD1291"/>
    <w:rsid w:val="00BD24CC"/>
    <w:rsid w:val="00BD34FA"/>
    <w:rsid w:val="00BD41FD"/>
    <w:rsid w:val="00BD78A1"/>
    <w:rsid w:val="00BF4C49"/>
    <w:rsid w:val="00C013A8"/>
    <w:rsid w:val="00C05671"/>
    <w:rsid w:val="00C129DE"/>
    <w:rsid w:val="00C23DA7"/>
    <w:rsid w:val="00C27396"/>
    <w:rsid w:val="00C33D90"/>
    <w:rsid w:val="00C4721A"/>
    <w:rsid w:val="00C52228"/>
    <w:rsid w:val="00C55FB0"/>
    <w:rsid w:val="00C62353"/>
    <w:rsid w:val="00C64743"/>
    <w:rsid w:val="00C724A5"/>
    <w:rsid w:val="00C97682"/>
    <w:rsid w:val="00C978E5"/>
    <w:rsid w:val="00C97C6D"/>
    <w:rsid w:val="00CB0B26"/>
    <w:rsid w:val="00CB5FF4"/>
    <w:rsid w:val="00CE01F3"/>
    <w:rsid w:val="00CF07C4"/>
    <w:rsid w:val="00CF2E2B"/>
    <w:rsid w:val="00D07918"/>
    <w:rsid w:val="00D11A67"/>
    <w:rsid w:val="00D13444"/>
    <w:rsid w:val="00D176A6"/>
    <w:rsid w:val="00D320E0"/>
    <w:rsid w:val="00D36487"/>
    <w:rsid w:val="00D46C3C"/>
    <w:rsid w:val="00D633A4"/>
    <w:rsid w:val="00D67A97"/>
    <w:rsid w:val="00D7107B"/>
    <w:rsid w:val="00D80607"/>
    <w:rsid w:val="00D8716F"/>
    <w:rsid w:val="00D9768E"/>
    <w:rsid w:val="00DA22F4"/>
    <w:rsid w:val="00DA3F05"/>
    <w:rsid w:val="00DB1CB7"/>
    <w:rsid w:val="00DB2B99"/>
    <w:rsid w:val="00DB734D"/>
    <w:rsid w:val="00DC2F27"/>
    <w:rsid w:val="00DC57C3"/>
    <w:rsid w:val="00DD3E9D"/>
    <w:rsid w:val="00DE07BE"/>
    <w:rsid w:val="00DE29CC"/>
    <w:rsid w:val="00DE79D5"/>
    <w:rsid w:val="00DF0C0A"/>
    <w:rsid w:val="00DF7A0E"/>
    <w:rsid w:val="00E11C7F"/>
    <w:rsid w:val="00E2779E"/>
    <w:rsid w:val="00E4103C"/>
    <w:rsid w:val="00E43B4B"/>
    <w:rsid w:val="00E647C5"/>
    <w:rsid w:val="00E82E90"/>
    <w:rsid w:val="00E8449C"/>
    <w:rsid w:val="00E94853"/>
    <w:rsid w:val="00EB5C65"/>
    <w:rsid w:val="00EB5ED4"/>
    <w:rsid w:val="00EC2A46"/>
    <w:rsid w:val="00ED08A9"/>
    <w:rsid w:val="00ED12C7"/>
    <w:rsid w:val="00ED690D"/>
    <w:rsid w:val="00EF08DB"/>
    <w:rsid w:val="00EF7950"/>
    <w:rsid w:val="00F023A8"/>
    <w:rsid w:val="00F16366"/>
    <w:rsid w:val="00F1742D"/>
    <w:rsid w:val="00F23857"/>
    <w:rsid w:val="00F3357D"/>
    <w:rsid w:val="00F4009A"/>
    <w:rsid w:val="00F50262"/>
    <w:rsid w:val="00F50A81"/>
    <w:rsid w:val="00F81CC1"/>
    <w:rsid w:val="00FA09E0"/>
    <w:rsid w:val="00FA72EE"/>
    <w:rsid w:val="00FC321E"/>
    <w:rsid w:val="00FC4F82"/>
    <w:rsid w:val="00FE3150"/>
    <w:rsid w:val="00FE4DAE"/>
    <w:rsid w:val="00FF115D"/>
    <w:rsid w:val="03633F1C"/>
    <w:rsid w:val="0580326D"/>
    <w:rsid w:val="06DE41D3"/>
    <w:rsid w:val="07FB6BDB"/>
    <w:rsid w:val="08A35757"/>
    <w:rsid w:val="0953715A"/>
    <w:rsid w:val="098E3A7F"/>
    <w:rsid w:val="0A482EEB"/>
    <w:rsid w:val="0A4C1970"/>
    <w:rsid w:val="0B1C1FC9"/>
    <w:rsid w:val="0C5B2E30"/>
    <w:rsid w:val="0CAA4C53"/>
    <w:rsid w:val="0CFB6FDC"/>
    <w:rsid w:val="0D0E4978"/>
    <w:rsid w:val="0ECA5559"/>
    <w:rsid w:val="0F9A4F2B"/>
    <w:rsid w:val="11785740"/>
    <w:rsid w:val="11CF6595"/>
    <w:rsid w:val="126F6B43"/>
    <w:rsid w:val="137D5290"/>
    <w:rsid w:val="14C90A59"/>
    <w:rsid w:val="155E4C4D"/>
    <w:rsid w:val="156D0C34"/>
    <w:rsid w:val="16CD4493"/>
    <w:rsid w:val="17B133ED"/>
    <w:rsid w:val="18DC7657"/>
    <w:rsid w:val="19341F4D"/>
    <w:rsid w:val="196441AC"/>
    <w:rsid w:val="19923117"/>
    <w:rsid w:val="1A084437"/>
    <w:rsid w:val="1AD14166"/>
    <w:rsid w:val="1C46636E"/>
    <w:rsid w:val="1C547A87"/>
    <w:rsid w:val="1DD15E62"/>
    <w:rsid w:val="1EE95587"/>
    <w:rsid w:val="2020322B"/>
    <w:rsid w:val="2027280B"/>
    <w:rsid w:val="20363689"/>
    <w:rsid w:val="207C25DC"/>
    <w:rsid w:val="209239FD"/>
    <w:rsid w:val="20A033BC"/>
    <w:rsid w:val="20BD4741"/>
    <w:rsid w:val="21303941"/>
    <w:rsid w:val="2141361E"/>
    <w:rsid w:val="21725D08"/>
    <w:rsid w:val="24DD793C"/>
    <w:rsid w:val="25C7239A"/>
    <w:rsid w:val="2697085D"/>
    <w:rsid w:val="26E462F3"/>
    <w:rsid w:val="27D150E1"/>
    <w:rsid w:val="27EA37A1"/>
    <w:rsid w:val="28802805"/>
    <w:rsid w:val="29791C1A"/>
    <w:rsid w:val="2BB12B3E"/>
    <w:rsid w:val="2C387CAA"/>
    <w:rsid w:val="2C594250"/>
    <w:rsid w:val="2F80633D"/>
    <w:rsid w:val="2FB4573E"/>
    <w:rsid w:val="303654A5"/>
    <w:rsid w:val="30A43A04"/>
    <w:rsid w:val="31CB333D"/>
    <w:rsid w:val="32116E77"/>
    <w:rsid w:val="32170BF7"/>
    <w:rsid w:val="321E639F"/>
    <w:rsid w:val="32951856"/>
    <w:rsid w:val="339B5B37"/>
    <w:rsid w:val="33B43F5E"/>
    <w:rsid w:val="34623382"/>
    <w:rsid w:val="35472BB0"/>
    <w:rsid w:val="3579427A"/>
    <w:rsid w:val="35F97693"/>
    <w:rsid w:val="373D34D1"/>
    <w:rsid w:val="38543277"/>
    <w:rsid w:val="3857135C"/>
    <w:rsid w:val="39BF24C9"/>
    <w:rsid w:val="39F83928"/>
    <w:rsid w:val="39FD5F33"/>
    <w:rsid w:val="3B4F775C"/>
    <w:rsid w:val="3B8E778B"/>
    <w:rsid w:val="3D0A1F5D"/>
    <w:rsid w:val="3DD2370C"/>
    <w:rsid w:val="3DE23DBE"/>
    <w:rsid w:val="3E060F4E"/>
    <w:rsid w:val="3E6719E5"/>
    <w:rsid w:val="3E8C68AA"/>
    <w:rsid w:val="3E90381A"/>
    <w:rsid w:val="3EFB495F"/>
    <w:rsid w:val="3FC27A03"/>
    <w:rsid w:val="3FFD3288"/>
    <w:rsid w:val="4032245D"/>
    <w:rsid w:val="40463FD3"/>
    <w:rsid w:val="407654D0"/>
    <w:rsid w:val="40BB01C3"/>
    <w:rsid w:val="41485829"/>
    <w:rsid w:val="41AD023F"/>
    <w:rsid w:val="42693382"/>
    <w:rsid w:val="43847352"/>
    <w:rsid w:val="43B64C3B"/>
    <w:rsid w:val="4683443C"/>
    <w:rsid w:val="46860C43"/>
    <w:rsid w:val="48F20B72"/>
    <w:rsid w:val="49A068D7"/>
    <w:rsid w:val="49DD61F7"/>
    <w:rsid w:val="4A014E3E"/>
    <w:rsid w:val="4A4079D3"/>
    <w:rsid w:val="4BC44EE3"/>
    <w:rsid w:val="4C5C5856"/>
    <w:rsid w:val="4CFB3266"/>
    <w:rsid w:val="4CFB6B8A"/>
    <w:rsid w:val="4DBC6717"/>
    <w:rsid w:val="4E760336"/>
    <w:rsid w:val="4F8228DC"/>
    <w:rsid w:val="4F876C88"/>
    <w:rsid w:val="4FC60E49"/>
    <w:rsid w:val="50250266"/>
    <w:rsid w:val="508807F5"/>
    <w:rsid w:val="5119172D"/>
    <w:rsid w:val="52541547"/>
    <w:rsid w:val="535556C4"/>
    <w:rsid w:val="562148DD"/>
    <w:rsid w:val="56903F5F"/>
    <w:rsid w:val="57016C0B"/>
    <w:rsid w:val="57817D1D"/>
    <w:rsid w:val="581A7F84"/>
    <w:rsid w:val="5B7B02CA"/>
    <w:rsid w:val="5B98279E"/>
    <w:rsid w:val="5BD91F04"/>
    <w:rsid w:val="5BFB631F"/>
    <w:rsid w:val="5C292E8C"/>
    <w:rsid w:val="5CB5062A"/>
    <w:rsid w:val="5CE9261B"/>
    <w:rsid w:val="5D12082E"/>
    <w:rsid w:val="5E19246F"/>
    <w:rsid w:val="5E246282"/>
    <w:rsid w:val="5E4971C5"/>
    <w:rsid w:val="5E934044"/>
    <w:rsid w:val="5EA26B50"/>
    <w:rsid w:val="605B3923"/>
    <w:rsid w:val="621C0D9D"/>
    <w:rsid w:val="62EA2C49"/>
    <w:rsid w:val="62F97A6F"/>
    <w:rsid w:val="633F3D40"/>
    <w:rsid w:val="63C139AA"/>
    <w:rsid w:val="646507D9"/>
    <w:rsid w:val="64782C06"/>
    <w:rsid w:val="676A3E12"/>
    <w:rsid w:val="67D5446A"/>
    <w:rsid w:val="681364CD"/>
    <w:rsid w:val="68833F14"/>
    <w:rsid w:val="698A6F34"/>
    <w:rsid w:val="6AD06BC8"/>
    <w:rsid w:val="6B2370D5"/>
    <w:rsid w:val="6B612195"/>
    <w:rsid w:val="6BA66029"/>
    <w:rsid w:val="6D321474"/>
    <w:rsid w:val="6F942D9B"/>
    <w:rsid w:val="706865F7"/>
    <w:rsid w:val="71997FEE"/>
    <w:rsid w:val="736B7A4B"/>
    <w:rsid w:val="73700F48"/>
    <w:rsid w:val="751A31BB"/>
    <w:rsid w:val="753164B5"/>
    <w:rsid w:val="76397933"/>
    <w:rsid w:val="76D31EA2"/>
    <w:rsid w:val="76DD68F5"/>
    <w:rsid w:val="76E64C26"/>
    <w:rsid w:val="76EE28B0"/>
    <w:rsid w:val="77651D73"/>
    <w:rsid w:val="78485FF0"/>
    <w:rsid w:val="78731433"/>
    <w:rsid w:val="7AC932FE"/>
    <w:rsid w:val="7AF976D0"/>
    <w:rsid w:val="7CA37C99"/>
    <w:rsid w:val="7CC20EBA"/>
    <w:rsid w:val="7FB26180"/>
    <w:rsid w:val="7FF432F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semiHidden="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iPriority="39" w:semiHidden="0" w:name="toc 1"/>
    <w:lsdException w:uiPriority="39" w:semiHidden="0" w:name="toc 2"/>
    <w:lsdException w:uiPriority="39" w:semiHidden="0" w:name="toc 3"/>
    <w:lsdException w:unhideWhenUsed="0" w:uiPriority="39" w:semiHidden="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0" w:semiHidden="0" w:name="footnote text"/>
    <w:lsdException w:uiPriority="99" w:name="annotation text"/>
    <w:lsdException w:uiPriority="99" w:semiHidden="0" w:name="header"/>
    <w:lsdException w:uiPriority="0" w:semiHidden="0" w:name="footer"/>
    <w:lsdException w:unhideWhenUsed="0" w:uiPriority="0" w:name="index heading"/>
    <w:lsdException w:qFormat="1" w:unhideWhenUsed="0" w:uiPriority="0" w:semiHidden="0" w:name="caption"/>
    <w:lsdException w:uiPriority="99" w:semiHidden="0" w:name="table of figures"/>
    <w:lsdException w:uiPriority="99" w:name="envelope address"/>
    <w:lsdException w:uiPriority="99" w:name="envelope return"/>
    <w:lsdException w:uiPriority="0" w:semiHidden="0"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name="Body Text Indent 2"/>
    <w:lsdException w:uiPriority="99" w:name="Body Text Indent 3"/>
    <w:lsdException w:uiPriority="99" w:name="Block Text"/>
    <w:lsdException w:uiPriority="99" w:semiHidden="0" w:name="Hyperlink"/>
    <w:lsdException w:uiPriority="0" w:semiHidden="0" w:name="FollowedHyperlink"/>
    <w:lsdException w:qFormat="1" w:unhideWhenUsed="0" w:uiPriority="22" w:semiHidden="0" w:name="Strong"/>
    <w:lsdException w:qFormat="1" w:unhideWhenUsed="0" w:uiPriority="20" w:semiHidden="0" w:name="Emphasis"/>
    <w:lsdException w:uiPriority="0" w:semiHidden="0" w:name="Document Map"/>
    <w:lsdException w:uiPriority="0" w:semiHidden="0"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jc w:val="both"/>
    </w:pPr>
    <w:rPr>
      <w:sz w:val="24"/>
      <w:szCs w:val="24"/>
      <w:lang w:val="de-DE" w:eastAsia="de-DE" w:bidi="ar-SA"/>
    </w:rPr>
  </w:style>
  <w:style w:type="paragraph" w:styleId="3">
    <w:name w:val="heading 1"/>
    <w:basedOn w:val="4"/>
    <w:qFormat/>
    <w:uiPriority w:val="0"/>
    <w:pPr>
      <w:keepNext/>
      <w:numPr>
        <w:ilvl w:val="0"/>
        <w:numId w:val="1"/>
      </w:numPr>
      <w:spacing w:after="240" w:line="360" w:lineRule="auto"/>
      <w:ind w:left="431" w:hanging="431"/>
      <w:outlineLvl w:val="0"/>
    </w:pPr>
    <w:rPr>
      <w:b/>
      <w:sz w:val="28"/>
    </w:rPr>
  </w:style>
  <w:style w:type="paragraph" w:styleId="5">
    <w:name w:val="heading 2"/>
    <w:basedOn w:val="6"/>
    <w:next w:val="1"/>
    <w:qFormat/>
    <w:uiPriority w:val="0"/>
    <w:pPr>
      <w:numPr>
        <w:ilvl w:val="1"/>
        <w:numId w:val="1"/>
      </w:numPr>
      <w:spacing w:before="0"/>
      <w:ind w:left="578" w:hanging="578"/>
      <w:outlineLvl w:val="1"/>
    </w:pPr>
    <w:rPr>
      <w:rFonts w:ascii="Times New Roman" w:hAnsi="Times New Roman"/>
      <w:b/>
      <w:color w:val="auto"/>
      <w:sz w:val="24"/>
    </w:rPr>
  </w:style>
  <w:style w:type="paragraph" w:styleId="7">
    <w:name w:val="heading 3"/>
    <w:basedOn w:val="1"/>
    <w:next w:val="1"/>
    <w:qFormat/>
    <w:uiPriority w:val="0"/>
    <w:pPr>
      <w:keepNext/>
      <w:numPr>
        <w:ilvl w:val="2"/>
        <w:numId w:val="1"/>
      </w:numPr>
      <w:spacing w:after="240" w:line="360" w:lineRule="auto"/>
      <w:outlineLvl w:val="2"/>
    </w:pPr>
    <w:rPr>
      <w:b/>
    </w:rPr>
  </w:style>
  <w:style w:type="paragraph" w:styleId="8">
    <w:name w:val="heading 4"/>
    <w:basedOn w:val="7"/>
    <w:next w:val="1"/>
    <w:qFormat/>
    <w:uiPriority w:val="0"/>
    <w:pPr>
      <w:numPr>
        <w:ilvl w:val="3"/>
        <w:numId w:val="1"/>
      </w:numPr>
      <w:outlineLvl w:val="3"/>
    </w:pPr>
  </w:style>
  <w:style w:type="paragraph" w:styleId="9">
    <w:name w:val="heading 5"/>
    <w:basedOn w:val="1"/>
    <w:next w:val="1"/>
    <w:qFormat/>
    <w:uiPriority w:val="0"/>
    <w:pPr>
      <w:keepNext/>
      <w:numPr>
        <w:ilvl w:val="4"/>
        <w:numId w:val="1"/>
      </w:numPr>
      <w:jc w:val="center"/>
      <w:outlineLvl w:val="4"/>
    </w:pPr>
    <w:rPr>
      <w:b/>
      <w:bCs/>
      <w:sz w:val="28"/>
    </w:rPr>
  </w:style>
  <w:style w:type="paragraph" w:styleId="10">
    <w:name w:val="heading 6"/>
    <w:basedOn w:val="1"/>
    <w:next w:val="1"/>
    <w:link w:val="53"/>
    <w:unhideWhenUsed/>
    <w:qFormat/>
    <w:uiPriority w:val="9"/>
    <w:pPr>
      <w:numPr>
        <w:ilvl w:val="5"/>
        <w:numId w:val="1"/>
      </w:numPr>
      <w:spacing w:before="240" w:after="60"/>
      <w:outlineLvl w:val="5"/>
    </w:pPr>
    <w:rPr>
      <w:rFonts w:ascii="Calibri" w:hAnsi="Calibri" w:eastAsia="Times New Roman" w:cs="Times New Roman"/>
      <w:b/>
      <w:bCs/>
      <w:sz w:val="22"/>
      <w:szCs w:val="22"/>
    </w:rPr>
  </w:style>
  <w:style w:type="paragraph" w:styleId="11">
    <w:name w:val="heading 7"/>
    <w:basedOn w:val="1"/>
    <w:next w:val="1"/>
    <w:link w:val="54"/>
    <w:unhideWhenUsed/>
    <w:qFormat/>
    <w:uiPriority w:val="9"/>
    <w:pPr>
      <w:numPr>
        <w:ilvl w:val="6"/>
        <w:numId w:val="1"/>
      </w:numPr>
      <w:spacing w:before="240" w:after="60"/>
      <w:outlineLvl w:val="6"/>
    </w:pPr>
    <w:rPr>
      <w:rFonts w:ascii="Calibri" w:hAnsi="Calibri" w:eastAsia="Times New Roman" w:cs="Times New Roman"/>
    </w:rPr>
  </w:style>
  <w:style w:type="paragraph" w:styleId="12">
    <w:name w:val="heading 8"/>
    <w:basedOn w:val="1"/>
    <w:next w:val="1"/>
    <w:link w:val="55"/>
    <w:unhideWhenUsed/>
    <w:qFormat/>
    <w:uiPriority w:val="9"/>
    <w:pPr>
      <w:numPr>
        <w:ilvl w:val="7"/>
        <w:numId w:val="1"/>
      </w:numPr>
      <w:spacing w:before="240" w:after="60"/>
      <w:outlineLvl w:val="7"/>
    </w:pPr>
    <w:rPr>
      <w:rFonts w:ascii="Calibri" w:hAnsi="Calibri" w:eastAsia="Times New Roman" w:cs="Times New Roman"/>
      <w:i/>
      <w:iCs/>
    </w:rPr>
  </w:style>
  <w:style w:type="paragraph" w:styleId="13">
    <w:name w:val="heading 9"/>
    <w:basedOn w:val="1"/>
    <w:next w:val="1"/>
    <w:link w:val="56"/>
    <w:unhideWhenUsed/>
    <w:qFormat/>
    <w:uiPriority w:val="9"/>
    <w:pPr>
      <w:numPr>
        <w:ilvl w:val="8"/>
        <w:numId w:val="1"/>
      </w:numPr>
      <w:spacing w:before="240" w:after="60"/>
      <w:outlineLvl w:val="8"/>
    </w:pPr>
    <w:rPr>
      <w:rFonts w:ascii="Cambria" w:hAnsi="Cambria" w:eastAsia="Times New Roman" w:cs="Times New Roman"/>
      <w:sz w:val="22"/>
      <w:szCs w:val="22"/>
    </w:rPr>
  </w:style>
  <w:style w:type="character" w:default="1" w:styleId="46">
    <w:name w:val="Default Paragraph Font"/>
    <w:unhideWhenUsed/>
    <w:uiPriority w:val="0"/>
  </w:style>
  <w:style w:type="table" w:default="1" w:styleId="44">
    <w:name w:val="Normal Table"/>
    <w:unhideWhenUsed/>
    <w:uiPriority w:val="99"/>
    <w:tblPr>
      <w:tblStyle w:val="44"/>
      <w:tblCellMar>
        <w:top w:w="0" w:type="dxa"/>
        <w:left w:w="108" w:type="dxa"/>
        <w:bottom w:w="0" w:type="dxa"/>
        <w:right w:w="108" w:type="dxa"/>
      </w:tblCellMar>
    </w:tblPr>
  </w:style>
  <w:style w:type="paragraph" w:styleId="2">
    <w:name w:val="Body Text"/>
    <w:basedOn w:val="1"/>
    <w:semiHidden/>
    <w:uiPriority w:val="0"/>
    <w:pPr>
      <w:spacing w:line="360" w:lineRule="auto"/>
      <w:jc w:val="both"/>
    </w:pPr>
  </w:style>
  <w:style w:type="paragraph" w:customStyle="1" w:styleId="4">
    <w:name w:val="_Style 4"/>
    <w:basedOn w:val="1"/>
    <w:next w:val="1"/>
    <w:unhideWhenUsed/>
    <w:qFormat/>
    <w:uiPriority w:val="0"/>
  </w:style>
  <w:style w:type="paragraph" w:customStyle="1" w:styleId="6">
    <w:name w:val="_Style 3"/>
    <w:basedOn w:val="3"/>
    <w:next w:val="1"/>
    <w:qFormat/>
    <w:uiPriority w:val="0"/>
    <w:pPr>
      <w:keepLines/>
      <w:spacing w:before="480"/>
      <w:outlineLvl w:val="9"/>
    </w:pPr>
    <w:rPr>
      <w:rFonts w:ascii="Cambria" w:hAnsi="Cambria"/>
      <w:b w:val="0"/>
      <w:bCs/>
      <w:color w:val="365F91"/>
      <w:szCs w:val="28"/>
    </w:rPr>
  </w:style>
  <w:style w:type="paragraph" w:styleId="14">
    <w:name w:val="toc 7"/>
    <w:basedOn w:val="1"/>
    <w:next w:val="1"/>
    <w:semiHidden/>
    <w:uiPriority w:val="0"/>
    <w:pPr>
      <w:ind w:left="1440"/>
    </w:pPr>
  </w:style>
  <w:style w:type="paragraph" w:styleId="15">
    <w:name w:val="index 8"/>
    <w:basedOn w:val="1"/>
    <w:next w:val="1"/>
    <w:semiHidden/>
    <w:uiPriority w:val="0"/>
    <w:pPr>
      <w:ind w:left="1920" w:hanging="240"/>
    </w:pPr>
  </w:style>
  <w:style w:type="paragraph" w:styleId="16">
    <w:name w:val="caption"/>
    <w:basedOn w:val="1"/>
    <w:next w:val="1"/>
    <w:qFormat/>
    <w:uiPriority w:val="0"/>
    <w:rPr>
      <w:b/>
      <w:bCs/>
      <w:sz w:val="20"/>
      <w:szCs w:val="20"/>
    </w:rPr>
  </w:style>
  <w:style w:type="paragraph" w:styleId="17">
    <w:name w:val="index 5"/>
    <w:basedOn w:val="1"/>
    <w:next w:val="1"/>
    <w:semiHidden/>
    <w:uiPriority w:val="0"/>
    <w:pPr>
      <w:ind w:left="1200" w:hanging="240"/>
    </w:pPr>
  </w:style>
  <w:style w:type="paragraph" w:styleId="18">
    <w:name w:val="Document Map"/>
    <w:basedOn w:val="1"/>
    <w:unhideWhenUsed/>
    <w:uiPriority w:val="0"/>
    <w:rPr>
      <w:rFonts w:ascii="Tahoma" w:hAnsi="Tahoma" w:cs="Tahoma"/>
      <w:sz w:val="16"/>
      <w:szCs w:val="16"/>
    </w:rPr>
  </w:style>
  <w:style w:type="paragraph" w:styleId="19">
    <w:name w:val="index 6"/>
    <w:basedOn w:val="1"/>
    <w:next w:val="1"/>
    <w:semiHidden/>
    <w:uiPriority w:val="0"/>
    <w:pPr>
      <w:ind w:left="1440" w:hanging="240"/>
    </w:pPr>
  </w:style>
  <w:style w:type="paragraph" w:styleId="20">
    <w:name w:val="Body Text Indent"/>
    <w:basedOn w:val="1"/>
    <w:semiHidden/>
    <w:uiPriority w:val="0"/>
    <w:pPr>
      <w:spacing w:line="360" w:lineRule="auto"/>
      <w:ind w:left="705"/>
    </w:pPr>
  </w:style>
  <w:style w:type="paragraph" w:styleId="21">
    <w:name w:val="index 4"/>
    <w:basedOn w:val="1"/>
    <w:next w:val="1"/>
    <w:semiHidden/>
    <w:uiPriority w:val="0"/>
    <w:pPr>
      <w:ind w:left="960" w:hanging="240"/>
    </w:pPr>
  </w:style>
  <w:style w:type="paragraph" w:styleId="22">
    <w:name w:val="toc 5"/>
    <w:basedOn w:val="1"/>
    <w:next w:val="1"/>
    <w:semiHidden/>
    <w:uiPriority w:val="0"/>
    <w:pPr>
      <w:ind w:left="960"/>
    </w:pPr>
  </w:style>
  <w:style w:type="paragraph" w:styleId="23">
    <w:name w:val="toc 3"/>
    <w:basedOn w:val="1"/>
    <w:next w:val="1"/>
    <w:unhideWhenUsed/>
    <w:uiPriority w:val="39"/>
    <w:pPr>
      <w:tabs>
        <w:tab w:val="left" w:pos="1320"/>
        <w:tab w:val="left" w:pos="1701"/>
        <w:tab w:val="right" w:leader="dot" w:pos="8494"/>
      </w:tabs>
      <w:spacing w:after="60"/>
      <w:ind w:left="454"/>
    </w:pPr>
    <w:rPr>
      <w:lang/>
    </w:rPr>
  </w:style>
  <w:style w:type="paragraph" w:styleId="24">
    <w:name w:val="Plain Text"/>
    <w:basedOn w:val="1"/>
    <w:unhideWhenUsed/>
    <w:uiPriority w:val="0"/>
    <w:rPr>
      <w:rFonts w:ascii="Arial" w:hAnsi="Arial" w:eastAsia="Times New Roman"/>
      <w:szCs w:val="21"/>
      <w:lang w:eastAsia="zh-CN"/>
    </w:rPr>
  </w:style>
  <w:style w:type="paragraph" w:styleId="25">
    <w:name w:val="toc 8"/>
    <w:basedOn w:val="1"/>
    <w:next w:val="1"/>
    <w:semiHidden/>
    <w:uiPriority w:val="0"/>
    <w:pPr>
      <w:ind w:left="1680"/>
    </w:pPr>
  </w:style>
  <w:style w:type="paragraph" w:styleId="26">
    <w:name w:val="index 3"/>
    <w:basedOn w:val="1"/>
    <w:next w:val="1"/>
    <w:semiHidden/>
    <w:uiPriority w:val="0"/>
    <w:pPr>
      <w:ind w:left="720" w:hanging="240"/>
    </w:pPr>
  </w:style>
  <w:style w:type="paragraph" w:styleId="27">
    <w:name w:val="Body Text Indent 2"/>
    <w:basedOn w:val="1"/>
    <w:semiHidden/>
    <w:uiPriority w:val="0"/>
    <w:pPr>
      <w:ind w:left="340" w:hanging="340"/>
    </w:pPr>
    <w:rPr>
      <w:color w:val="FF0000"/>
    </w:rPr>
  </w:style>
  <w:style w:type="paragraph" w:styleId="28">
    <w:name w:val="Balloon Text"/>
    <w:basedOn w:val="1"/>
    <w:unhideWhenUsed/>
    <w:uiPriority w:val="0"/>
    <w:rPr>
      <w:rFonts w:ascii="Tahoma" w:hAnsi="Tahoma" w:cs="Tahoma"/>
      <w:sz w:val="16"/>
      <w:szCs w:val="16"/>
    </w:rPr>
  </w:style>
  <w:style w:type="paragraph" w:styleId="29">
    <w:name w:val="footer"/>
    <w:basedOn w:val="1"/>
    <w:unhideWhenUsed/>
    <w:uiPriority w:val="0"/>
    <w:pPr>
      <w:tabs>
        <w:tab w:val="center" w:pos="4536"/>
        <w:tab w:val="right" w:pos="9072"/>
      </w:tabs>
    </w:pPr>
  </w:style>
  <w:style w:type="paragraph" w:styleId="30">
    <w:name w:val="header"/>
    <w:basedOn w:val="1"/>
    <w:unhideWhenUsed/>
    <w:uiPriority w:val="99"/>
    <w:pPr>
      <w:tabs>
        <w:tab w:val="center" w:pos="4536"/>
        <w:tab w:val="right" w:pos="9072"/>
      </w:tabs>
    </w:pPr>
  </w:style>
  <w:style w:type="paragraph" w:styleId="31">
    <w:name w:val="toc 1"/>
    <w:basedOn w:val="1"/>
    <w:next w:val="1"/>
    <w:unhideWhenUsed/>
    <w:uiPriority w:val="39"/>
    <w:pPr>
      <w:tabs>
        <w:tab w:val="left" w:pos="440"/>
        <w:tab w:val="right" w:leader="dot" w:pos="8494"/>
      </w:tabs>
      <w:spacing w:before="200" w:after="120"/>
    </w:pPr>
    <w:rPr>
      <w:b/>
      <w:lang/>
    </w:rPr>
  </w:style>
  <w:style w:type="paragraph" w:styleId="32">
    <w:name w:val="toc 4"/>
    <w:basedOn w:val="1"/>
    <w:next w:val="1"/>
    <w:uiPriority w:val="39"/>
    <w:pPr>
      <w:tabs>
        <w:tab w:val="left" w:pos="1680"/>
        <w:tab w:val="left" w:pos="2071"/>
        <w:tab w:val="right" w:leader="dot" w:pos="8494"/>
      </w:tabs>
      <w:ind w:left="680"/>
    </w:pPr>
  </w:style>
  <w:style w:type="paragraph" w:styleId="33">
    <w:name w:val="index heading"/>
    <w:basedOn w:val="1"/>
    <w:next w:val="34"/>
    <w:semiHidden/>
    <w:uiPriority w:val="0"/>
  </w:style>
  <w:style w:type="paragraph" w:styleId="34">
    <w:name w:val="index 1"/>
    <w:basedOn w:val="1"/>
    <w:next w:val="1"/>
    <w:unhideWhenUsed/>
    <w:uiPriority w:val="0"/>
    <w:pPr>
      <w:ind w:left="240" w:hanging="240"/>
    </w:pPr>
  </w:style>
  <w:style w:type="paragraph" w:styleId="35">
    <w:name w:val="footnote text"/>
    <w:basedOn w:val="1"/>
    <w:unhideWhenUsed/>
    <w:uiPriority w:val="0"/>
    <w:rPr>
      <w:sz w:val="20"/>
      <w:szCs w:val="20"/>
    </w:rPr>
  </w:style>
  <w:style w:type="paragraph" w:styleId="36">
    <w:name w:val="toc 6"/>
    <w:basedOn w:val="1"/>
    <w:next w:val="1"/>
    <w:semiHidden/>
    <w:uiPriority w:val="0"/>
    <w:pPr>
      <w:ind w:left="1200"/>
    </w:pPr>
  </w:style>
  <w:style w:type="paragraph" w:styleId="37">
    <w:name w:val="index 7"/>
    <w:basedOn w:val="1"/>
    <w:next w:val="1"/>
    <w:semiHidden/>
    <w:uiPriority w:val="0"/>
    <w:pPr>
      <w:ind w:left="1680" w:hanging="240"/>
    </w:pPr>
  </w:style>
  <w:style w:type="paragraph" w:styleId="38">
    <w:name w:val="index 9"/>
    <w:basedOn w:val="1"/>
    <w:next w:val="1"/>
    <w:semiHidden/>
    <w:uiPriority w:val="0"/>
    <w:pPr>
      <w:ind w:left="2160" w:hanging="240"/>
    </w:pPr>
  </w:style>
  <w:style w:type="paragraph" w:styleId="39">
    <w:name w:val="table of figures"/>
    <w:basedOn w:val="1"/>
    <w:next w:val="1"/>
    <w:unhideWhenUsed/>
    <w:uiPriority w:val="99"/>
    <w:pPr>
      <w:spacing w:before="60" w:after="60"/>
    </w:pPr>
  </w:style>
  <w:style w:type="paragraph" w:styleId="40">
    <w:name w:val="toc 2"/>
    <w:basedOn w:val="1"/>
    <w:next w:val="1"/>
    <w:unhideWhenUsed/>
    <w:uiPriority w:val="39"/>
    <w:pPr>
      <w:tabs>
        <w:tab w:val="left" w:pos="880"/>
        <w:tab w:val="left" w:pos="1200"/>
        <w:tab w:val="right" w:leader="dot" w:pos="8494"/>
      </w:tabs>
      <w:spacing w:before="60" w:after="60"/>
      <w:ind w:left="227"/>
    </w:pPr>
    <w:rPr>
      <w:lang/>
    </w:rPr>
  </w:style>
  <w:style w:type="paragraph" w:styleId="41">
    <w:name w:val="toc 9"/>
    <w:basedOn w:val="1"/>
    <w:next w:val="1"/>
    <w:semiHidden/>
    <w:uiPriority w:val="0"/>
    <w:pPr>
      <w:ind w:left="1920"/>
    </w:pPr>
  </w:style>
  <w:style w:type="paragraph" w:styleId="42">
    <w:name w:val="Normal (Web)"/>
    <w:basedOn w:val="1"/>
    <w:unhideWhenUsed/>
    <w:uiPriority w:val="0"/>
    <w:pPr>
      <w:spacing w:before="100" w:beforeAutospacing="1" w:after="100" w:afterAutospacing="1"/>
      <w:jc w:val="left"/>
    </w:pPr>
    <w:rPr>
      <w:rFonts w:eastAsia="Times New Roman"/>
      <w:lang w:eastAsia="zh-CN"/>
    </w:rPr>
  </w:style>
  <w:style w:type="paragraph" w:styleId="43">
    <w:name w:val="index 2"/>
    <w:basedOn w:val="1"/>
    <w:next w:val="1"/>
    <w:semiHidden/>
    <w:uiPriority w:val="0"/>
    <w:pPr>
      <w:ind w:left="480" w:hanging="240"/>
    </w:pPr>
  </w:style>
  <w:style w:type="table" w:styleId="45">
    <w:name w:val="Table Grid"/>
    <w:basedOn w:val="44"/>
    <w:qFormat/>
    <w:uiPriority w:val="0"/>
    <w:pPr>
      <w:widowControl w:val="0"/>
      <w:jc w:val="both"/>
    </w:pPr>
    <w:tblPr>
      <w:tblStyle w:val="4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7">
    <w:name w:val="Strong"/>
    <w:basedOn w:val="46"/>
    <w:qFormat/>
    <w:uiPriority w:val="22"/>
    <w:rPr>
      <w:b/>
    </w:rPr>
  </w:style>
  <w:style w:type="character" w:styleId="48">
    <w:name w:val="page number"/>
    <w:basedOn w:val="46"/>
    <w:semiHidden/>
    <w:uiPriority w:val="0"/>
  </w:style>
  <w:style w:type="character" w:styleId="49">
    <w:name w:val="FollowedHyperlink"/>
    <w:unhideWhenUsed/>
    <w:uiPriority w:val="0"/>
    <w:rPr>
      <w:color w:val="800080"/>
      <w:u w:val="single"/>
    </w:rPr>
  </w:style>
  <w:style w:type="character" w:styleId="50">
    <w:name w:val="Emphasis"/>
    <w:basedOn w:val="46"/>
    <w:qFormat/>
    <w:uiPriority w:val="20"/>
    <w:rPr>
      <w:i/>
    </w:rPr>
  </w:style>
  <w:style w:type="character" w:styleId="51">
    <w:name w:val="Hyperlink"/>
    <w:unhideWhenUsed/>
    <w:uiPriority w:val="99"/>
    <w:rPr>
      <w:color w:val="0000FF"/>
      <w:u w:val="single"/>
    </w:rPr>
  </w:style>
  <w:style w:type="character" w:styleId="52">
    <w:name w:val="footnote reference"/>
    <w:unhideWhenUsed/>
    <w:uiPriority w:val="0"/>
    <w:rPr>
      <w:vertAlign w:val="superscript"/>
    </w:rPr>
  </w:style>
  <w:style w:type="character" w:customStyle="1" w:styleId="53">
    <w:name w:val="Überschrift 6 Zchn"/>
    <w:link w:val="10"/>
    <w:semiHidden/>
    <w:uiPriority w:val="9"/>
    <w:rPr>
      <w:rFonts w:ascii="Calibri" w:hAnsi="Calibri" w:eastAsia="Times New Roman" w:cs="Times New Roman"/>
      <w:b/>
      <w:bCs/>
      <w:sz w:val="22"/>
      <w:szCs w:val="22"/>
    </w:rPr>
  </w:style>
  <w:style w:type="character" w:customStyle="1" w:styleId="54">
    <w:name w:val="Überschrift 7 Zchn"/>
    <w:link w:val="11"/>
    <w:semiHidden/>
    <w:uiPriority w:val="9"/>
    <w:rPr>
      <w:rFonts w:ascii="Calibri" w:hAnsi="Calibri" w:eastAsia="Times New Roman" w:cs="Times New Roman"/>
      <w:sz w:val="24"/>
      <w:szCs w:val="24"/>
    </w:rPr>
  </w:style>
  <w:style w:type="character" w:customStyle="1" w:styleId="55">
    <w:name w:val="Überschrift 8 Zchn"/>
    <w:link w:val="12"/>
    <w:semiHidden/>
    <w:uiPriority w:val="9"/>
    <w:rPr>
      <w:rFonts w:ascii="Calibri" w:hAnsi="Calibri" w:eastAsia="Times New Roman" w:cs="Times New Roman"/>
      <w:i/>
      <w:iCs/>
      <w:sz w:val="24"/>
      <w:szCs w:val="24"/>
    </w:rPr>
  </w:style>
  <w:style w:type="character" w:customStyle="1" w:styleId="56">
    <w:name w:val="Überschrift 9 Zchn"/>
    <w:link w:val="13"/>
    <w:semiHidden/>
    <w:uiPriority w:val="9"/>
    <w:rPr>
      <w:rFonts w:ascii="Cambria" w:hAnsi="Cambria" w:eastAsia="Times New Roman" w:cs="Times New Roman"/>
      <w:sz w:val="22"/>
      <w:szCs w:val="22"/>
    </w:rPr>
  </w:style>
  <w:style w:type="character" w:customStyle="1" w:styleId="57">
    <w:name w:val="Fußnotentext Zchn"/>
    <w:uiPriority w:val="0"/>
    <w:rPr>
      <w:lang w:eastAsia="de-DE"/>
    </w:rPr>
  </w:style>
  <w:style w:type="paragraph" w:styleId="58">
    <w:name w:val=""/>
    <w:basedOn w:val="1"/>
    <w:next w:val="1"/>
    <w:unhideWhenUsed/>
    <w:uiPriority w:val="0"/>
  </w:style>
  <w:style w:type="paragraph" w:styleId="59">
    <w:name w:val=""/>
    <w:basedOn w:val="3"/>
    <w:next w:val="1"/>
    <w:qFormat/>
    <w:uiPriority w:val="0"/>
    <w:pPr>
      <w:keepLines/>
      <w:spacing w:before="480"/>
      <w:outlineLvl w:val="9"/>
    </w:pPr>
    <w:rPr>
      <w:rFonts w:ascii="Cambria" w:hAnsi="Cambria"/>
      <w:b w:val="0"/>
      <w:bCs/>
      <w:color w:val="365F91"/>
      <w:szCs w:val="28"/>
    </w:rPr>
  </w:style>
  <w:style w:type="paragraph" w:styleId="60">
    <w:name w:val="List Paragraph"/>
    <w:basedOn w:val="1"/>
    <w:qFormat/>
    <w:uiPriority w:val="0"/>
    <w:pPr>
      <w:ind w:left="720"/>
      <w:contextualSpacing/>
    </w:pPr>
  </w:style>
  <w:style w:type="character" w:customStyle="1" w:styleId="61">
    <w:name w:val="Kopfzeile Zchn"/>
    <w:uiPriority w:val="99"/>
    <w:rPr>
      <w:sz w:val="24"/>
      <w:szCs w:val="24"/>
      <w:lang w:eastAsia="de-DE"/>
    </w:rPr>
  </w:style>
  <w:style w:type="character" w:customStyle="1" w:styleId="62">
    <w:name w:val="Fußzeile Zchn"/>
    <w:uiPriority w:val="0"/>
    <w:rPr>
      <w:sz w:val="24"/>
      <w:szCs w:val="24"/>
      <w:lang w:eastAsia="de-DE"/>
    </w:rPr>
  </w:style>
  <w:style w:type="character" w:customStyle="1" w:styleId="63">
    <w:name w:val="Dokumentstruktur Zchn"/>
    <w:semiHidden/>
    <w:uiPriority w:val="0"/>
    <w:rPr>
      <w:rFonts w:ascii="Tahoma" w:hAnsi="Tahoma" w:cs="Tahoma"/>
      <w:sz w:val="16"/>
      <w:szCs w:val="16"/>
      <w:lang w:eastAsia="de-DE"/>
    </w:rPr>
  </w:style>
  <w:style w:type="paragraph" w:customStyle="1" w:styleId="64">
    <w:name w:val="Text 4"/>
    <w:basedOn w:val="3"/>
    <w:qFormat/>
    <w:uiPriority w:val="0"/>
    <w:pPr>
      <w:jc w:val="center"/>
    </w:pPr>
    <w:rPr>
      <w:b w:val="0"/>
      <w:sz w:val="36"/>
      <w:szCs w:val="36"/>
    </w:rPr>
  </w:style>
  <w:style w:type="paragraph" w:customStyle="1" w:styleId="65">
    <w:name w:val="Text 3"/>
    <w:basedOn w:val="1"/>
    <w:qFormat/>
    <w:uiPriority w:val="0"/>
    <w:pPr>
      <w:spacing w:line="480" w:lineRule="auto"/>
      <w:jc w:val="center"/>
    </w:pPr>
    <w:rPr>
      <w:sz w:val="32"/>
      <w:szCs w:val="32"/>
    </w:rPr>
  </w:style>
  <w:style w:type="character" w:customStyle="1" w:styleId="66">
    <w:name w:val="Literaturverzeichnis Zchn"/>
    <w:semiHidden/>
    <w:uiPriority w:val="0"/>
    <w:rPr>
      <w:sz w:val="24"/>
      <w:szCs w:val="24"/>
      <w:lang w:eastAsia="de-DE"/>
    </w:rPr>
  </w:style>
  <w:style w:type="character" w:customStyle="1" w:styleId="67">
    <w:name w:val="Überschrift 1 Zchn"/>
    <w:uiPriority w:val="0"/>
    <w:rPr>
      <w:b/>
      <w:sz w:val="28"/>
      <w:szCs w:val="24"/>
      <w:lang w:eastAsia="de-DE"/>
    </w:rPr>
  </w:style>
  <w:style w:type="character" w:customStyle="1" w:styleId="68">
    <w:name w:val="Text 4 Zchn"/>
    <w:basedOn w:val="67"/>
    <w:uiPriority w:val="0"/>
  </w:style>
  <w:style w:type="paragraph" w:customStyle="1" w:styleId="69">
    <w:name w:val="Text 2"/>
    <w:basedOn w:val="5"/>
    <w:qFormat/>
    <w:uiPriority w:val="0"/>
    <w:pPr>
      <w:jc w:val="center"/>
    </w:pPr>
    <w:rPr>
      <w:sz w:val="32"/>
      <w:szCs w:val="32"/>
    </w:rPr>
  </w:style>
  <w:style w:type="character" w:customStyle="1" w:styleId="70">
    <w:name w:val="Text 3 Zchn"/>
    <w:uiPriority w:val="0"/>
    <w:rPr>
      <w:sz w:val="32"/>
      <w:szCs w:val="32"/>
      <w:lang w:eastAsia="de-DE"/>
    </w:rPr>
  </w:style>
  <w:style w:type="character" w:customStyle="1" w:styleId="71">
    <w:name w:val="Inhaltsverzeichnisüberschrift Zchn"/>
    <w:semiHidden/>
    <w:uiPriority w:val="0"/>
    <w:rPr>
      <w:rFonts w:ascii="Cambria" w:hAnsi="Cambria" w:eastAsia="宋体" w:cs="Times New Roman"/>
      <w:b/>
      <w:bCs/>
      <w:color w:val="365F91"/>
      <w:sz w:val="28"/>
      <w:szCs w:val="28"/>
      <w:lang w:eastAsia="de-DE"/>
    </w:rPr>
  </w:style>
  <w:style w:type="character" w:customStyle="1" w:styleId="72">
    <w:name w:val="Überschrift 2 Zchn"/>
    <w:uiPriority w:val="0"/>
    <w:rPr>
      <w:rFonts w:ascii="Cambria" w:hAnsi="Cambria" w:eastAsia="宋体" w:cs="Times New Roman"/>
      <w:bCs/>
      <w:color w:val="365F91"/>
      <w:sz w:val="24"/>
      <w:szCs w:val="28"/>
      <w:lang w:eastAsia="de-DE"/>
    </w:rPr>
  </w:style>
  <w:style w:type="character" w:customStyle="1" w:styleId="73">
    <w:name w:val="Text 2 Zchn"/>
    <w:basedOn w:val="72"/>
    <w:uiPriority w:val="0"/>
  </w:style>
  <w:style w:type="character" w:customStyle="1" w:styleId="74">
    <w:name w:val="Sprechblasentext Zchn"/>
    <w:semiHidden/>
    <w:uiPriority w:val="0"/>
    <w:rPr>
      <w:rFonts w:ascii="Tahoma" w:hAnsi="Tahoma" w:cs="Tahoma"/>
      <w:sz w:val="16"/>
      <w:szCs w:val="16"/>
      <w:lang w:eastAsia="de-DE"/>
    </w:rPr>
  </w:style>
  <w:style w:type="character" w:customStyle="1" w:styleId="75">
    <w:name w:val="Nur Text Zchn"/>
    <w:uiPriority w:val="0"/>
    <w:rPr>
      <w:rFonts w:ascii="Arial" w:hAnsi="Arial" w:eastAsia="Times New Roman"/>
      <w:sz w:val="24"/>
      <w:szCs w:val="21"/>
    </w:rPr>
  </w:style>
  <w:style w:type="character" w:customStyle="1" w:styleId="76">
    <w:name w:val="gen"/>
    <w:basedOn w:val="46"/>
    <w:uiPriority w:val="0"/>
  </w:style>
  <w:style w:type="paragraph" w:customStyle="1" w:styleId="77">
    <w:name w:val="Tabellen"/>
    <w:basedOn w:val="1"/>
    <w:uiPriority w:val="0"/>
    <w:rPr>
      <w:b/>
    </w:rPr>
  </w:style>
  <w:style w:type="paragraph" w:customStyle="1" w:styleId="78">
    <w:name w:val="Abbildungen"/>
    <w:basedOn w:val="1"/>
    <w:uiPriority w:val="0"/>
    <w:pPr>
      <w:spacing w:before="120" w:after="240"/>
    </w:pPr>
    <w:rPr>
      <w:b/>
    </w:rPr>
  </w:style>
  <w:style w:type="paragraph" w:customStyle="1" w:styleId="79">
    <w:name w:val="Anhang"/>
    <w:basedOn w:val="1"/>
    <w:uiPriority w:val="0"/>
    <w:rPr>
      <w:b/>
      <w:bCs/>
    </w:rPr>
  </w:style>
  <w:style w:type="character" w:customStyle="1" w:styleId="80">
    <w:name w:val="Anhang Char"/>
    <w:uiPriority w:val="0"/>
    <w:rPr>
      <w:rFonts w:eastAsia="宋体"/>
      <w:b/>
      <w:bCs/>
      <w:sz w:val="24"/>
      <w:szCs w:val="24"/>
      <w:lang w:val="de-DE" w:eastAsia="de-DE" w:bidi="ar-SA"/>
    </w:rPr>
  </w:style>
  <w:style w:type="paragraph" w:customStyle="1" w:styleId="81">
    <w:name w:val="Tabelle"/>
    <w:basedOn w:val="1"/>
    <w:qFormat/>
    <w:uiPriority w:val="0"/>
    <w:rPr>
      <w:b/>
    </w:rPr>
  </w:style>
  <w:style w:type="paragraph" w:customStyle="1" w:styleId="82">
    <w:name w:val="Tabellenverzeichnis"/>
    <w:basedOn w:val="39"/>
    <w:qFormat/>
    <w:uiPriority w:val="0"/>
    <w:pPr>
      <w:tabs>
        <w:tab w:val="right" w:leader="dot" w:pos="8494"/>
      </w:tabs>
      <w:spacing w:before="200" w:after="120"/>
    </w:pPr>
    <w:rPr>
      <w:lang/>
    </w:rPr>
  </w:style>
  <w:style w:type="character" w:customStyle="1" w:styleId="83">
    <w:name w:val="Tabellen Zchn"/>
    <w:uiPriority w:val="0"/>
    <w:rPr>
      <w:b/>
      <w:sz w:val="24"/>
      <w:szCs w:val="24"/>
      <w:lang w:eastAsia="de-DE"/>
    </w:rPr>
  </w:style>
  <w:style w:type="character" w:customStyle="1" w:styleId="84">
    <w:name w:val="Tabelle Zchn"/>
    <w:basedOn w:val="83"/>
    <w:uiPriority w:val="0"/>
  </w:style>
  <w:style w:type="character" w:customStyle="1" w:styleId="85">
    <w:name w:val="mw-headline"/>
    <w:basedOn w:val="46"/>
    <w:uiPriority w:val="0"/>
  </w:style>
  <w:style w:type="character" w:customStyle="1" w:styleId="86">
    <w:name w:val="editsection"/>
    <w:basedOn w:val="46"/>
    <w:uiPriority w:val="0"/>
  </w:style>
  <w:style w:type="paragraph" w:styleId="87">
    <w:name w:val=""/>
    <w:semiHidden/>
    <w:uiPriority w:val="99"/>
    <w:rPr>
      <w:sz w:val="24"/>
      <w:szCs w:val="24"/>
      <w:lang w:val="de-DE" w:eastAsia="de-DE" w:bidi="ar-SA"/>
    </w:rPr>
  </w:style>
  <w:style w:type="paragraph" w:customStyle="1" w:styleId="88">
    <w:name w:val="Default"/>
    <w:uiPriority w:val="0"/>
    <w:pPr>
      <w:autoSpaceDE w:val="0"/>
      <w:autoSpaceDN w:val="0"/>
      <w:adjustRightInd w:val="0"/>
    </w:pPr>
    <w:rPr>
      <w:color w:val="000000"/>
      <w:sz w:val="24"/>
      <w:szCs w:val="24"/>
      <w:lang w:val="de-DE" w:eastAsia="de-DE"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71</Pages>
  <Words>8651</Words>
  <Characters>61622</Characters>
  <Lines>91</Lines>
  <Paragraphs>25</Paragraphs>
  <TotalTime>0</TotalTime>
  <ScaleCrop>false</ScaleCrop>
  <LinksUpToDate>false</LinksUpToDate>
  <CharactersWithSpaces>70079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2023-01-17T12:11:00Z</dcterms:created>
  <dc:creator>Dozent</dc:creator>
  <cp:lastModifiedBy>tiamo</cp:lastModifiedBy>
  <cp:lastPrinted>2017-12-18T10:49:00Z</cp:lastPrinted>
  <dcterms:modified xsi:type="dcterms:W3CDTF">2026-02-23T11:04:47Z</dcterms:modified>
  <dc:title>FOM Fachhochschule für Ökonomie &amp; Management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65B4FE0DC5984F15A786B67E8D9BE77D_13</vt:lpwstr>
  </property>
  <property fmtid="{D5CDD505-2E9C-101B-9397-08002B2CF9AE}" pid="4" name="KSOTemplateDocerSaveRecord">
    <vt:lpwstr>eyJoZGlkIjoiZTUyMGEzMDE3YTk1ZWNlYjhhOGFiMWRmNjc2NDA3YTIiLCJ1c2VySWQiOiI0NDE1MjE3MjEifQ==</vt:lpwstr>
  </property>
</Properties>
</file>