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2A8A" w14:textId="0230D6CD" w:rsidR="00C93DF7" w:rsidRPr="00024C90" w:rsidRDefault="00C93DF7" w:rsidP="007949E7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ind w:left="0" w:firstLine="0"/>
        <w:contextualSpacing w:val="0"/>
        <w:jc w:val="both"/>
        <w:rPr>
          <w:rStyle w:val="Ninguno"/>
          <w:rFonts w:asciiTheme="minorHAnsi" w:eastAsiaTheme="majorEastAsia" w:hAnsiTheme="minorHAnsi"/>
          <w:b/>
          <w:bCs/>
        </w:rPr>
      </w:pPr>
      <w:r w:rsidRPr="00024C90">
        <w:rPr>
          <w:rFonts w:asciiTheme="minorHAnsi" w:hAnsiTheme="minorHAnsi"/>
          <w:b/>
          <w:bCs/>
          <w:color w:val="EE0000"/>
        </w:rPr>
        <w:t xml:space="preserve">La libertad de expresión en el Sistema Interamericano de Derechos Humanos. </w:t>
      </w:r>
      <w:r w:rsidRPr="007949E7">
        <w:rPr>
          <w:rFonts w:asciiTheme="minorHAnsi" w:hAnsiTheme="minorHAnsi"/>
          <w:color w:val="EE0000"/>
        </w:rPr>
        <w:t xml:space="preserve">Breves reflexiones sobre los discursos de odio. </w:t>
      </w:r>
      <w:r w:rsidRPr="007949E7">
        <w:rPr>
          <w:rStyle w:val="nfasis"/>
          <w:rFonts w:asciiTheme="minorHAnsi" w:hAnsiTheme="minorHAnsi" w:cs="Arial"/>
          <w:color w:val="EE0000"/>
          <w:shd w:val="clear" w:color="auto" w:fill="FFFFFF"/>
        </w:rPr>
        <w:t>Jornadas a 30 Años de la</w:t>
      </w:r>
      <w:r w:rsidRPr="00024C90">
        <w:rPr>
          <w:rStyle w:val="nfasis"/>
          <w:rFonts w:asciiTheme="minorHAnsi" w:hAnsiTheme="minorHAnsi" w:cs="Arial"/>
          <w:b/>
          <w:bCs/>
          <w:color w:val="EE0000"/>
          <w:shd w:val="clear" w:color="auto" w:fill="FFFFFF"/>
        </w:rPr>
        <w:t xml:space="preserve"> Reforma Constitucional</w:t>
      </w:r>
      <w:r w:rsidRPr="00024C90">
        <w:rPr>
          <w:rFonts w:asciiTheme="minorHAnsi" w:hAnsiTheme="minorHAnsi" w:cs="Arial"/>
          <w:b/>
          <w:bCs/>
          <w:color w:val="EE0000"/>
          <w:shd w:val="clear" w:color="auto" w:fill="FFFFFF"/>
        </w:rPr>
        <w:t xml:space="preserve"> de 1994 – México- Ponencias. Revista Constitucional, Doctrina y Jurisprudencia. Junio 2025. </w:t>
      </w:r>
      <w:r w:rsidRPr="00024C90">
        <w:rPr>
          <w:rFonts w:asciiTheme="minorHAnsi" w:hAnsiTheme="minorHAnsi"/>
          <w:b/>
          <w:bCs/>
          <w:color w:val="EE0000"/>
        </w:rPr>
        <w:t>Cita Digital: ED-VI-CCXIII-331</w:t>
      </w:r>
      <w:r w:rsidRPr="00024C90">
        <w:rPr>
          <w:rFonts w:asciiTheme="minorHAnsi" w:hAnsiTheme="minorHAnsi"/>
          <w:b/>
          <w:bCs/>
        </w:rPr>
        <w:t xml:space="preserve">. </w:t>
      </w:r>
    </w:p>
    <w:p w14:paraId="099AE912" w14:textId="77777777" w:rsidR="00C93DF7" w:rsidRPr="00024C90" w:rsidRDefault="00C93DF7" w:rsidP="00C93DF7">
      <w:pPr>
        <w:pStyle w:val="Prrafodelista"/>
        <w:tabs>
          <w:tab w:val="left" w:pos="284"/>
        </w:tabs>
        <w:ind w:left="0"/>
        <w:jc w:val="both"/>
        <w:rPr>
          <w:rFonts w:asciiTheme="minorHAnsi" w:hAnsiTheme="minorHAnsi"/>
          <w:b/>
          <w:bCs/>
        </w:rPr>
      </w:pPr>
    </w:p>
    <w:p w14:paraId="16EC1176" w14:textId="77777777" w:rsidR="00C93DF7" w:rsidRPr="00024C90" w:rsidRDefault="00C93DF7" w:rsidP="00C93DF7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0" w:firstLine="0"/>
        <w:contextualSpacing w:val="0"/>
        <w:jc w:val="both"/>
        <w:rPr>
          <w:rFonts w:asciiTheme="minorHAnsi" w:hAnsiTheme="minorHAnsi"/>
          <w:b/>
          <w:bCs/>
          <w:color w:val="EE0000"/>
        </w:rPr>
      </w:pPr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 xml:space="preserve">El fallo </w:t>
      </w:r>
      <w:proofErr w:type="spellStart"/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>Levinas</w:t>
      </w:r>
      <w:proofErr w:type="spellEnd"/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 xml:space="preserve">: Un hito en la </w:t>
      </w:r>
      <w:proofErr w:type="spellStart"/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>autonomía</w:t>
      </w:r>
      <w:proofErr w:type="spellEnd"/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 xml:space="preserve"> </w:t>
      </w:r>
      <w:proofErr w:type="spellStart"/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>porteña</w:t>
      </w:r>
      <w:proofErr w:type="spellEnd"/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 xml:space="preserve"> - Avances y tensiones en la justicia de la Ciudad </w:t>
      </w:r>
      <w:proofErr w:type="spellStart"/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>Autónoma</w:t>
      </w:r>
      <w:proofErr w:type="spellEnd"/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 xml:space="preserve"> de Buenos Aires. Editorial </w:t>
      </w:r>
      <w:proofErr w:type="spellStart"/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>Rubinzal-Culzoni</w:t>
      </w:r>
      <w:proofErr w:type="spellEnd"/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 xml:space="preserve">, 07 de marzo de 2025. Cita online: RC D 90/2025. </w:t>
      </w:r>
    </w:p>
    <w:p w14:paraId="79669F00" w14:textId="77777777" w:rsidR="00C93DF7" w:rsidRPr="00024C90" w:rsidRDefault="00C93DF7" w:rsidP="00C93DF7">
      <w:pPr>
        <w:pStyle w:val="Prrafodelista"/>
        <w:tabs>
          <w:tab w:val="left" w:pos="284"/>
        </w:tabs>
        <w:ind w:left="0"/>
        <w:jc w:val="both"/>
        <w:rPr>
          <w:rFonts w:asciiTheme="minorHAnsi" w:hAnsiTheme="minorHAnsi"/>
          <w:b/>
          <w:bCs/>
          <w:color w:val="EE0000"/>
        </w:rPr>
      </w:pPr>
    </w:p>
    <w:p w14:paraId="70EEB99C" w14:textId="77777777" w:rsidR="00C93DF7" w:rsidRPr="00024C90" w:rsidRDefault="00C93DF7" w:rsidP="00C93DF7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0" w:firstLine="0"/>
        <w:contextualSpacing w:val="0"/>
        <w:jc w:val="both"/>
        <w:rPr>
          <w:rFonts w:asciiTheme="minorHAnsi" w:eastAsia="Arial Unicode MS" w:hAnsiTheme="minorHAnsi" w:cs="Arial Unicode MS"/>
          <w:b/>
          <w:bCs/>
          <w:color w:val="EE0000"/>
        </w:rPr>
      </w:pPr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>Litigios Estratégicos: estrategias clave para una adecuada gestión procesal. Consideraciones a partir del fallo “Mendoza”. Editorial El Dial, Suplemento de Derecho Constitucional, abril 2025 (en prensa).</w:t>
      </w:r>
    </w:p>
    <w:p w14:paraId="11538432" w14:textId="77777777" w:rsidR="00C93DF7" w:rsidRPr="00024C90" w:rsidRDefault="00C93DF7" w:rsidP="00C93DF7">
      <w:pPr>
        <w:tabs>
          <w:tab w:val="left" w:pos="284"/>
        </w:tabs>
        <w:jc w:val="both"/>
        <w:rPr>
          <w:rFonts w:asciiTheme="minorHAnsi" w:hAnsiTheme="minorHAnsi"/>
          <w:b/>
          <w:bCs/>
          <w:color w:val="EE0000"/>
        </w:rPr>
      </w:pPr>
    </w:p>
    <w:p w14:paraId="4C0322A4" w14:textId="77777777" w:rsidR="00C93DF7" w:rsidRPr="00024C90" w:rsidRDefault="00C93DF7" w:rsidP="00C93DF7">
      <w:pPr>
        <w:tabs>
          <w:tab w:val="left" w:pos="284"/>
        </w:tabs>
        <w:jc w:val="both"/>
        <w:rPr>
          <w:rFonts w:asciiTheme="minorHAnsi" w:hAnsiTheme="minorHAnsi"/>
          <w:b/>
          <w:bCs/>
        </w:rPr>
      </w:pPr>
    </w:p>
    <w:p w14:paraId="2F54DB6D" w14:textId="77777777" w:rsidR="00C93DF7" w:rsidRPr="00024C90" w:rsidRDefault="00C93DF7" w:rsidP="00C93DF7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0" w:firstLine="0"/>
        <w:contextualSpacing w:val="0"/>
        <w:jc w:val="both"/>
        <w:rPr>
          <w:rStyle w:val="Ninguno"/>
          <w:rFonts w:asciiTheme="minorHAnsi" w:eastAsiaTheme="majorEastAsia" w:hAnsiTheme="minorHAnsi"/>
          <w:b/>
          <w:bCs/>
        </w:rPr>
      </w:pPr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>El derecho a la educación a raíz del conflicto estratégico en el fallo “Castillo”. Consideraciones sobre el principio de neutralidad religiosa y la noción de igualdad estructural</w:t>
      </w:r>
      <w:r w:rsidRPr="00024C90">
        <w:rPr>
          <w:rFonts w:asciiTheme="minorHAnsi" w:hAnsiTheme="minorHAnsi"/>
          <w:b/>
          <w:bCs/>
          <w:color w:val="EE0000"/>
        </w:rPr>
        <w:t xml:space="preserve">. </w:t>
      </w:r>
      <w:r w:rsidRPr="00024C90">
        <w:rPr>
          <w:rStyle w:val="Ninguno"/>
          <w:rFonts w:asciiTheme="minorHAnsi" w:eastAsiaTheme="majorEastAsia" w:hAnsiTheme="minorHAnsi"/>
          <w:b/>
          <w:bCs/>
          <w:color w:val="EE0000"/>
        </w:rPr>
        <w:t xml:space="preserve">Edición Especial en </w:t>
      </w:r>
      <w:r w:rsidRPr="00024C90">
        <w:rPr>
          <w:rFonts w:asciiTheme="minorHAnsi" w:hAnsiTheme="minorHAnsi"/>
          <w:b/>
          <w:bCs/>
          <w:color w:val="EE0000"/>
        </w:rPr>
        <w:t xml:space="preserve">homenaje a Germán J. Bidart Campos, a 20 años de su fallecimiento, </w:t>
      </w:r>
      <w:r w:rsidRPr="00024C90">
        <w:rPr>
          <w:rStyle w:val="Ninguno"/>
          <w:rFonts w:asciiTheme="minorHAnsi" w:eastAsiaTheme="majorEastAsia" w:hAnsiTheme="minorHAnsi"/>
          <w:b/>
          <w:bCs/>
          <w:color w:val="EE0000"/>
        </w:rPr>
        <w:t xml:space="preserve">Revista de Derecho Constitucional, Editorial El Derecho, Cita Digital: ED-V-DCCCLXXXII-526, </w:t>
      </w:r>
      <w:proofErr w:type="spellStart"/>
      <w:r w:rsidRPr="00024C90">
        <w:rPr>
          <w:rFonts w:asciiTheme="minorHAnsi" w:hAnsiTheme="minorHAnsi" w:cs="Calibri"/>
          <w:b/>
          <w:bCs/>
          <w:color w:val="EE0000"/>
        </w:rPr>
        <w:t>ps</w:t>
      </w:r>
      <w:proofErr w:type="spellEnd"/>
      <w:r w:rsidRPr="00024C90">
        <w:rPr>
          <w:rFonts w:asciiTheme="minorHAnsi" w:hAnsiTheme="minorHAnsi" w:cs="Calibri"/>
          <w:b/>
          <w:bCs/>
          <w:color w:val="EE0000"/>
        </w:rPr>
        <w:t xml:space="preserve">. 67/72, Buenos Aires, </w:t>
      </w:r>
      <w:r w:rsidRPr="00024C90">
        <w:rPr>
          <w:rStyle w:val="Ninguno"/>
          <w:rFonts w:asciiTheme="minorHAnsi" w:eastAsiaTheme="majorEastAsia" w:hAnsiTheme="minorHAnsi"/>
          <w:b/>
          <w:bCs/>
          <w:color w:val="EE0000"/>
        </w:rPr>
        <w:t>30 de septiembre de 2024</w:t>
      </w:r>
      <w:r w:rsidRPr="00024C90">
        <w:rPr>
          <w:rStyle w:val="Ninguno"/>
          <w:rFonts w:asciiTheme="minorHAnsi" w:eastAsiaTheme="majorEastAsia" w:hAnsiTheme="minorHAnsi"/>
          <w:b/>
          <w:bCs/>
        </w:rPr>
        <w:t>.</w:t>
      </w:r>
    </w:p>
    <w:p w14:paraId="6572A303" w14:textId="77777777" w:rsidR="00C93DF7" w:rsidRPr="00024C90" w:rsidRDefault="00C93DF7" w:rsidP="00C93DF7">
      <w:pPr>
        <w:tabs>
          <w:tab w:val="left" w:pos="284"/>
        </w:tabs>
        <w:jc w:val="both"/>
        <w:rPr>
          <w:rFonts w:asciiTheme="minorHAnsi" w:hAnsiTheme="minorHAnsi"/>
          <w:b/>
          <w:bCs/>
        </w:rPr>
      </w:pPr>
    </w:p>
    <w:p w14:paraId="79E48FB0" w14:textId="77777777" w:rsidR="00C93DF7" w:rsidRPr="00024C90" w:rsidRDefault="00C93DF7" w:rsidP="00C93DF7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0" w:firstLine="0"/>
        <w:contextualSpacing w:val="0"/>
        <w:jc w:val="both"/>
        <w:rPr>
          <w:rFonts w:asciiTheme="minorHAnsi" w:hAnsiTheme="minorHAnsi"/>
          <w:b/>
          <w:bCs/>
          <w:color w:val="EE0000"/>
        </w:rPr>
      </w:pPr>
      <w:r w:rsidRPr="00024C90">
        <w:rPr>
          <w:rFonts w:asciiTheme="minorHAnsi" w:hAnsiTheme="minorHAnsi" w:cs="Calibri"/>
          <w:b/>
          <w:bCs/>
          <w:color w:val="EE0000"/>
        </w:rPr>
        <w:t xml:space="preserve">La evolución del derecho a un medioambiente sano. La regulación ambiental en la reforma de 1994 y en el Sistema Interamericano de Derechos Humanos. Edición Especial a 30 años de la reforma constitucional, Revista de Derecho Constitucional, Editorial El Derecho, </w:t>
      </w:r>
      <w:proofErr w:type="spellStart"/>
      <w:r w:rsidRPr="00024C90">
        <w:rPr>
          <w:rFonts w:asciiTheme="minorHAnsi" w:hAnsiTheme="minorHAnsi" w:cs="Calibri"/>
          <w:b/>
          <w:bCs/>
          <w:color w:val="EE0000"/>
        </w:rPr>
        <w:t>ps</w:t>
      </w:r>
      <w:proofErr w:type="spellEnd"/>
      <w:r w:rsidRPr="00024C90">
        <w:rPr>
          <w:rFonts w:asciiTheme="minorHAnsi" w:hAnsiTheme="minorHAnsi" w:cs="Calibri"/>
          <w:b/>
          <w:bCs/>
          <w:color w:val="EE0000"/>
        </w:rPr>
        <w:t>. 105/111, Buenos Aires, 21 de agosto de 2024.</w:t>
      </w:r>
    </w:p>
    <w:p w14:paraId="50695ED4" w14:textId="77777777" w:rsidR="00C93DF7" w:rsidRPr="00024C90" w:rsidRDefault="00C93DF7" w:rsidP="00C93DF7">
      <w:pPr>
        <w:pStyle w:val="Prrafodelista"/>
        <w:rPr>
          <w:rFonts w:asciiTheme="minorHAnsi" w:eastAsia="Arial Unicode MS" w:hAnsiTheme="minorHAnsi" w:cs="Arial Unicode MS"/>
          <w:b/>
          <w:bCs/>
        </w:rPr>
      </w:pPr>
    </w:p>
    <w:p w14:paraId="7567C9A6" w14:textId="355BBD77" w:rsidR="00C93DF7" w:rsidRPr="00024C90" w:rsidRDefault="00C93DF7" w:rsidP="00C93DF7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0" w:firstLine="0"/>
        <w:contextualSpacing w:val="0"/>
        <w:jc w:val="both"/>
        <w:rPr>
          <w:rStyle w:val="Ninguno"/>
          <w:rFonts w:asciiTheme="minorHAnsi" w:eastAsiaTheme="majorEastAsia" w:hAnsiTheme="minorHAnsi"/>
          <w:b/>
          <w:bCs/>
          <w:color w:val="EE0000"/>
        </w:rPr>
      </w:pPr>
      <w:r w:rsidRPr="00024C90">
        <w:rPr>
          <w:rFonts w:asciiTheme="minorHAnsi" w:eastAsia="Arial Unicode MS" w:hAnsiTheme="minorHAnsi" w:cs="Arial Unicode MS"/>
          <w:b/>
          <w:bCs/>
          <w:color w:val="EE0000"/>
        </w:rPr>
        <w:t>La protección jurídica del derecho a la intimidad a 30 años de la reforma de 1994. Nuevas dimensiones del derecho a la autodeterminación informativa y el derecho fundamental a la protección de datos personales.</w:t>
      </w:r>
      <w:r w:rsidRPr="00024C90">
        <w:rPr>
          <w:rStyle w:val="apple-converted-space"/>
          <w:rFonts w:asciiTheme="minorHAnsi" w:hAnsiTheme="minorHAnsi" w:cs="Tahoma"/>
          <w:b/>
          <w:bCs/>
          <w:i/>
          <w:iCs/>
          <w:color w:val="EE0000"/>
        </w:rPr>
        <w:t xml:space="preserve"> </w:t>
      </w:r>
      <w:r w:rsidRPr="00024C90">
        <w:rPr>
          <w:rStyle w:val="Ninguno"/>
          <w:rFonts w:asciiTheme="minorHAnsi" w:eastAsiaTheme="majorEastAsia" w:hAnsiTheme="minorHAnsi"/>
          <w:b/>
          <w:bCs/>
          <w:color w:val="EE0000"/>
        </w:rPr>
        <w:t xml:space="preserve">Suplemento Constitucional Nº2. </w:t>
      </w:r>
      <w:r w:rsidRPr="00024C90">
        <w:rPr>
          <w:rFonts w:asciiTheme="minorHAnsi" w:hAnsiTheme="minorHAnsi"/>
          <w:b/>
          <w:bCs/>
          <w:color w:val="EE0000"/>
        </w:rPr>
        <w:t xml:space="preserve">Pasado, presente y futuro de la </w:t>
      </w:r>
      <w:r w:rsidR="004662DB" w:rsidRPr="00024C90">
        <w:rPr>
          <w:rFonts w:asciiTheme="minorHAnsi" w:hAnsiTheme="minorHAnsi"/>
          <w:b/>
          <w:bCs/>
          <w:color w:val="EE0000"/>
        </w:rPr>
        <w:t>Constitución</w:t>
      </w:r>
      <w:r w:rsidRPr="00024C90">
        <w:rPr>
          <w:rFonts w:asciiTheme="minorHAnsi" w:hAnsiTheme="minorHAnsi"/>
          <w:b/>
          <w:bCs/>
          <w:color w:val="EE0000"/>
        </w:rPr>
        <w:t xml:space="preserve"> Nacional en 30 </w:t>
      </w:r>
      <w:proofErr w:type="spellStart"/>
      <w:r w:rsidRPr="00024C90">
        <w:rPr>
          <w:rFonts w:asciiTheme="minorHAnsi" w:hAnsiTheme="minorHAnsi"/>
          <w:b/>
          <w:bCs/>
          <w:color w:val="EE0000"/>
        </w:rPr>
        <w:t>años</w:t>
      </w:r>
      <w:proofErr w:type="spellEnd"/>
      <w:r w:rsidRPr="00024C90">
        <w:rPr>
          <w:rFonts w:asciiTheme="minorHAnsi" w:hAnsiTheme="minorHAnsi"/>
          <w:b/>
          <w:bCs/>
          <w:color w:val="EE0000"/>
        </w:rPr>
        <w:t xml:space="preserve"> de</w:t>
      </w:r>
      <w:r w:rsidRPr="00024C90">
        <w:rPr>
          <w:rFonts w:asciiTheme="minorHAnsi" w:hAnsiTheme="minorHAnsi"/>
          <w:b/>
          <w:bCs/>
          <w:color w:val="EE0000"/>
        </w:rPr>
        <w:br/>
        <w:t xml:space="preserve">vigencia 1994 -2024, </w:t>
      </w:r>
      <w:r w:rsidRPr="00024C90">
        <w:rPr>
          <w:rStyle w:val="Ninguno"/>
          <w:rFonts w:asciiTheme="minorHAnsi" w:eastAsiaTheme="majorEastAsia" w:hAnsiTheme="minorHAnsi"/>
          <w:b/>
          <w:bCs/>
          <w:color w:val="EE0000"/>
        </w:rPr>
        <w:t xml:space="preserve">La Ley, </w:t>
      </w:r>
      <w:r w:rsidRPr="00024C90">
        <w:rPr>
          <w:rFonts w:asciiTheme="minorHAnsi" w:hAnsiTheme="minorHAnsi"/>
          <w:b/>
          <w:bCs/>
          <w:color w:val="EE0000"/>
        </w:rPr>
        <w:t>ps</w:t>
      </w:r>
      <w:r w:rsidRPr="00024C90">
        <w:rPr>
          <w:rStyle w:val="Ninguno"/>
          <w:rFonts w:asciiTheme="minorHAnsi" w:eastAsiaTheme="majorEastAsia" w:hAnsiTheme="minorHAnsi"/>
          <w:b/>
          <w:bCs/>
          <w:color w:val="EE0000"/>
        </w:rPr>
        <w:t>.85/96, Buenos Aires, 2024.</w:t>
      </w:r>
    </w:p>
    <w:p w14:paraId="29AFCEF5" w14:textId="77777777" w:rsidR="00C93DF7" w:rsidRPr="00024C90" w:rsidRDefault="00C93DF7" w:rsidP="00C93DF7">
      <w:pPr>
        <w:tabs>
          <w:tab w:val="left" w:pos="284"/>
        </w:tabs>
        <w:jc w:val="both"/>
        <w:rPr>
          <w:rFonts w:asciiTheme="minorHAnsi" w:eastAsia="Arial Unicode MS" w:hAnsiTheme="minorHAnsi"/>
          <w:b/>
          <w:bCs/>
        </w:rPr>
      </w:pPr>
    </w:p>
    <w:p w14:paraId="58A344F9" w14:textId="77777777" w:rsidR="00C93DF7" w:rsidRPr="00024C90" w:rsidRDefault="00C93DF7" w:rsidP="00C93DF7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0" w:firstLine="0"/>
        <w:contextualSpacing w:val="0"/>
        <w:jc w:val="both"/>
        <w:rPr>
          <w:rStyle w:val="Ninguno"/>
          <w:rFonts w:asciiTheme="minorHAnsi" w:eastAsiaTheme="majorEastAsia" w:hAnsiTheme="minorHAnsi"/>
          <w:b/>
          <w:bCs/>
          <w:color w:val="EE0000"/>
        </w:rPr>
      </w:pPr>
      <w:r w:rsidRPr="00024C90">
        <w:rPr>
          <w:rFonts w:asciiTheme="minorHAnsi" w:eastAsia="Arial Unicode MS" w:hAnsiTheme="minorHAnsi"/>
          <w:b/>
          <w:bCs/>
          <w:color w:val="EE0000"/>
        </w:rPr>
        <w:t xml:space="preserve">Democracia y derechos humanos: el derecho a defender los derechos humanos, Revista Pensar en Derecho </w:t>
      </w:r>
      <w:proofErr w:type="spellStart"/>
      <w:r w:rsidRPr="00024C90">
        <w:rPr>
          <w:rFonts w:asciiTheme="minorHAnsi" w:eastAsia="Arial Unicode MS" w:hAnsiTheme="minorHAnsi"/>
          <w:b/>
          <w:bCs/>
          <w:color w:val="EE0000"/>
        </w:rPr>
        <w:t>Nº</w:t>
      </w:r>
      <w:proofErr w:type="spellEnd"/>
      <w:r w:rsidRPr="00024C90">
        <w:rPr>
          <w:rFonts w:asciiTheme="minorHAnsi" w:eastAsia="Arial Unicode MS" w:hAnsiTheme="minorHAnsi"/>
          <w:b/>
          <w:bCs/>
          <w:color w:val="EE0000"/>
        </w:rPr>
        <w:t xml:space="preserve"> </w:t>
      </w:r>
      <w:proofErr w:type="gramStart"/>
      <w:r w:rsidRPr="00024C90">
        <w:rPr>
          <w:rFonts w:asciiTheme="minorHAnsi" w:eastAsia="Arial Unicode MS" w:hAnsiTheme="minorHAnsi"/>
          <w:b/>
          <w:bCs/>
          <w:color w:val="EE0000"/>
        </w:rPr>
        <w:t>24,  Año</w:t>
      </w:r>
      <w:proofErr w:type="gramEnd"/>
      <w:r w:rsidRPr="00024C90">
        <w:rPr>
          <w:rFonts w:asciiTheme="minorHAnsi" w:eastAsia="Arial Unicode MS" w:hAnsiTheme="minorHAnsi"/>
          <w:b/>
          <w:bCs/>
          <w:color w:val="EE0000"/>
        </w:rPr>
        <w:t xml:space="preserve"> 2024, </w:t>
      </w:r>
      <w:r w:rsidRPr="00024C90">
        <w:rPr>
          <w:rStyle w:val="Ninguno"/>
          <w:rFonts w:asciiTheme="minorHAnsi" w:eastAsiaTheme="majorEastAsia" w:hAnsiTheme="minorHAnsi"/>
          <w:b/>
          <w:bCs/>
          <w:color w:val="EE0000"/>
        </w:rPr>
        <w:t>Eudeba, Universidad de Buenos Aires</w:t>
      </w:r>
      <w:r w:rsidRPr="00024C90">
        <w:rPr>
          <w:rFonts w:asciiTheme="minorHAnsi" w:eastAsia="Arial Unicode MS" w:hAnsiTheme="minorHAnsi"/>
          <w:b/>
          <w:bCs/>
          <w:color w:val="EE0000"/>
        </w:rPr>
        <w:t xml:space="preserve">, </w:t>
      </w:r>
      <w:proofErr w:type="spellStart"/>
      <w:r w:rsidRPr="00024C90">
        <w:rPr>
          <w:rFonts w:asciiTheme="minorHAnsi" w:eastAsia="Arial Unicode MS" w:hAnsiTheme="minorHAnsi"/>
          <w:b/>
          <w:bCs/>
          <w:color w:val="EE0000"/>
        </w:rPr>
        <w:t>ps</w:t>
      </w:r>
      <w:proofErr w:type="spellEnd"/>
      <w:r w:rsidRPr="00024C90">
        <w:rPr>
          <w:rFonts w:asciiTheme="minorHAnsi" w:eastAsia="Arial Unicode MS" w:hAnsiTheme="minorHAnsi"/>
          <w:b/>
          <w:bCs/>
          <w:color w:val="EE0000"/>
        </w:rPr>
        <w:t>. 30/37, 19 de julio de 2024.</w:t>
      </w:r>
    </w:p>
    <w:p w14:paraId="0A99F899" w14:textId="77777777" w:rsidR="00C93DF7" w:rsidRPr="00024C90" w:rsidRDefault="00C93DF7" w:rsidP="00C93DF7">
      <w:pPr>
        <w:rPr>
          <w:rFonts w:asciiTheme="minorHAnsi" w:hAnsiTheme="minorHAnsi"/>
          <w:b/>
          <w:bCs/>
        </w:rPr>
      </w:pPr>
    </w:p>
    <w:p w14:paraId="4FE2CDE3" w14:textId="77777777" w:rsidR="00C93DF7" w:rsidRPr="00024C90" w:rsidRDefault="00C93DF7" w:rsidP="00C93DF7">
      <w:pPr>
        <w:pStyle w:val="Cuerpo"/>
        <w:numPr>
          <w:ilvl w:val="0"/>
          <w:numId w:val="2"/>
        </w:numPr>
        <w:tabs>
          <w:tab w:val="left" w:pos="142"/>
          <w:tab w:val="left" w:pos="284"/>
          <w:tab w:val="left" w:pos="426"/>
        </w:tabs>
        <w:ind w:left="0" w:firstLine="0"/>
        <w:jc w:val="both"/>
        <w:rPr>
          <w:rStyle w:val="Ninguno"/>
          <w:rFonts w:asciiTheme="minorHAnsi" w:hAnsiTheme="minorHAnsi"/>
          <w:b/>
          <w:bCs/>
          <w:color w:val="EE0000"/>
          <w:sz w:val="24"/>
          <w:szCs w:val="24"/>
        </w:rPr>
      </w:pPr>
      <w:r w:rsidRPr="00024C90">
        <w:rPr>
          <w:rFonts w:asciiTheme="minorHAnsi" w:hAnsiTheme="minorHAnsi"/>
          <w:b/>
          <w:bCs/>
          <w:color w:val="EE0000"/>
          <w:sz w:val="24"/>
          <w:szCs w:val="24"/>
        </w:rPr>
        <w:t xml:space="preserve">Algunas notas en materia de derechos económicos, sociales, culturales y ambientales. El rol de la CSJN. </w:t>
      </w:r>
      <w:r w:rsidRPr="00024C90">
        <w:rPr>
          <w:rFonts w:asciiTheme="minorHAnsi" w:hAnsiTheme="minorHAnsi"/>
          <w:b/>
          <w:bCs/>
          <w:color w:val="EE0000"/>
          <w:sz w:val="24"/>
          <w:szCs w:val="24"/>
          <w:lang w:val="es-AR"/>
        </w:rPr>
        <w:t xml:space="preserve">En homenaje al profesor Roberto </w:t>
      </w:r>
      <w:proofErr w:type="spellStart"/>
      <w:r w:rsidRPr="00024C90">
        <w:rPr>
          <w:rFonts w:asciiTheme="minorHAnsi" w:hAnsiTheme="minorHAnsi"/>
          <w:b/>
          <w:bCs/>
          <w:color w:val="EE0000"/>
          <w:sz w:val="24"/>
          <w:szCs w:val="24"/>
          <w:lang w:val="es-AR"/>
        </w:rPr>
        <w:t>Punte</w:t>
      </w:r>
      <w:proofErr w:type="spellEnd"/>
      <w:r w:rsidRPr="00024C90">
        <w:rPr>
          <w:rFonts w:asciiTheme="minorHAnsi" w:hAnsiTheme="minorHAnsi"/>
          <w:b/>
          <w:bCs/>
          <w:color w:val="EE0000"/>
          <w:sz w:val="24"/>
          <w:szCs w:val="24"/>
          <w:lang w:val="es-AR"/>
        </w:rPr>
        <w:t xml:space="preserve">. </w:t>
      </w:r>
      <w:r w:rsidRPr="00024C90">
        <w:rPr>
          <w:rStyle w:val="Ninguno"/>
          <w:rFonts w:asciiTheme="minorHAnsi" w:hAnsiTheme="minorHAnsi"/>
          <w:b/>
          <w:bCs/>
          <w:color w:val="EE0000"/>
          <w:sz w:val="24"/>
          <w:szCs w:val="24"/>
        </w:rPr>
        <w:t>Suplemento de Derecho Constitucional, Editorial Jurídica El Dial DC 332F, 29 de octubre de 2023.</w:t>
      </w:r>
    </w:p>
    <w:p w14:paraId="4B01622B" w14:textId="77777777" w:rsidR="00C93DF7" w:rsidRPr="00024C90" w:rsidRDefault="00C93DF7" w:rsidP="00C93DF7">
      <w:pPr>
        <w:pStyle w:val="Cuerpo"/>
        <w:tabs>
          <w:tab w:val="left" w:pos="142"/>
          <w:tab w:val="left" w:pos="284"/>
          <w:tab w:val="left" w:pos="426"/>
        </w:tabs>
        <w:jc w:val="both"/>
        <w:rPr>
          <w:rFonts w:asciiTheme="minorHAnsi" w:hAnsiTheme="minorHAnsi"/>
          <w:b/>
          <w:bCs/>
          <w:color w:val="auto"/>
          <w:sz w:val="24"/>
          <w:szCs w:val="24"/>
        </w:rPr>
      </w:pPr>
    </w:p>
    <w:p w14:paraId="0F1FEA42" w14:textId="77777777" w:rsidR="00C93DF7" w:rsidRPr="0034141C" w:rsidRDefault="00C93DF7" w:rsidP="00C93DF7">
      <w:pPr>
        <w:pStyle w:val="Prrafodelista"/>
        <w:numPr>
          <w:ilvl w:val="0"/>
          <w:numId w:val="2"/>
        </w:numPr>
        <w:tabs>
          <w:tab w:val="left" w:pos="284"/>
        </w:tabs>
        <w:ind w:left="0" w:firstLine="0"/>
        <w:contextualSpacing w:val="0"/>
        <w:jc w:val="both"/>
        <w:rPr>
          <w:rFonts w:asciiTheme="minorHAnsi" w:hAnsiTheme="minorHAnsi"/>
          <w:b/>
          <w:bCs/>
          <w:color w:val="EE0000"/>
        </w:rPr>
      </w:pPr>
      <w:r w:rsidRPr="0034141C">
        <w:rPr>
          <w:rFonts w:asciiTheme="minorHAnsi" w:hAnsiTheme="minorHAnsi"/>
          <w:b/>
          <w:bCs/>
          <w:color w:val="EE0000"/>
        </w:rPr>
        <w:t>La interseccionalidad como categoría de análisis. Un enfoque clave para el ejercicio de los derechos de género y los económicos, sociales, culturales y ambientales. La Ley, Año LXXXVII, Nº90, 15 de mayo de 2023.</w:t>
      </w:r>
    </w:p>
    <w:p w14:paraId="0866F3E3" w14:textId="77777777" w:rsidR="00C93DF7" w:rsidRPr="00024C90" w:rsidRDefault="00C93DF7" w:rsidP="00C93DF7">
      <w:pPr>
        <w:tabs>
          <w:tab w:val="left" w:pos="284"/>
        </w:tabs>
        <w:jc w:val="both"/>
        <w:rPr>
          <w:rFonts w:asciiTheme="minorHAnsi" w:hAnsiTheme="minorHAnsi"/>
          <w:b/>
          <w:bCs/>
        </w:rPr>
      </w:pPr>
    </w:p>
    <w:p w14:paraId="70A6F5A6" w14:textId="77777777" w:rsidR="00C93DF7" w:rsidRPr="00024C90" w:rsidRDefault="00C93DF7" w:rsidP="00C93DF7">
      <w:pPr>
        <w:pStyle w:val="Prrafodelista"/>
        <w:numPr>
          <w:ilvl w:val="0"/>
          <w:numId w:val="2"/>
        </w:numPr>
        <w:tabs>
          <w:tab w:val="left" w:pos="284"/>
        </w:tabs>
        <w:ind w:left="0" w:firstLine="0"/>
        <w:contextualSpacing w:val="0"/>
        <w:jc w:val="both"/>
        <w:rPr>
          <w:rFonts w:asciiTheme="minorHAnsi" w:hAnsiTheme="minorHAnsi"/>
          <w:b/>
          <w:bCs/>
          <w:color w:val="EE0000"/>
        </w:rPr>
      </w:pPr>
      <w:r w:rsidRPr="00024C90">
        <w:rPr>
          <w:rFonts w:asciiTheme="minorHAnsi" w:hAnsiTheme="minorHAnsi"/>
          <w:b/>
          <w:bCs/>
          <w:color w:val="EE0000"/>
        </w:rPr>
        <w:t xml:space="preserve">Reflexiones sobre los derechos económicos, sociales, culturales y ambientales de las personas en condiciones de vulnerabilidad. Editorial </w:t>
      </w:r>
      <w:proofErr w:type="spellStart"/>
      <w:r w:rsidRPr="00024C90">
        <w:rPr>
          <w:rFonts w:asciiTheme="minorHAnsi" w:hAnsiTheme="minorHAnsi"/>
          <w:b/>
          <w:bCs/>
          <w:color w:val="EE0000"/>
        </w:rPr>
        <w:t>Rubinzal-Culzoni</w:t>
      </w:r>
      <w:proofErr w:type="spellEnd"/>
      <w:r w:rsidRPr="00024C90">
        <w:rPr>
          <w:rFonts w:asciiTheme="minorHAnsi" w:hAnsiTheme="minorHAnsi"/>
          <w:b/>
          <w:bCs/>
          <w:color w:val="EE0000"/>
        </w:rPr>
        <w:t xml:space="preserve">. Doctrina digital, 24 de octubre de 2022. Cita </w:t>
      </w:r>
      <w:proofErr w:type="spellStart"/>
      <w:r w:rsidRPr="00024C90">
        <w:rPr>
          <w:rFonts w:asciiTheme="minorHAnsi" w:hAnsiTheme="minorHAnsi"/>
          <w:b/>
          <w:bCs/>
          <w:color w:val="EE0000"/>
        </w:rPr>
        <w:t>on</w:t>
      </w:r>
      <w:proofErr w:type="spellEnd"/>
      <w:r w:rsidRPr="00024C90">
        <w:rPr>
          <w:rFonts w:asciiTheme="minorHAnsi" w:hAnsiTheme="minorHAnsi"/>
          <w:b/>
          <w:bCs/>
          <w:color w:val="EE0000"/>
        </w:rPr>
        <w:t xml:space="preserve"> line: RC D 727/2022.</w:t>
      </w:r>
    </w:p>
    <w:p w14:paraId="544E64E8" w14:textId="77777777" w:rsidR="00C93DF7" w:rsidRPr="00024C90" w:rsidRDefault="00C93DF7" w:rsidP="00C93DF7">
      <w:pPr>
        <w:tabs>
          <w:tab w:val="left" w:pos="284"/>
        </w:tabs>
        <w:jc w:val="both"/>
        <w:rPr>
          <w:rStyle w:val="Ninguno"/>
          <w:rFonts w:asciiTheme="minorHAnsi" w:eastAsiaTheme="majorEastAsia" w:hAnsiTheme="minorHAnsi"/>
          <w:b/>
          <w:bCs/>
        </w:rPr>
      </w:pPr>
    </w:p>
    <w:p w14:paraId="3164A04F" w14:textId="77777777" w:rsidR="00D44FDC" w:rsidRPr="00024C90" w:rsidRDefault="00D44FDC" w:rsidP="00D44FDC">
      <w:pPr>
        <w:tabs>
          <w:tab w:val="left" w:pos="284"/>
        </w:tabs>
        <w:jc w:val="both"/>
        <w:rPr>
          <w:rStyle w:val="Ninguno"/>
          <w:rFonts w:asciiTheme="minorHAnsi" w:eastAsiaTheme="majorEastAsia" w:hAnsiTheme="minorHAnsi"/>
          <w:b/>
          <w:color w:val="000000" w:themeColor="text1"/>
        </w:rPr>
      </w:pPr>
    </w:p>
    <w:p w14:paraId="7C66B928" w14:textId="77777777" w:rsidR="00D44FDC" w:rsidRPr="00024C90" w:rsidRDefault="00D44FDC" w:rsidP="00D44FDC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  <w:tab w:val="left" w:pos="426"/>
        </w:tabs>
        <w:ind w:left="0" w:firstLine="0"/>
        <w:contextualSpacing w:val="0"/>
        <w:jc w:val="both"/>
        <w:rPr>
          <w:rStyle w:val="Ninguno"/>
          <w:rFonts w:asciiTheme="minorHAnsi" w:eastAsiaTheme="majorEastAsia" w:hAnsiTheme="minorHAnsi"/>
          <w:b/>
          <w:color w:val="EE0000"/>
        </w:rPr>
      </w:pPr>
      <w:r w:rsidRPr="00024C90">
        <w:rPr>
          <w:rStyle w:val="Ninguno"/>
          <w:rFonts w:asciiTheme="minorHAnsi" w:eastAsiaTheme="majorEastAsia" w:hAnsiTheme="minorHAnsi"/>
          <w:b/>
          <w:color w:val="EE0000"/>
        </w:rPr>
        <w:t xml:space="preserve">Legislación sobre los derechos de género en Argentina y en el sistema interamericano. </w:t>
      </w:r>
      <w:r w:rsidRPr="00024C90">
        <w:rPr>
          <w:rStyle w:val="Ninguno"/>
          <w:rFonts w:asciiTheme="minorHAnsi" w:eastAsiaTheme="majorEastAsia" w:hAnsiTheme="minorHAnsi"/>
          <w:color w:val="EE0000"/>
        </w:rPr>
        <w:t>Revista Legislativa del Paraguay, septiembre de 2021 (en prensa).</w:t>
      </w:r>
    </w:p>
    <w:p w14:paraId="0BDA3828" w14:textId="77777777" w:rsidR="00D44FDC" w:rsidRPr="00024C90" w:rsidRDefault="00D44FDC" w:rsidP="00D44FDC">
      <w:pPr>
        <w:tabs>
          <w:tab w:val="left" w:pos="284"/>
        </w:tabs>
        <w:jc w:val="both"/>
        <w:rPr>
          <w:rStyle w:val="Ninguno"/>
          <w:rFonts w:asciiTheme="minorHAnsi" w:eastAsiaTheme="majorEastAsia" w:hAnsiTheme="minorHAnsi"/>
          <w:b/>
          <w:color w:val="000000" w:themeColor="text1"/>
        </w:rPr>
      </w:pPr>
    </w:p>
    <w:p w14:paraId="787114F1" w14:textId="77777777" w:rsidR="00D44FDC" w:rsidRPr="00024C90" w:rsidRDefault="00D44FDC" w:rsidP="00D44FDC">
      <w:pPr>
        <w:pStyle w:val="Prrafodelista"/>
        <w:tabs>
          <w:tab w:val="left" w:pos="284"/>
          <w:tab w:val="left" w:pos="426"/>
        </w:tabs>
        <w:ind w:left="0"/>
        <w:jc w:val="both"/>
        <w:rPr>
          <w:rStyle w:val="Ninguno"/>
          <w:rFonts w:asciiTheme="minorHAnsi" w:eastAsia="Book Antiqua" w:hAnsiTheme="minorHAnsi" w:cs="Book Antiqua"/>
          <w:color w:val="000000" w:themeColor="text1"/>
        </w:rPr>
      </w:pPr>
    </w:p>
    <w:p w14:paraId="253D6607" w14:textId="77777777" w:rsidR="00D44FDC" w:rsidRPr="00024C90" w:rsidRDefault="00D44FDC" w:rsidP="00D44FDC">
      <w:pPr>
        <w:pStyle w:val="Cuerpo"/>
        <w:numPr>
          <w:ilvl w:val="0"/>
          <w:numId w:val="3"/>
        </w:numPr>
        <w:tabs>
          <w:tab w:val="left" w:pos="284"/>
          <w:tab w:val="left" w:pos="426"/>
        </w:tabs>
        <w:ind w:left="0" w:firstLine="0"/>
        <w:jc w:val="both"/>
        <w:rPr>
          <w:rFonts w:asciiTheme="minorHAnsi" w:hAnsiTheme="minorHAnsi"/>
          <w:color w:val="EE0000"/>
          <w:sz w:val="24"/>
          <w:szCs w:val="24"/>
        </w:rPr>
      </w:pPr>
      <w:r w:rsidRPr="00024C90">
        <w:rPr>
          <w:rStyle w:val="Ninguno"/>
          <w:rFonts w:asciiTheme="minorHAnsi" w:hAnsiTheme="minorHAnsi"/>
          <w:b/>
          <w:bCs/>
          <w:color w:val="EE0000"/>
          <w:sz w:val="24"/>
          <w:szCs w:val="24"/>
        </w:rPr>
        <w:t xml:space="preserve">La Corte Suprema consolida los estándares de la Ley 27.275 de Acceso a la Información Pública. </w:t>
      </w:r>
      <w:r w:rsidRPr="00024C90">
        <w:rPr>
          <w:rStyle w:val="Ninguno"/>
          <w:rFonts w:asciiTheme="minorHAnsi" w:hAnsiTheme="minorHAnsi"/>
          <w:color w:val="EE0000"/>
          <w:sz w:val="24"/>
          <w:szCs w:val="24"/>
        </w:rPr>
        <w:t xml:space="preserve">La Ley. Ciudad Autónoma de Buenos Aires, abril de 2019. Cita online: AR/DOC/811/2019. </w:t>
      </w:r>
    </w:p>
    <w:p w14:paraId="59214201" w14:textId="77777777" w:rsidR="00D44FDC" w:rsidRPr="00024C90" w:rsidRDefault="00D44FDC" w:rsidP="00D44FDC">
      <w:pPr>
        <w:pStyle w:val="Cuerpo"/>
        <w:tabs>
          <w:tab w:val="left" w:pos="284"/>
          <w:tab w:val="left" w:pos="426"/>
          <w:tab w:val="left" w:pos="567"/>
        </w:tabs>
        <w:jc w:val="both"/>
        <w:rPr>
          <w:rStyle w:val="Ninguno"/>
          <w:rFonts w:asciiTheme="minorHAnsi" w:hAnsiTheme="minorHAnsi"/>
          <w:b/>
          <w:bCs/>
          <w:color w:val="000000" w:themeColor="text1"/>
          <w:sz w:val="24"/>
          <w:szCs w:val="24"/>
        </w:rPr>
      </w:pPr>
    </w:p>
    <w:p w14:paraId="6BEE0105" w14:textId="77777777" w:rsidR="00D44FDC" w:rsidRPr="00024C90" w:rsidRDefault="00D44FDC" w:rsidP="00D44FDC">
      <w:pPr>
        <w:pStyle w:val="Cuerpo"/>
        <w:numPr>
          <w:ilvl w:val="0"/>
          <w:numId w:val="2"/>
        </w:numPr>
        <w:tabs>
          <w:tab w:val="left" w:pos="284"/>
          <w:tab w:val="left" w:pos="426"/>
          <w:tab w:val="left" w:pos="567"/>
        </w:tabs>
        <w:ind w:left="0" w:firstLine="0"/>
        <w:jc w:val="both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024C90">
        <w:rPr>
          <w:rStyle w:val="Ninguno"/>
          <w:rFonts w:asciiTheme="minorHAnsi" w:hAnsiTheme="minorHAnsi"/>
          <w:b/>
          <w:bCs/>
          <w:color w:val="EE0000"/>
          <w:sz w:val="24"/>
          <w:szCs w:val="24"/>
        </w:rPr>
        <w:t xml:space="preserve">La protección de los datos personales, el honor y la intimidad en los medios digitales. Los riesgos de regular internet y sus consecuencias para la libertad de expresión. </w:t>
      </w:r>
      <w:r w:rsidRPr="00024C90">
        <w:rPr>
          <w:rStyle w:val="Ninguno"/>
          <w:rFonts w:asciiTheme="minorHAnsi" w:hAnsiTheme="minorHAnsi"/>
          <w:color w:val="EE0000"/>
          <w:sz w:val="24"/>
          <w:szCs w:val="24"/>
        </w:rPr>
        <w:t xml:space="preserve">Revista de Derecho Público de </w:t>
      </w:r>
      <w:proofErr w:type="spellStart"/>
      <w:r w:rsidRPr="00024C90">
        <w:rPr>
          <w:rStyle w:val="Ninguno"/>
          <w:rFonts w:asciiTheme="minorHAnsi" w:hAnsiTheme="minorHAnsi"/>
          <w:color w:val="EE0000"/>
          <w:sz w:val="24"/>
          <w:szCs w:val="24"/>
        </w:rPr>
        <w:t>Rubinzal</w:t>
      </w:r>
      <w:proofErr w:type="spellEnd"/>
      <w:r w:rsidRPr="00024C90">
        <w:rPr>
          <w:rStyle w:val="Ninguno"/>
          <w:rFonts w:asciiTheme="minorHAnsi" w:hAnsiTheme="minorHAnsi"/>
          <w:color w:val="EE0000"/>
          <w:sz w:val="24"/>
          <w:szCs w:val="24"/>
        </w:rPr>
        <w:t xml:space="preserve"> </w:t>
      </w:r>
      <w:proofErr w:type="spellStart"/>
      <w:r w:rsidRPr="00024C90">
        <w:rPr>
          <w:rStyle w:val="Ninguno"/>
          <w:rFonts w:asciiTheme="minorHAnsi" w:hAnsiTheme="minorHAnsi"/>
          <w:color w:val="EE0000"/>
          <w:sz w:val="24"/>
          <w:szCs w:val="24"/>
        </w:rPr>
        <w:t>Culzoni</w:t>
      </w:r>
      <w:proofErr w:type="spellEnd"/>
      <w:r w:rsidRPr="00024C90">
        <w:rPr>
          <w:rStyle w:val="Ninguno"/>
          <w:rFonts w:asciiTheme="minorHAnsi" w:hAnsiTheme="minorHAnsi"/>
          <w:color w:val="EE0000"/>
          <w:sz w:val="24"/>
          <w:szCs w:val="24"/>
        </w:rPr>
        <w:t xml:space="preserve">: Derechos humanos y nuevas tecnologías, ps.11/39. Ciudad Autónoma de Buenos Aires, 4 de junio de 2018, ISBN 978-987-30-1278-5. </w:t>
      </w:r>
    </w:p>
    <w:p w14:paraId="24AA02CC" w14:textId="77777777" w:rsidR="00D44FDC" w:rsidRPr="00024C90" w:rsidRDefault="00D44FDC" w:rsidP="00D44FDC">
      <w:pPr>
        <w:pStyle w:val="Cuerpo"/>
        <w:tabs>
          <w:tab w:val="left" w:pos="284"/>
        </w:tabs>
        <w:jc w:val="both"/>
        <w:rPr>
          <w:rStyle w:val="Ninguno"/>
          <w:rFonts w:asciiTheme="minorHAnsi" w:eastAsia="Book Antiqua" w:hAnsiTheme="minorHAnsi" w:cs="Book Antiqua"/>
          <w:b/>
          <w:bCs/>
          <w:color w:val="000000" w:themeColor="text1"/>
          <w:sz w:val="24"/>
          <w:szCs w:val="24"/>
        </w:rPr>
      </w:pPr>
    </w:p>
    <w:p w14:paraId="0F68DFD6" w14:textId="77777777" w:rsidR="00D44FDC" w:rsidRPr="00024C90" w:rsidRDefault="00D44FDC" w:rsidP="00D44FDC">
      <w:pPr>
        <w:pStyle w:val="Cuerpo"/>
        <w:tabs>
          <w:tab w:val="left" w:pos="284"/>
        </w:tabs>
        <w:jc w:val="both"/>
        <w:rPr>
          <w:rStyle w:val="Ninguno"/>
          <w:rFonts w:asciiTheme="minorHAnsi" w:hAnsiTheme="minorHAnsi"/>
          <w:b/>
          <w:bCs/>
          <w:color w:val="000000" w:themeColor="text1"/>
          <w:sz w:val="24"/>
          <w:szCs w:val="24"/>
        </w:rPr>
      </w:pPr>
    </w:p>
    <w:p w14:paraId="455FDCC0" w14:textId="77777777" w:rsidR="00D44FDC" w:rsidRPr="00024C90" w:rsidRDefault="00D44FDC" w:rsidP="00D44FDC">
      <w:pPr>
        <w:pStyle w:val="Cuerpo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jc w:val="both"/>
        <w:rPr>
          <w:rFonts w:asciiTheme="minorHAnsi" w:hAnsiTheme="minorHAnsi"/>
          <w:b/>
          <w:bCs/>
          <w:color w:val="EE0000"/>
          <w:sz w:val="24"/>
          <w:szCs w:val="24"/>
        </w:rPr>
      </w:pPr>
      <w:r w:rsidRPr="00024C90">
        <w:rPr>
          <w:rStyle w:val="Ninguno"/>
          <w:rFonts w:asciiTheme="minorHAnsi" w:hAnsiTheme="minorHAnsi"/>
          <w:b/>
          <w:bCs/>
          <w:color w:val="EE0000"/>
          <w:sz w:val="24"/>
          <w:szCs w:val="24"/>
        </w:rPr>
        <w:t>Reflexión preliminar. Observación 21 de la ONU: Chicos de la calle</w:t>
      </w:r>
      <w:r w:rsidRPr="00024C90">
        <w:rPr>
          <w:rStyle w:val="Ninguno"/>
          <w:rFonts w:asciiTheme="minorHAnsi" w:hAnsiTheme="minorHAnsi"/>
          <w:color w:val="EE0000"/>
          <w:sz w:val="24"/>
          <w:szCs w:val="24"/>
        </w:rPr>
        <w:t xml:space="preserve">. PENSAR JUSBAIRES, Revista del Poder Judicial de la Ciudad Autónoma de Buenos Aires, Año V </w:t>
      </w:r>
      <w:proofErr w:type="spellStart"/>
      <w:r w:rsidRPr="00024C90">
        <w:rPr>
          <w:rStyle w:val="Ninguno"/>
          <w:rFonts w:asciiTheme="minorHAnsi" w:hAnsiTheme="minorHAnsi"/>
          <w:color w:val="EE0000"/>
          <w:sz w:val="24"/>
          <w:szCs w:val="24"/>
        </w:rPr>
        <w:t>N°</w:t>
      </w:r>
      <w:proofErr w:type="spellEnd"/>
      <w:r w:rsidRPr="00024C90">
        <w:rPr>
          <w:rStyle w:val="Ninguno"/>
          <w:rFonts w:asciiTheme="minorHAnsi" w:hAnsiTheme="minorHAnsi"/>
          <w:color w:val="EE0000"/>
          <w:sz w:val="24"/>
          <w:szCs w:val="24"/>
        </w:rPr>
        <w:t xml:space="preserve"> 15, p. 30. Ciudad Autónoma de Buenos Aires, marzo de 2018.</w:t>
      </w:r>
    </w:p>
    <w:p w14:paraId="09A47A95" w14:textId="77777777" w:rsidR="00D44FDC" w:rsidRPr="00024C90" w:rsidRDefault="00D44FDC" w:rsidP="00D44FDC">
      <w:pPr>
        <w:pStyle w:val="Prrafodelista"/>
        <w:tabs>
          <w:tab w:val="left" w:pos="284"/>
        </w:tabs>
        <w:ind w:left="0"/>
        <w:rPr>
          <w:rStyle w:val="Ninguno"/>
          <w:rFonts w:asciiTheme="minorHAnsi" w:eastAsiaTheme="majorEastAsia" w:hAnsiTheme="minorHAnsi"/>
          <w:b/>
          <w:bCs/>
          <w:color w:val="000000" w:themeColor="text1"/>
        </w:rPr>
      </w:pPr>
    </w:p>
    <w:p w14:paraId="6B6D75EB" w14:textId="77777777" w:rsidR="002641BF" w:rsidRPr="00024C90" w:rsidRDefault="002641BF">
      <w:pPr>
        <w:rPr>
          <w:rFonts w:asciiTheme="minorHAnsi" w:hAnsiTheme="minorHAnsi"/>
          <w:b/>
          <w:bCs/>
          <w:color w:val="4EA72E" w:themeColor="accent6"/>
        </w:rPr>
      </w:pPr>
    </w:p>
    <w:p w14:paraId="77E25A43" w14:textId="77777777" w:rsidR="00024C90" w:rsidRPr="00BE19F8" w:rsidRDefault="00024C90" w:rsidP="00024C90">
      <w:pPr>
        <w:pStyle w:val="Cuerpo"/>
        <w:numPr>
          <w:ilvl w:val="0"/>
          <w:numId w:val="4"/>
        </w:numPr>
        <w:tabs>
          <w:tab w:val="left" w:pos="284"/>
          <w:tab w:val="left" w:pos="426"/>
        </w:tabs>
        <w:ind w:left="0" w:firstLine="0"/>
        <w:jc w:val="both"/>
        <w:rPr>
          <w:rFonts w:asciiTheme="minorHAnsi" w:hAnsiTheme="minorHAnsi"/>
          <w:color w:val="EE0000"/>
          <w:sz w:val="24"/>
          <w:szCs w:val="24"/>
        </w:rPr>
      </w:pPr>
      <w:r w:rsidRPr="00BE19F8">
        <w:rPr>
          <w:rStyle w:val="Ninguno"/>
          <w:rFonts w:asciiTheme="minorHAnsi" w:hAnsiTheme="minorHAnsi"/>
          <w:b/>
          <w:bCs/>
          <w:color w:val="EE0000"/>
          <w:sz w:val="24"/>
          <w:szCs w:val="24"/>
        </w:rPr>
        <w:t xml:space="preserve">La regulación de Internet y la libertad de expresión en la sociedad global. </w:t>
      </w:r>
      <w:r w:rsidRPr="00BE19F8">
        <w:rPr>
          <w:rStyle w:val="Ninguno"/>
          <w:rFonts w:asciiTheme="minorHAnsi" w:hAnsiTheme="minorHAnsi"/>
          <w:color w:val="EE0000"/>
          <w:sz w:val="24"/>
          <w:szCs w:val="24"/>
        </w:rPr>
        <w:t xml:space="preserve">Revista Derechos Emergentes de la Sociedad Global, del Programa de Posgrado en Derecho de la </w:t>
      </w:r>
      <w:proofErr w:type="spellStart"/>
      <w:r w:rsidRPr="00BE19F8">
        <w:rPr>
          <w:rStyle w:val="Ninguno"/>
          <w:rFonts w:asciiTheme="minorHAnsi" w:hAnsiTheme="minorHAnsi"/>
          <w:color w:val="EE0000"/>
          <w:sz w:val="24"/>
          <w:szCs w:val="24"/>
        </w:rPr>
        <w:t>Universidade</w:t>
      </w:r>
      <w:proofErr w:type="spellEnd"/>
      <w:r w:rsidRPr="00BE19F8">
        <w:rPr>
          <w:rStyle w:val="Ninguno"/>
          <w:rFonts w:asciiTheme="minorHAnsi" w:hAnsiTheme="minorHAnsi"/>
          <w:color w:val="EE0000"/>
          <w:sz w:val="24"/>
          <w:szCs w:val="24"/>
        </w:rPr>
        <w:t xml:space="preserve"> Federal de Santa María. Santa Maria, Brasil, 2017.</w:t>
      </w:r>
    </w:p>
    <w:p w14:paraId="41ADA9F6" w14:textId="77777777" w:rsidR="00024C90" w:rsidRPr="00024C90" w:rsidRDefault="00024C90" w:rsidP="00024C90">
      <w:pPr>
        <w:pStyle w:val="Cuerpo"/>
        <w:tabs>
          <w:tab w:val="left" w:pos="142"/>
          <w:tab w:val="left" w:pos="284"/>
          <w:tab w:val="left" w:pos="426"/>
        </w:tabs>
        <w:jc w:val="both"/>
        <w:rPr>
          <w:rStyle w:val="Ninguno"/>
          <w:rFonts w:asciiTheme="minorHAnsi" w:eastAsia="Book Antiqua" w:hAnsiTheme="minorHAnsi" w:cs="Book Antiqua"/>
          <w:color w:val="000000" w:themeColor="text1"/>
          <w:sz w:val="24"/>
          <w:szCs w:val="24"/>
        </w:rPr>
      </w:pPr>
    </w:p>
    <w:p w14:paraId="05002D20" w14:textId="77777777" w:rsidR="00024C90" w:rsidRPr="00BE19F8" w:rsidRDefault="00024C90" w:rsidP="00024C90">
      <w:pPr>
        <w:pStyle w:val="Cuerpo"/>
        <w:tabs>
          <w:tab w:val="left" w:pos="142"/>
          <w:tab w:val="left" w:pos="284"/>
          <w:tab w:val="left" w:pos="426"/>
        </w:tabs>
        <w:jc w:val="both"/>
        <w:rPr>
          <w:rStyle w:val="Ninguno"/>
          <w:rFonts w:asciiTheme="minorHAnsi" w:eastAsia="Book Antiqua" w:hAnsiTheme="minorHAnsi" w:cs="Book Antiqua"/>
          <w:color w:val="4EA72E" w:themeColor="accent6"/>
          <w:sz w:val="24"/>
          <w:szCs w:val="24"/>
        </w:rPr>
      </w:pPr>
    </w:p>
    <w:p w14:paraId="72CFD391" w14:textId="77777777" w:rsidR="00024C90" w:rsidRPr="00D7032B" w:rsidRDefault="00024C90" w:rsidP="00024C90">
      <w:pPr>
        <w:pStyle w:val="Cuerpo"/>
        <w:numPr>
          <w:ilvl w:val="0"/>
          <w:numId w:val="4"/>
        </w:numPr>
        <w:tabs>
          <w:tab w:val="left" w:pos="284"/>
          <w:tab w:val="left" w:pos="426"/>
        </w:tabs>
        <w:ind w:left="0" w:firstLine="0"/>
        <w:jc w:val="both"/>
        <w:rPr>
          <w:rFonts w:asciiTheme="minorHAnsi" w:hAnsiTheme="minorHAnsi"/>
          <w:b/>
          <w:bCs/>
          <w:color w:val="EE0000"/>
          <w:sz w:val="24"/>
          <w:szCs w:val="24"/>
        </w:rPr>
      </w:pPr>
      <w:r w:rsidRPr="00D7032B">
        <w:rPr>
          <w:rStyle w:val="Ninguno"/>
          <w:rFonts w:asciiTheme="minorHAnsi" w:hAnsiTheme="minorHAnsi"/>
          <w:b/>
          <w:bCs/>
          <w:color w:val="EE0000"/>
          <w:sz w:val="24"/>
          <w:szCs w:val="24"/>
        </w:rPr>
        <w:t>La protección de datos personales frente a las nuevas tecnologías</w:t>
      </w:r>
      <w:r w:rsidRPr="00D7032B">
        <w:rPr>
          <w:rStyle w:val="Ninguno"/>
          <w:rFonts w:asciiTheme="minorHAnsi" w:hAnsiTheme="minorHAnsi"/>
          <w:color w:val="EE0000"/>
          <w:sz w:val="24"/>
          <w:szCs w:val="24"/>
        </w:rPr>
        <w:t xml:space="preserve">, </w:t>
      </w:r>
      <w:proofErr w:type="spellStart"/>
      <w:r w:rsidRPr="00D7032B">
        <w:rPr>
          <w:rStyle w:val="Ninguno"/>
          <w:rFonts w:asciiTheme="minorHAnsi" w:hAnsiTheme="minorHAnsi"/>
          <w:color w:val="EE0000"/>
          <w:sz w:val="24"/>
          <w:szCs w:val="24"/>
        </w:rPr>
        <w:t>Microjuris</w:t>
      </w:r>
      <w:proofErr w:type="spellEnd"/>
      <w:r w:rsidRPr="00D7032B">
        <w:rPr>
          <w:rStyle w:val="Ninguno"/>
          <w:rFonts w:asciiTheme="minorHAnsi" w:hAnsiTheme="minorHAnsi"/>
          <w:color w:val="EE0000"/>
          <w:sz w:val="24"/>
          <w:szCs w:val="24"/>
        </w:rPr>
        <w:t>. Ciudad Autónoma de Buenos Aires, 02 de septiembre de 2016.</w:t>
      </w:r>
    </w:p>
    <w:p w14:paraId="29F446F1" w14:textId="77777777" w:rsidR="00024C90" w:rsidRPr="00024C90" w:rsidRDefault="00024C90" w:rsidP="00024C90">
      <w:pPr>
        <w:pStyle w:val="Cuerpo"/>
        <w:tabs>
          <w:tab w:val="left" w:pos="142"/>
          <w:tab w:val="left" w:pos="284"/>
          <w:tab w:val="left" w:pos="426"/>
        </w:tabs>
        <w:jc w:val="both"/>
        <w:rPr>
          <w:rStyle w:val="Ninguno"/>
          <w:rFonts w:asciiTheme="minorHAnsi" w:eastAsia="Book Antiqua" w:hAnsiTheme="minorHAnsi" w:cs="Book Antiqua"/>
          <w:color w:val="000000" w:themeColor="text1"/>
          <w:sz w:val="24"/>
          <w:szCs w:val="24"/>
        </w:rPr>
      </w:pPr>
    </w:p>
    <w:p w14:paraId="20A3B2FF" w14:textId="77777777" w:rsidR="00024C90" w:rsidRPr="00024C90" w:rsidRDefault="00024C90">
      <w:pPr>
        <w:rPr>
          <w:rFonts w:asciiTheme="minorHAnsi" w:hAnsiTheme="minorHAnsi"/>
          <w:b/>
          <w:bCs/>
          <w:color w:val="4EA72E" w:themeColor="accent6"/>
        </w:rPr>
      </w:pPr>
    </w:p>
    <w:sectPr w:rsidR="00024C90" w:rsidRPr="00024C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00A"/>
    <w:multiLevelType w:val="hybridMultilevel"/>
    <w:tmpl w:val="AC62AEAE"/>
    <w:styleLink w:val="Estiloimportado15"/>
    <w:lvl w:ilvl="0" w:tplc="BC76A474">
      <w:start w:val="1"/>
      <w:numFmt w:val="decimal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7AA5D16">
      <w:start w:val="1"/>
      <w:numFmt w:val="lowerLetter"/>
      <w:lvlText w:val="%2."/>
      <w:lvlJc w:val="left"/>
      <w:pPr>
        <w:ind w:left="720" w:hanging="6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9DC2C3F4">
      <w:start w:val="1"/>
      <w:numFmt w:val="lowerRoman"/>
      <w:lvlText w:val="%3."/>
      <w:lvlJc w:val="left"/>
      <w:pPr>
        <w:ind w:left="1440" w:hanging="54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36E86F0">
      <w:start w:val="1"/>
      <w:numFmt w:val="decimal"/>
      <w:lvlText w:val="%4."/>
      <w:lvlJc w:val="left"/>
      <w:pPr>
        <w:ind w:left="2160" w:hanging="59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D6B2A0">
      <w:start w:val="1"/>
      <w:numFmt w:val="lowerLetter"/>
      <w:lvlText w:val="%5."/>
      <w:lvlJc w:val="left"/>
      <w:pPr>
        <w:ind w:left="2880" w:hanging="58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1D6C2412">
      <w:start w:val="1"/>
      <w:numFmt w:val="lowerRoman"/>
      <w:lvlText w:val="%6."/>
      <w:lvlJc w:val="left"/>
      <w:pPr>
        <w:ind w:left="3600" w:hanging="51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F400440">
      <w:start w:val="1"/>
      <w:numFmt w:val="decimal"/>
      <w:lvlText w:val="%7."/>
      <w:lvlJc w:val="left"/>
      <w:pPr>
        <w:ind w:left="4320" w:hanging="5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5F3A985C">
      <w:start w:val="1"/>
      <w:numFmt w:val="lowerLetter"/>
      <w:lvlText w:val="%8."/>
      <w:lvlJc w:val="left"/>
      <w:pPr>
        <w:ind w:left="5040" w:hanging="54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6EA75E4">
      <w:start w:val="1"/>
      <w:numFmt w:val="lowerRoman"/>
      <w:lvlText w:val="%9."/>
      <w:lvlJc w:val="left"/>
      <w:pPr>
        <w:ind w:left="5760" w:hanging="47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6ED68B6"/>
    <w:multiLevelType w:val="hybridMultilevel"/>
    <w:tmpl w:val="AC62AEAE"/>
    <w:numStyleLink w:val="Estiloimportado15"/>
  </w:abstractNum>
  <w:num w:numId="1" w16cid:durableId="1726754958">
    <w:abstractNumId w:val="0"/>
  </w:num>
  <w:num w:numId="2" w16cid:durableId="321205043">
    <w:abstractNumId w:val="1"/>
    <w:lvlOverride w:ilvl="0">
      <w:lvl w:ilvl="0" w:tplc="0FE625C4">
        <w:start w:val="1"/>
        <w:numFmt w:val="decimal"/>
        <w:lvlText w:val="%1."/>
        <w:lvlJc w:val="left"/>
        <w:pPr>
          <w:ind w:left="994" w:hanging="284"/>
        </w:pPr>
        <w:rPr>
          <w:rFonts w:hAnsi="Arial Unicode MS"/>
          <w:b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3" w16cid:durableId="1679237247">
    <w:abstractNumId w:val="1"/>
    <w:lvlOverride w:ilvl="0">
      <w:lvl w:ilvl="0" w:tplc="0FE625C4">
        <w:start w:val="1"/>
        <w:numFmt w:val="decimal"/>
        <w:lvlText w:val="%1."/>
        <w:lvlJc w:val="left"/>
        <w:pPr>
          <w:ind w:left="237" w:hanging="23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B720F10">
        <w:start w:val="1"/>
        <w:numFmt w:val="lowerLetter"/>
        <w:lvlText w:val="%2."/>
        <w:lvlJc w:val="left"/>
        <w:pPr>
          <w:ind w:left="617" w:hanging="51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37E0FAE0">
        <w:start w:val="1"/>
        <w:numFmt w:val="lowerRoman"/>
        <w:lvlText w:val="%3."/>
        <w:lvlJc w:val="left"/>
        <w:pPr>
          <w:ind w:left="1352" w:hanging="4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25882F06">
        <w:start w:val="1"/>
        <w:numFmt w:val="decimal"/>
        <w:lvlText w:val="%4."/>
        <w:lvlJc w:val="left"/>
        <w:pPr>
          <w:ind w:left="2061" w:hanging="4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521A3F80">
        <w:start w:val="1"/>
        <w:numFmt w:val="lowerLetter"/>
        <w:lvlText w:val="%5."/>
        <w:lvlJc w:val="left"/>
        <w:pPr>
          <w:ind w:left="2783" w:hanging="4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90B86DF0">
        <w:start w:val="1"/>
        <w:numFmt w:val="lowerRoman"/>
        <w:lvlText w:val="%6."/>
        <w:lvlJc w:val="left"/>
        <w:pPr>
          <w:ind w:left="3518" w:hanging="4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11E8656C">
        <w:start w:val="1"/>
        <w:numFmt w:val="decimal"/>
        <w:lvlText w:val="%7."/>
        <w:lvlJc w:val="left"/>
        <w:pPr>
          <w:ind w:left="4227" w:hanging="4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5DF4BF86">
        <w:start w:val="1"/>
        <w:numFmt w:val="lowerLetter"/>
        <w:lvlText w:val="%8."/>
        <w:lvlJc w:val="left"/>
        <w:pPr>
          <w:ind w:left="4949" w:hanging="4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31423154">
        <w:start w:val="1"/>
        <w:numFmt w:val="lowerRoman"/>
        <w:lvlText w:val="%9."/>
        <w:lvlJc w:val="left"/>
        <w:pPr>
          <w:ind w:left="5684" w:hanging="3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4" w16cid:durableId="370348752">
    <w:abstractNumId w:val="1"/>
    <w:lvlOverride w:ilvl="0">
      <w:lvl w:ilvl="0" w:tplc="0FE625C4">
        <w:start w:val="1"/>
        <w:numFmt w:val="decimal"/>
        <w:lvlText w:val="%1."/>
        <w:lvlJc w:val="left"/>
        <w:pPr>
          <w:tabs>
            <w:tab w:val="left" w:pos="142"/>
          </w:tabs>
          <w:ind w:left="284" w:hanging="284"/>
        </w:pPr>
        <w:rPr>
          <w:rFonts w:hAnsi="Arial Unicode MS"/>
          <w:b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B720F10">
        <w:start w:val="1"/>
        <w:numFmt w:val="lowerLetter"/>
        <w:lvlText w:val="%2."/>
        <w:lvlJc w:val="left"/>
        <w:pPr>
          <w:tabs>
            <w:tab w:val="left" w:pos="142"/>
          </w:tabs>
          <w:ind w:left="620" w:hanging="6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7E0FAE0">
        <w:start w:val="1"/>
        <w:numFmt w:val="lowerRoman"/>
        <w:lvlText w:val="%3."/>
        <w:lvlJc w:val="left"/>
        <w:pPr>
          <w:tabs>
            <w:tab w:val="left" w:pos="142"/>
          </w:tabs>
          <w:ind w:left="1156" w:hanging="5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5882F06">
        <w:start w:val="1"/>
        <w:numFmt w:val="decimal"/>
        <w:lvlText w:val="%4."/>
        <w:lvlJc w:val="left"/>
        <w:pPr>
          <w:tabs>
            <w:tab w:val="left" w:pos="142"/>
          </w:tabs>
          <w:ind w:left="1876" w:hanging="5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21A3F80">
        <w:start w:val="1"/>
        <w:numFmt w:val="lowerLetter"/>
        <w:lvlText w:val="%5."/>
        <w:lvlJc w:val="left"/>
        <w:pPr>
          <w:tabs>
            <w:tab w:val="left" w:pos="142"/>
          </w:tabs>
          <w:ind w:left="2596" w:hanging="58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0B86DF0">
        <w:start w:val="1"/>
        <w:numFmt w:val="lowerRoman"/>
        <w:lvlText w:val="%6."/>
        <w:lvlJc w:val="left"/>
        <w:pPr>
          <w:tabs>
            <w:tab w:val="left" w:pos="142"/>
          </w:tabs>
          <w:ind w:left="3316" w:hanging="5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1E8656C">
        <w:start w:val="1"/>
        <w:numFmt w:val="decimal"/>
        <w:lvlText w:val="%7."/>
        <w:lvlJc w:val="left"/>
        <w:pPr>
          <w:tabs>
            <w:tab w:val="left" w:pos="142"/>
          </w:tabs>
          <w:ind w:left="4036" w:hanging="5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DF4BF86">
        <w:start w:val="1"/>
        <w:numFmt w:val="lowerLetter"/>
        <w:lvlText w:val="%8."/>
        <w:lvlJc w:val="left"/>
        <w:pPr>
          <w:tabs>
            <w:tab w:val="left" w:pos="142"/>
          </w:tabs>
          <w:ind w:left="4756" w:hanging="5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1423154">
        <w:start w:val="1"/>
        <w:numFmt w:val="lowerRoman"/>
        <w:lvlText w:val="%9."/>
        <w:lvlJc w:val="left"/>
        <w:pPr>
          <w:tabs>
            <w:tab w:val="left" w:pos="142"/>
          </w:tabs>
          <w:ind w:left="5476" w:hanging="4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F7"/>
    <w:rsid w:val="00024C90"/>
    <w:rsid w:val="002641BF"/>
    <w:rsid w:val="002672E8"/>
    <w:rsid w:val="00293A99"/>
    <w:rsid w:val="002958D1"/>
    <w:rsid w:val="0034141C"/>
    <w:rsid w:val="004662DB"/>
    <w:rsid w:val="00614AA7"/>
    <w:rsid w:val="006847B3"/>
    <w:rsid w:val="007949E7"/>
    <w:rsid w:val="00836A0B"/>
    <w:rsid w:val="008E61EE"/>
    <w:rsid w:val="009A7608"/>
    <w:rsid w:val="00B14EEC"/>
    <w:rsid w:val="00BC6853"/>
    <w:rsid w:val="00BE19F8"/>
    <w:rsid w:val="00C74E14"/>
    <w:rsid w:val="00C93DF7"/>
    <w:rsid w:val="00CD700A"/>
    <w:rsid w:val="00D367E3"/>
    <w:rsid w:val="00D44FDC"/>
    <w:rsid w:val="00D7032B"/>
    <w:rsid w:val="00E65F2F"/>
    <w:rsid w:val="00F51226"/>
    <w:rsid w:val="00FD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CC26E"/>
  <w15:chartTrackingRefBased/>
  <w15:docId w15:val="{AAA12D03-5CB6-4F04-B05E-8E970622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93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D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D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D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D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D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D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D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D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DF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C93D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D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D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DF7"/>
    <w:rPr>
      <w:b/>
      <w:bCs/>
      <w:smallCaps/>
      <w:color w:val="0F4761" w:themeColor="accent1" w:themeShade="BF"/>
      <w:spacing w:val="5"/>
    </w:rPr>
  </w:style>
  <w:style w:type="character" w:customStyle="1" w:styleId="Ninguno">
    <w:name w:val="Ninguno"/>
    <w:rsid w:val="00C93DF7"/>
  </w:style>
  <w:style w:type="paragraph" w:customStyle="1" w:styleId="Cuerpo">
    <w:name w:val="Cuerpo"/>
    <w:rsid w:val="00C93DF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ES_tradnl"/>
    </w:rPr>
  </w:style>
  <w:style w:type="numbering" w:customStyle="1" w:styleId="Estiloimportado15">
    <w:name w:val="Estilo importado 15"/>
    <w:rsid w:val="00C93DF7"/>
    <w:pPr>
      <w:numPr>
        <w:numId w:val="1"/>
      </w:numPr>
    </w:pPr>
  </w:style>
  <w:style w:type="character" w:customStyle="1" w:styleId="apple-converted-space">
    <w:name w:val="apple-converted-space"/>
    <w:basedOn w:val="Fuentedeprrafopredeter"/>
    <w:rsid w:val="00C93DF7"/>
  </w:style>
  <w:style w:type="character" w:styleId="nfasis">
    <w:name w:val="Emphasis"/>
    <w:basedOn w:val="Fuentedeprrafopredeter"/>
    <w:uiPriority w:val="20"/>
    <w:qFormat/>
    <w:rsid w:val="00C93DF7"/>
    <w:rPr>
      <w:i/>
      <w:iCs/>
    </w:rPr>
  </w:style>
  <w:style w:type="paragraph" w:styleId="Textoindependiente2">
    <w:name w:val="Body Text 2"/>
    <w:link w:val="Textoindependiente2Car"/>
    <w:rsid w:val="00D44FD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both"/>
    </w:pPr>
    <w:rPr>
      <w:rFonts w:ascii="Arial" w:eastAsia="Arial Unicode MS" w:hAnsi="Arial" w:cs="Arial Unicode MS"/>
      <w:b/>
      <w:bCs/>
      <w:color w:val="000000"/>
      <w:sz w:val="24"/>
      <w:szCs w:val="24"/>
      <w:u w:color="000000"/>
      <w:bdr w:val="nil"/>
      <w:lang w:val="es-ES_tradnl" w:eastAsia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D44FDC"/>
    <w:rPr>
      <w:rFonts w:ascii="Arial" w:eastAsia="Arial Unicode MS" w:hAnsi="Arial" w:cs="Arial Unicode MS"/>
      <w:b/>
      <w:bCs/>
      <w:color w:val="000000"/>
      <w:sz w:val="24"/>
      <w:szCs w:val="24"/>
      <w:u w:color="000000"/>
      <w:bdr w:val="nil"/>
      <w:lang w:val="es-ES_tradnl" w:eastAsia="es-ES_tradnl"/>
    </w:rPr>
  </w:style>
  <w:style w:type="character" w:customStyle="1" w:styleId="Hyperlink2">
    <w:name w:val="Hyperlink.2"/>
    <w:basedOn w:val="Ninguno"/>
    <w:rsid w:val="00D44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2</Pages>
  <Words>608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Magdalena Escande</dc:creator>
  <cp:keywords/>
  <dc:description/>
  <cp:lastModifiedBy>Maria Magdalena Escande</cp:lastModifiedBy>
  <cp:revision>1</cp:revision>
  <dcterms:created xsi:type="dcterms:W3CDTF">2025-10-20T14:25:00Z</dcterms:created>
  <dcterms:modified xsi:type="dcterms:W3CDTF">2025-10-21T03:00:00Z</dcterms:modified>
</cp:coreProperties>
</file>