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64B2CF" w14:textId="2A8B88AA" w:rsidR="00807FDF" w:rsidRDefault="00042B14" w:rsidP="00E77104">
      <w:pPr>
        <w:spacing w:line="360" w:lineRule="auto"/>
        <w:jc w:val="center"/>
        <w:rPr>
          <w:b/>
          <w:bCs/>
          <w:sz w:val="28"/>
          <w:szCs w:val="28"/>
        </w:rPr>
      </w:pPr>
      <w:r w:rsidRPr="00BA6013">
        <w:rPr>
          <w:b/>
          <w:bCs/>
          <w:sz w:val="28"/>
          <w:szCs w:val="28"/>
        </w:rPr>
        <w:t>La protección jurídica del derecho a la intimidad</w:t>
      </w:r>
      <w:r w:rsidR="00300D62">
        <w:rPr>
          <w:b/>
          <w:bCs/>
          <w:sz w:val="28"/>
          <w:szCs w:val="28"/>
        </w:rPr>
        <w:t xml:space="preserve"> a 30 años de la </w:t>
      </w:r>
      <w:r w:rsidR="005D5E07">
        <w:rPr>
          <w:b/>
          <w:bCs/>
          <w:sz w:val="28"/>
          <w:szCs w:val="28"/>
        </w:rPr>
        <w:t>r</w:t>
      </w:r>
      <w:r w:rsidR="00300D62">
        <w:rPr>
          <w:b/>
          <w:bCs/>
          <w:sz w:val="28"/>
          <w:szCs w:val="28"/>
        </w:rPr>
        <w:t>eforma de 1994</w:t>
      </w:r>
      <w:r w:rsidR="00C8685E" w:rsidRPr="00BA6013">
        <w:rPr>
          <w:b/>
          <w:bCs/>
          <w:sz w:val="28"/>
          <w:szCs w:val="28"/>
        </w:rPr>
        <w:t xml:space="preserve">. Nuevas dimensiones del derecho </w:t>
      </w:r>
      <w:r w:rsidR="00CC2E4C" w:rsidRPr="00BA6013">
        <w:rPr>
          <w:b/>
          <w:bCs/>
          <w:sz w:val="28"/>
          <w:szCs w:val="28"/>
        </w:rPr>
        <w:t xml:space="preserve">a </w:t>
      </w:r>
      <w:r w:rsidR="00C8685E" w:rsidRPr="00BA6013">
        <w:rPr>
          <w:b/>
          <w:bCs/>
          <w:sz w:val="28"/>
          <w:szCs w:val="28"/>
        </w:rPr>
        <w:t xml:space="preserve">la </w:t>
      </w:r>
      <w:r w:rsidR="008D5D3E" w:rsidRPr="00BA6013">
        <w:rPr>
          <w:b/>
          <w:bCs/>
          <w:sz w:val="28"/>
          <w:szCs w:val="28"/>
        </w:rPr>
        <w:t>autodeterminación inform</w:t>
      </w:r>
      <w:r w:rsidR="00F807B9" w:rsidRPr="00BA6013">
        <w:rPr>
          <w:b/>
          <w:bCs/>
          <w:sz w:val="28"/>
          <w:szCs w:val="28"/>
        </w:rPr>
        <w:t>a</w:t>
      </w:r>
      <w:r w:rsidR="008D5D3E" w:rsidRPr="00BA6013">
        <w:rPr>
          <w:b/>
          <w:bCs/>
          <w:sz w:val="28"/>
          <w:szCs w:val="28"/>
        </w:rPr>
        <w:t>ti</w:t>
      </w:r>
      <w:r w:rsidR="00C8685E" w:rsidRPr="00BA6013">
        <w:rPr>
          <w:b/>
          <w:bCs/>
          <w:sz w:val="28"/>
          <w:szCs w:val="28"/>
        </w:rPr>
        <w:t>va</w:t>
      </w:r>
      <w:r w:rsidRPr="00BA6013">
        <w:rPr>
          <w:b/>
          <w:bCs/>
          <w:sz w:val="28"/>
          <w:szCs w:val="28"/>
        </w:rPr>
        <w:t xml:space="preserve"> </w:t>
      </w:r>
      <w:r w:rsidR="002C0188">
        <w:rPr>
          <w:b/>
          <w:bCs/>
          <w:sz w:val="28"/>
          <w:szCs w:val="28"/>
        </w:rPr>
        <w:t>y el derecho fundamental a la protección de datos personales.</w:t>
      </w:r>
    </w:p>
    <w:p w14:paraId="0A4F3A28" w14:textId="77777777" w:rsidR="002C0188" w:rsidRPr="00BA6013" w:rsidRDefault="002C0188" w:rsidP="00E77104">
      <w:pPr>
        <w:spacing w:line="360" w:lineRule="auto"/>
        <w:jc w:val="center"/>
        <w:rPr>
          <w:b/>
          <w:bCs/>
          <w:sz w:val="28"/>
          <w:szCs w:val="28"/>
        </w:rPr>
      </w:pPr>
    </w:p>
    <w:p w14:paraId="4163D707" w14:textId="720B99A1" w:rsidR="00807FDF" w:rsidRPr="00BA6013" w:rsidRDefault="00807FDF" w:rsidP="008D5D3E">
      <w:pPr>
        <w:spacing w:line="360" w:lineRule="auto"/>
        <w:jc w:val="both"/>
        <w:rPr>
          <w:b/>
          <w:bCs/>
        </w:rPr>
      </w:pPr>
      <w:r w:rsidRPr="00BA6013">
        <w:rPr>
          <w:b/>
          <w:bCs/>
        </w:rPr>
        <w:t>Por Marcela I. Basterra</w:t>
      </w:r>
    </w:p>
    <w:p w14:paraId="2DB7C208" w14:textId="7D9B6998" w:rsidR="00FA7DED" w:rsidRPr="00BA6013" w:rsidRDefault="00FA7DED" w:rsidP="00762166">
      <w:pPr>
        <w:tabs>
          <w:tab w:val="left" w:pos="426"/>
        </w:tabs>
        <w:spacing w:line="360" w:lineRule="auto"/>
        <w:rPr>
          <w:b/>
          <w:bCs/>
        </w:rPr>
      </w:pPr>
    </w:p>
    <w:p w14:paraId="21BB9B66" w14:textId="5AF5D87F" w:rsidR="00F16032" w:rsidRPr="00BA6013" w:rsidRDefault="008D5D3E" w:rsidP="00EC61DE">
      <w:pPr>
        <w:spacing w:line="360" w:lineRule="auto"/>
        <w:ind w:firstLine="708"/>
        <w:jc w:val="both"/>
        <w:rPr>
          <w:b/>
          <w:bCs/>
        </w:rPr>
      </w:pPr>
      <w:r w:rsidRPr="00BA6013">
        <w:rPr>
          <w:b/>
          <w:bCs/>
        </w:rPr>
        <w:t>1.</w:t>
      </w:r>
      <w:r w:rsidR="00DF26DC" w:rsidRPr="00BA6013">
        <w:rPr>
          <w:b/>
          <w:bCs/>
        </w:rPr>
        <w:t xml:space="preserve"> </w:t>
      </w:r>
      <w:r w:rsidR="00660C35" w:rsidRPr="00BA6013">
        <w:rPr>
          <w:b/>
          <w:bCs/>
        </w:rPr>
        <w:t xml:space="preserve">El derecho a la intimidad en </w:t>
      </w:r>
      <w:r w:rsidR="00B3313D" w:rsidRPr="00BA6013">
        <w:rPr>
          <w:b/>
          <w:bCs/>
        </w:rPr>
        <w:t xml:space="preserve">el ordenamiento jurídico argentino </w:t>
      </w:r>
      <w:r w:rsidR="00DF26DC" w:rsidRPr="00BA6013">
        <w:rPr>
          <w:b/>
          <w:bCs/>
        </w:rPr>
        <w:t>2</w:t>
      </w:r>
      <w:r w:rsidR="00660C35" w:rsidRPr="00BA6013">
        <w:rPr>
          <w:b/>
          <w:bCs/>
        </w:rPr>
        <w:t xml:space="preserve">. El </w:t>
      </w:r>
      <w:r w:rsidR="00F16032" w:rsidRPr="00BA6013">
        <w:rPr>
          <w:b/>
          <w:bCs/>
        </w:rPr>
        <w:t xml:space="preserve">surgimiento del </w:t>
      </w:r>
      <w:r w:rsidR="00660C35" w:rsidRPr="00BA6013">
        <w:rPr>
          <w:b/>
          <w:bCs/>
        </w:rPr>
        <w:t xml:space="preserve">derecho a la autodeterminación informativa </w:t>
      </w:r>
      <w:r w:rsidR="00F16032" w:rsidRPr="00BA6013">
        <w:rPr>
          <w:b/>
          <w:bCs/>
        </w:rPr>
        <w:t>3. La autodeterminación informativa ¿un derecho autónomo en el Sistema Interamericano?</w:t>
      </w:r>
      <w:r w:rsidR="007863E1" w:rsidRPr="00BA6013">
        <w:rPr>
          <w:b/>
          <w:bCs/>
        </w:rPr>
        <w:t xml:space="preserve"> 4. La responsabilidad de los motores de búsqueda. El fallo “</w:t>
      </w:r>
      <w:r w:rsidR="007863E1" w:rsidRPr="00BA6013">
        <w:rPr>
          <w:b/>
          <w:bCs/>
          <w:i/>
          <w:iCs/>
        </w:rPr>
        <w:t>Rodríguez</w:t>
      </w:r>
      <w:r w:rsidR="007863E1" w:rsidRPr="00BA6013">
        <w:rPr>
          <w:b/>
          <w:bCs/>
        </w:rPr>
        <w:t>”</w:t>
      </w:r>
      <w:r w:rsidR="00EC61DE" w:rsidRPr="00BA6013">
        <w:rPr>
          <w:b/>
          <w:bCs/>
        </w:rPr>
        <w:t xml:space="preserve"> 5. El derecho al olvido. La sentencia de la CSJN en el caso “</w:t>
      </w:r>
      <w:r w:rsidR="00EC61DE" w:rsidRPr="00BA6013">
        <w:rPr>
          <w:b/>
          <w:bCs/>
          <w:i/>
          <w:iCs/>
        </w:rPr>
        <w:t>Denegri</w:t>
      </w:r>
      <w:r w:rsidR="00EC61DE" w:rsidRPr="00BA6013">
        <w:rPr>
          <w:b/>
          <w:bCs/>
        </w:rPr>
        <w:t>” 6. Conclusiones</w:t>
      </w:r>
    </w:p>
    <w:p w14:paraId="6E1B0425" w14:textId="77777777" w:rsidR="00660C35" w:rsidRPr="00BA6013" w:rsidRDefault="00660C35" w:rsidP="00CA532F">
      <w:pPr>
        <w:tabs>
          <w:tab w:val="left" w:pos="426"/>
        </w:tabs>
        <w:spacing w:line="360" w:lineRule="auto"/>
        <w:rPr>
          <w:b/>
          <w:bCs/>
        </w:rPr>
      </w:pPr>
    </w:p>
    <w:p w14:paraId="232A868D" w14:textId="45CD6C8B" w:rsidR="000342F3" w:rsidRPr="00BA6013" w:rsidRDefault="005352BE" w:rsidP="005352BE">
      <w:pPr>
        <w:tabs>
          <w:tab w:val="left" w:pos="426"/>
          <w:tab w:val="left" w:pos="567"/>
        </w:tabs>
        <w:spacing w:line="360" w:lineRule="auto"/>
        <w:jc w:val="both"/>
        <w:rPr>
          <w:b/>
          <w:bCs/>
        </w:rPr>
      </w:pPr>
      <w:r w:rsidRPr="00BA6013">
        <w:rPr>
          <w:b/>
          <w:bCs/>
        </w:rPr>
        <w:tab/>
      </w:r>
      <w:r w:rsidRPr="00BA6013">
        <w:rPr>
          <w:b/>
          <w:bCs/>
        </w:rPr>
        <w:tab/>
        <w:t>1.</w:t>
      </w:r>
      <w:r w:rsidR="00CF6104" w:rsidRPr="00BA6013">
        <w:rPr>
          <w:b/>
          <w:bCs/>
        </w:rPr>
        <w:t xml:space="preserve"> </w:t>
      </w:r>
      <w:r w:rsidR="00762166" w:rsidRPr="00BA6013">
        <w:rPr>
          <w:b/>
          <w:bCs/>
        </w:rPr>
        <w:t xml:space="preserve">El derecho a la intimidad en </w:t>
      </w:r>
      <w:r w:rsidR="00B3313D" w:rsidRPr="00BA6013">
        <w:rPr>
          <w:b/>
          <w:bCs/>
        </w:rPr>
        <w:t>el ordenamiento jurídico argentino</w:t>
      </w:r>
    </w:p>
    <w:p w14:paraId="08DE7C3A" w14:textId="551B5389" w:rsidR="007810CB" w:rsidRPr="00BA6013" w:rsidRDefault="007810CB" w:rsidP="00A94E23">
      <w:pPr>
        <w:tabs>
          <w:tab w:val="left" w:pos="426"/>
        </w:tabs>
        <w:spacing w:line="360" w:lineRule="auto"/>
        <w:ind w:firstLine="567"/>
        <w:jc w:val="both"/>
      </w:pPr>
      <w:r w:rsidRPr="00BA6013">
        <w:t xml:space="preserve">El </w:t>
      </w:r>
      <w:r w:rsidR="00A94E23" w:rsidRPr="00BA6013">
        <w:t>derecho a la intimidad no es una prerrogativa predeterminada e inmutable, sino que, además de la genérica potestad de las personas para disponer de la vida privada, su contenido es, a la vez, tributario de la libertad del titular en cuanto a la delimitación de los contornos que han de servir para definirla</w:t>
      </w:r>
      <w:r w:rsidR="00A94E23" w:rsidRPr="00BA6013">
        <w:rPr>
          <w:rStyle w:val="Refdenotaalpie"/>
        </w:rPr>
        <w:footnoteReference w:id="1"/>
      </w:r>
      <w:r w:rsidR="00A94E23" w:rsidRPr="00BA6013">
        <w:t>. Es condicionante del ejercicio de la autodeterminación personal para configurar un proyecto de vida</w:t>
      </w:r>
      <w:r w:rsidRPr="00BA6013">
        <w:rPr>
          <w:vertAlign w:val="superscript"/>
        </w:rPr>
        <w:footnoteReference w:id="2"/>
      </w:r>
      <w:r w:rsidRPr="00BA6013">
        <w:t xml:space="preserve">. </w:t>
      </w:r>
    </w:p>
    <w:p w14:paraId="08D008E5" w14:textId="5EFC8AEE" w:rsidR="00C92125" w:rsidRPr="00BA6013" w:rsidRDefault="00011FF1" w:rsidP="005352BE">
      <w:pPr>
        <w:tabs>
          <w:tab w:val="left" w:pos="426"/>
        </w:tabs>
        <w:spacing w:line="360" w:lineRule="auto"/>
        <w:ind w:firstLine="567"/>
        <w:jc w:val="both"/>
      </w:pPr>
      <w:r w:rsidRPr="00BA6013">
        <w:t>Siguiendo estos lineamientos nuestro ordenamiento jurídico reconoce e</w:t>
      </w:r>
      <w:r w:rsidR="001F7733" w:rsidRPr="00BA6013">
        <w:t xml:space="preserve">l derecho a la intimidad </w:t>
      </w:r>
      <w:r w:rsidR="00CF6104" w:rsidRPr="00BA6013">
        <w:t>con un alcance amplio. E</w:t>
      </w:r>
      <w:r w:rsidR="001F7733" w:rsidRPr="00BA6013">
        <w:t>xpresamente en el artículo 19</w:t>
      </w:r>
      <w:r w:rsidRPr="00BA6013">
        <w:t xml:space="preserve"> </w:t>
      </w:r>
      <w:r w:rsidR="005D5E07">
        <w:t>la</w:t>
      </w:r>
      <w:r w:rsidRPr="00BA6013">
        <w:t xml:space="preserve"> Constitución Nacional</w:t>
      </w:r>
      <w:r w:rsidR="000529B5" w:rsidRPr="00BA6013">
        <w:t xml:space="preserve"> </w:t>
      </w:r>
      <w:r w:rsidR="00CF6104" w:rsidRPr="00BA6013">
        <w:t xml:space="preserve">enuncia </w:t>
      </w:r>
      <w:r w:rsidR="002060F5" w:rsidRPr="00BA6013">
        <w:t>que</w:t>
      </w:r>
      <w:r w:rsidR="000529B5" w:rsidRPr="00BA6013">
        <w:t xml:space="preserve"> “</w:t>
      </w:r>
      <w:r w:rsidR="000529B5" w:rsidRPr="00BA6013">
        <w:rPr>
          <w:i/>
          <w:iCs/>
        </w:rPr>
        <w:t>Las acciones privadas de los hombres que de ningún modo ofendan al orden y a la moral pública, ni perjudiquen a un tercero, están sólo reservadas a Dios, y exentas de la autoridad de los magistrados. Ningún habitante de la Nación será obligado a hacer lo que no manda la ley, ni privado de lo que ella no prohíbe</w:t>
      </w:r>
      <w:r w:rsidR="000529B5" w:rsidRPr="00BA6013">
        <w:t>”</w:t>
      </w:r>
      <w:r w:rsidR="00C92125" w:rsidRPr="00BA6013">
        <w:t xml:space="preserve">. Este principio que podemos denominar </w:t>
      </w:r>
      <w:r w:rsidR="007810CB" w:rsidRPr="00BA6013">
        <w:t xml:space="preserve">de </w:t>
      </w:r>
      <w:r w:rsidR="00C92125" w:rsidRPr="00BA6013">
        <w:t xml:space="preserve">autonomía de la persona, o de autorreferencia, abarca también </w:t>
      </w:r>
      <w:r w:rsidRPr="00BA6013">
        <w:t>a</w:t>
      </w:r>
      <w:r w:rsidR="00C92125" w:rsidRPr="00BA6013">
        <w:t>l derecho a la intimidad o la privacidad</w:t>
      </w:r>
      <w:r w:rsidR="00C92125" w:rsidRPr="00BA6013">
        <w:rPr>
          <w:rStyle w:val="Refdenotaalpie"/>
        </w:rPr>
        <w:footnoteReference w:id="3"/>
      </w:r>
      <w:r w:rsidR="00C92125" w:rsidRPr="00BA6013">
        <w:t>.</w:t>
      </w:r>
    </w:p>
    <w:p w14:paraId="1E29C671" w14:textId="231EC71C" w:rsidR="001F7733" w:rsidRPr="00BA6013" w:rsidRDefault="001F7733" w:rsidP="005352BE">
      <w:pPr>
        <w:tabs>
          <w:tab w:val="left" w:pos="426"/>
        </w:tabs>
        <w:spacing w:line="360" w:lineRule="auto"/>
        <w:ind w:firstLine="567"/>
        <w:jc w:val="both"/>
      </w:pPr>
      <w:r w:rsidRPr="00BA6013">
        <w:lastRenderedPageBreak/>
        <w:t xml:space="preserve"> También se </w:t>
      </w:r>
      <w:r w:rsidR="00011FF1" w:rsidRPr="00BA6013">
        <w:t xml:space="preserve">confiere </w:t>
      </w:r>
      <w:r w:rsidRPr="00BA6013">
        <w:t>protección constitucional a través de</w:t>
      </w:r>
      <w:r w:rsidR="007810CB" w:rsidRPr="00BA6013">
        <w:t xml:space="preserve"> </w:t>
      </w:r>
      <w:r w:rsidRPr="00BA6013">
        <w:t>l</w:t>
      </w:r>
      <w:r w:rsidR="007810CB" w:rsidRPr="00BA6013">
        <w:t>o prescripto en el</w:t>
      </w:r>
      <w:r w:rsidRPr="00BA6013">
        <w:t xml:space="preserve"> art</w:t>
      </w:r>
      <w:r w:rsidR="00C92125" w:rsidRPr="00BA6013">
        <w:t>ículo</w:t>
      </w:r>
      <w:r w:rsidRPr="00BA6013">
        <w:t xml:space="preserve"> 18</w:t>
      </w:r>
      <w:r w:rsidR="00B87108" w:rsidRPr="00BA6013">
        <w:t xml:space="preserve"> </w:t>
      </w:r>
      <w:r w:rsidR="00C92125" w:rsidRPr="00BA6013">
        <w:t xml:space="preserve">que determina </w:t>
      </w:r>
      <w:r w:rsidR="00CF6104" w:rsidRPr="00BA6013">
        <w:t xml:space="preserve">la inviolabilidad del domicilio, de la correspondencia epistolar y los papeles privados. Asimismo, prescribe que mediante la sanción de una ley posterior se determinará </w:t>
      </w:r>
      <w:r w:rsidRPr="00BA6013">
        <w:t>en qué casos y con qué justificativos podrá procederse a su allanamiento y ocupación</w:t>
      </w:r>
      <w:r w:rsidRPr="00BA6013">
        <w:rPr>
          <w:rStyle w:val="Refdenotaalpie"/>
        </w:rPr>
        <w:footnoteReference w:id="4"/>
      </w:r>
      <w:r w:rsidRPr="00BA6013">
        <w:t>.</w:t>
      </w:r>
    </w:p>
    <w:p w14:paraId="646C5AA9" w14:textId="6C080A57" w:rsidR="00B81DD0" w:rsidRPr="00BA6013" w:rsidRDefault="001F7733" w:rsidP="005352BE">
      <w:pPr>
        <w:tabs>
          <w:tab w:val="left" w:pos="426"/>
        </w:tabs>
        <w:spacing w:line="360" w:lineRule="auto"/>
        <w:ind w:firstLine="567"/>
        <w:jc w:val="both"/>
      </w:pPr>
      <w:r w:rsidRPr="00BA6013">
        <w:t xml:space="preserve">Con la reforma constitucional de 1994 </w:t>
      </w:r>
      <w:r w:rsidR="00CF6104" w:rsidRPr="00BA6013">
        <w:t xml:space="preserve">se introdujo en nuestro ordenamiento jurídico </w:t>
      </w:r>
      <w:r w:rsidR="00B81DD0" w:rsidRPr="00BA6013">
        <w:t xml:space="preserve">la acción de habeas data reconociendo a los </w:t>
      </w:r>
      <w:r w:rsidR="005D5E07">
        <w:t>titulares de datos personales</w:t>
      </w:r>
      <w:r w:rsidR="00B81DD0" w:rsidRPr="00BA6013">
        <w:t xml:space="preserve"> la posibilidad de acceder, rectificar, cancelar u oponerse al procesamiento de datos, lo que se </w:t>
      </w:r>
      <w:r w:rsidR="00011FF1" w:rsidRPr="00BA6013">
        <w:t xml:space="preserve">conoce doctrinariamente como </w:t>
      </w:r>
      <w:r w:rsidR="00CF6104" w:rsidRPr="00BA6013">
        <w:t>“</w:t>
      </w:r>
      <w:r w:rsidR="00B81DD0" w:rsidRPr="00BA6013">
        <w:rPr>
          <w:i/>
          <w:iCs/>
        </w:rPr>
        <w:t>derechos ARCO</w:t>
      </w:r>
      <w:r w:rsidR="00CF6104" w:rsidRPr="00BA6013">
        <w:t>”</w:t>
      </w:r>
      <w:r w:rsidR="00B81DD0" w:rsidRPr="00BA6013">
        <w:rPr>
          <w:rStyle w:val="Refdenotaalpie"/>
        </w:rPr>
        <w:footnoteReference w:id="5"/>
      </w:r>
      <w:r w:rsidR="00B81DD0" w:rsidRPr="00BA6013">
        <w:t xml:space="preserve">. De esta forma, el artículo 43, establece que “(…) </w:t>
      </w:r>
      <w:r w:rsidR="00B81DD0" w:rsidRPr="00BA6013">
        <w:rPr>
          <w:i/>
          <w:iCs/>
        </w:rPr>
        <w:t>Toda persona podrá interponer esta acción para tomar conocimiento de los datos a ella referidos y de su finalidad, que consten en registros o bancos de datos públicos, o los privados destinados a proveer informes, y en caso de falsedad o discriminación, para exigir la supresión, rectificación, confidencialidad o actualización de aquéllos</w:t>
      </w:r>
      <w:r w:rsidR="00B81DD0" w:rsidRPr="00BA6013">
        <w:t>”.</w:t>
      </w:r>
    </w:p>
    <w:p w14:paraId="1A6162ED" w14:textId="1717D331" w:rsidR="001F7733" w:rsidRPr="00BA6013" w:rsidRDefault="001F7733" w:rsidP="005352BE">
      <w:pPr>
        <w:tabs>
          <w:tab w:val="left" w:pos="426"/>
        </w:tabs>
        <w:spacing w:line="360" w:lineRule="auto"/>
        <w:ind w:firstLine="567"/>
        <w:jc w:val="both"/>
      </w:pPr>
      <w:r w:rsidRPr="00BA6013">
        <w:t>Asimismo, en los tratados internacionales de derechos humanos con jerarquía constitucional se encuentra un abanico de normas protectoras del derecho a la intimidad</w:t>
      </w:r>
      <w:r w:rsidR="00683F52" w:rsidRPr="00BA6013">
        <w:t xml:space="preserve">, como por ejemplo en la Convención Americana sobre Derechos Humanos (1969), </w:t>
      </w:r>
      <w:r w:rsidR="009C2A33" w:rsidRPr="00BA6013">
        <w:t xml:space="preserve">el </w:t>
      </w:r>
      <w:r w:rsidR="00683F52" w:rsidRPr="00BA6013">
        <w:t>artículo 11 expresa “</w:t>
      </w:r>
      <w:r w:rsidR="00683F52" w:rsidRPr="00BA6013">
        <w:rPr>
          <w:i/>
          <w:iCs/>
        </w:rPr>
        <w:t>Toda persona tiene derecho al respeto de su honra y al reconocimiento de su dignidad; nadie puede ser objeto de injerencias arbitrarias o abusivas en su vida privada, en la de su familia, en su domicilio o en su correspondencia, ni de ataques ilegales a su honra o reputación; toda persona tiene derecho a la protección de la ley contra esas injerencias o esos ataques</w:t>
      </w:r>
      <w:r w:rsidR="00683F52" w:rsidRPr="00BA6013">
        <w:t xml:space="preserve">”. En similar sentido, podemos señalar los artículos </w:t>
      </w:r>
      <w:r w:rsidR="0076206A" w:rsidRPr="00BA6013">
        <w:t>V</w:t>
      </w:r>
      <w:r w:rsidR="00683F52" w:rsidRPr="00BA6013">
        <w:t xml:space="preserve"> de la Declaración Americana de Derechos y Deberes del Hombre</w:t>
      </w:r>
      <w:r w:rsidR="00EC65B0" w:rsidRPr="00BA6013">
        <w:rPr>
          <w:rStyle w:val="Refdenotaalpie"/>
        </w:rPr>
        <w:footnoteReference w:id="6"/>
      </w:r>
      <w:r w:rsidR="00683F52" w:rsidRPr="00BA6013">
        <w:t xml:space="preserve">, el artículo 12 de la Declaración </w:t>
      </w:r>
      <w:r w:rsidR="00B3313D" w:rsidRPr="00BA6013">
        <w:lastRenderedPageBreak/>
        <w:t>Universal</w:t>
      </w:r>
      <w:r w:rsidR="00683F52" w:rsidRPr="00BA6013">
        <w:t xml:space="preserve"> de Derechos Humanos</w:t>
      </w:r>
      <w:r w:rsidR="00EC65B0" w:rsidRPr="00BA6013">
        <w:rPr>
          <w:rStyle w:val="Refdenotaalpie"/>
        </w:rPr>
        <w:footnoteReference w:id="7"/>
      </w:r>
      <w:r w:rsidR="00683F52" w:rsidRPr="00BA6013">
        <w:t>, o el artículo 17 del Pacto Internacional de Derechos Civiles y Políticos</w:t>
      </w:r>
      <w:r w:rsidRPr="00BA6013">
        <w:rPr>
          <w:rStyle w:val="Refdenotaalpie"/>
        </w:rPr>
        <w:footnoteReference w:id="8"/>
      </w:r>
      <w:r w:rsidR="00683F52" w:rsidRPr="00BA6013">
        <w:t>.</w:t>
      </w:r>
    </w:p>
    <w:p w14:paraId="6E322B93" w14:textId="1DBEEBD0" w:rsidR="00F33EB0" w:rsidRPr="00BA6013" w:rsidRDefault="00F33EB0" w:rsidP="005352BE">
      <w:pPr>
        <w:tabs>
          <w:tab w:val="left" w:pos="426"/>
        </w:tabs>
        <w:spacing w:line="360" w:lineRule="auto"/>
        <w:ind w:firstLine="567"/>
        <w:jc w:val="both"/>
      </w:pPr>
      <w:r w:rsidRPr="00BA6013">
        <w:t xml:space="preserve">Del análisis sistematizado e integrador de la normativa </w:t>
      </w:r>
      <w:r w:rsidR="005D5E07">
        <w:t>que tutela</w:t>
      </w:r>
      <w:r w:rsidRPr="00BA6013">
        <w:t xml:space="preserve"> el derecho fundamental a la intimidad surgen, a nuestro criterio, cuatro niveles o esferas de protección: 1) primera esfera de protección: El principio de autonomía personal: 2) segunda esfera de protección: El derecho a la intimidad; 3) tercera esfera de protección: El derecho a la privacidad y; 4) cuarta esfera de protección: El derecho a la autodeterminación informática</w:t>
      </w:r>
      <w:r w:rsidRPr="00BA6013">
        <w:rPr>
          <w:rStyle w:val="Refdenotaalpie"/>
        </w:rPr>
        <w:footnoteReference w:id="9"/>
      </w:r>
      <w:r w:rsidRPr="00BA6013">
        <w:t>.</w:t>
      </w:r>
    </w:p>
    <w:p w14:paraId="7CEB758B" w14:textId="39367C86" w:rsidR="00F33EB0" w:rsidRPr="00BA6013" w:rsidRDefault="00F33EB0" w:rsidP="005352BE">
      <w:pPr>
        <w:tabs>
          <w:tab w:val="left" w:pos="426"/>
        </w:tabs>
        <w:spacing w:line="360" w:lineRule="auto"/>
        <w:ind w:firstLine="567"/>
        <w:jc w:val="both"/>
      </w:pPr>
      <w:r w:rsidRPr="00BA6013">
        <w:t xml:space="preserve">En el último tiempo, el derecho a la autodeterminación informativa </w:t>
      </w:r>
      <w:r w:rsidRPr="00BA6013">
        <w:rPr>
          <w:rFonts w:eastAsiaTheme="minorHAnsi"/>
          <w:lang w:eastAsia="en-US"/>
        </w:rPr>
        <w:t xml:space="preserve">ha cobrado especial relevancia </w:t>
      </w:r>
      <w:r w:rsidR="005B6CF7" w:rsidRPr="00BA6013">
        <w:rPr>
          <w:rFonts w:eastAsiaTheme="minorHAnsi"/>
          <w:lang w:eastAsia="en-US"/>
        </w:rPr>
        <w:t>principalmente a raíz</w:t>
      </w:r>
      <w:r w:rsidRPr="00BA6013">
        <w:rPr>
          <w:rFonts w:eastAsiaTheme="minorHAnsi"/>
          <w:lang w:eastAsia="en-US"/>
        </w:rPr>
        <w:t xml:space="preserve"> del surgimiento de las nuevas tecnologías y </w:t>
      </w:r>
      <w:r w:rsidR="005B6CF7" w:rsidRPr="00BA6013">
        <w:rPr>
          <w:rFonts w:eastAsiaTheme="minorHAnsi"/>
          <w:lang w:eastAsia="en-US"/>
        </w:rPr>
        <w:t xml:space="preserve">la expansión de las </w:t>
      </w:r>
      <w:r w:rsidRPr="00BA6013">
        <w:rPr>
          <w:rFonts w:eastAsiaTheme="minorHAnsi"/>
          <w:lang w:eastAsia="en-US"/>
        </w:rPr>
        <w:t>redes sociales</w:t>
      </w:r>
      <w:r w:rsidRPr="00BA6013">
        <w:t xml:space="preserve"> que motivan nuevos riesgos y perturbaciones para esta esfera de intimidad del individuo</w:t>
      </w:r>
      <w:r w:rsidRPr="00BA6013">
        <w:rPr>
          <w:rFonts w:eastAsiaTheme="minorHAnsi"/>
          <w:lang w:eastAsia="en-US"/>
        </w:rPr>
        <w:t>.</w:t>
      </w:r>
    </w:p>
    <w:p w14:paraId="78454D52" w14:textId="120A1936" w:rsidR="00B3313D" w:rsidRPr="00BA6013" w:rsidRDefault="00F33EB0" w:rsidP="005352BE">
      <w:pPr>
        <w:tabs>
          <w:tab w:val="left" w:pos="426"/>
        </w:tabs>
        <w:spacing w:line="360" w:lineRule="auto"/>
        <w:ind w:firstLine="567"/>
        <w:jc w:val="both"/>
      </w:pPr>
      <w:r w:rsidRPr="00BA6013">
        <w:t xml:space="preserve">Esta prerrogativa es protegida en forma específica por </w:t>
      </w:r>
      <w:r w:rsidR="00B3313D" w:rsidRPr="00BA6013">
        <w:t>la</w:t>
      </w:r>
      <w:r w:rsidRPr="00BA6013">
        <w:t xml:space="preserve"> L</w:t>
      </w:r>
      <w:r w:rsidR="00B3313D" w:rsidRPr="00BA6013">
        <w:t xml:space="preserve">ey </w:t>
      </w:r>
      <w:r w:rsidR="005B6CF7" w:rsidRPr="00BA6013">
        <w:t>Nº</w:t>
      </w:r>
      <w:r w:rsidR="00B3313D" w:rsidRPr="00BA6013">
        <w:t>25.326</w:t>
      </w:r>
      <w:r w:rsidR="00B3313D" w:rsidRPr="00BA6013">
        <w:rPr>
          <w:rStyle w:val="Refdenotaalpie"/>
        </w:rPr>
        <w:footnoteReference w:id="10"/>
      </w:r>
      <w:r w:rsidR="00B3313D" w:rsidRPr="00BA6013">
        <w:t xml:space="preserve"> conocida como Ley de Protección de Datos Personales o Habeas Data, reglamentada por el Poder Ejecutivo a través del decreto 1.558/2001</w:t>
      </w:r>
      <w:r w:rsidR="00B3313D" w:rsidRPr="00BA6013">
        <w:rPr>
          <w:rStyle w:val="Refdenotaalpie"/>
        </w:rPr>
        <w:footnoteReference w:id="11"/>
      </w:r>
      <w:r w:rsidRPr="00BA6013">
        <w:t xml:space="preserve">, la cual tiene </w:t>
      </w:r>
      <w:r w:rsidR="00B3313D" w:rsidRPr="00BA6013">
        <w:t>por objeto</w:t>
      </w:r>
      <w:r w:rsidR="005B6CF7" w:rsidRPr="00BA6013">
        <w:t xml:space="preserve"> </w:t>
      </w:r>
      <w:r w:rsidR="00B3313D" w:rsidRPr="00BA6013">
        <w:rPr>
          <w:iCs/>
        </w:rPr>
        <w:t>la protección integral de los datos personales para garantizar el derecho al honor y a la intimidad de las personas, así como también el acceso a la información que sobre las mismas se registre, de conformidad a lo establecido en el artículo 43, párrafo tercero de la Constitución Nacional</w:t>
      </w:r>
      <w:r w:rsidR="00206373" w:rsidRPr="00BA6013">
        <w:rPr>
          <w:rStyle w:val="Refdenotaalpie"/>
          <w:iCs/>
        </w:rPr>
        <w:footnoteReference w:id="12"/>
      </w:r>
      <w:r w:rsidR="00B3313D" w:rsidRPr="00BA6013">
        <w:rPr>
          <w:i/>
        </w:rPr>
        <w:t>.</w:t>
      </w:r>
      <w:r w:rsidR="00B3313D" w:rsidRPr="00BA6013">
        <w:t xml:space="preserve"> </w:t>
      </w:r>
    </w:p>
    <w:p w14:paraId="6663E8C8" w14:textId="5270456F" w:rsidR="00B3313D" w:rsidRPr="00BA6013" w:rsidRDefault="00B3313D" w:rsidP="005352BE">
      <w:pPr>
        <w:tabs>
          <w:tab w:val="left" w:pos="426"/>
        </w:tabs>
        <w:spacing w:line="360" w:lineRule="auto"/>
        <w:ind w:firstLine="567"/>
        <w:jc w:val="both"/>
      </w:pPr>
      <w:r w:rsidRPr="00BA6013">
        <w:t xml:space="preserve">El legislador se aparta de la norma constitucional, en tanto aquélla no menciona expresamente los derechos tutelados por la garantía, tomando únicamente el derecho a la intimidad y al honor, aún cuando la Constitución implícitamente, protege el derecho a la intimidad informática que implica la posibilidad de ejercer la autodeterminación informativa y, a través de ella, la protección del derecho a la imagen o el propio perfil. </w:t>
      </w:r>
    </w:p>
    <w:p w14:paraId="678E8D07" w14:textId="3824848C" w:rsidR="00C92125" w:rsidRPr="00BA6013" w:rsidRDefault="00C92125" w:rsidP="005352BE">
      <w:pPr>
        <w:tabs>
          <w:tab w:val="left" w:pos="426"/>
        </w:tabs>
        <w:spacing w:line="360" w:lineRule="auto"/>
        <w:ind w:firstLine="567"/>
        <w:jc w:val="both"/>
      </w:pPr>
      <w:r w:rsidRPr="00BA6013">
        <w:lastRenderedPageBreak/>
        <w:t xml:space="preserve">En el presente trabajo buscaremos profundizar </w:t>
      </w:r>
      <w:r w:rsidR="005B30AB" w:rsidRPr="00BA6013">
        <w:t>el alcance</w:t>
      </w:r>
      <w:r w:rsidRPr="00BA6013">
        <w:t xml:space="preserve"> jurídic</w:t>
      </w:r>
      <w:r w:rsidR="005B30AB" w:rsidRPr="00BA6013">
        <w:t>o</w:t>
      </w:r>
      <w:r w:rsidRPr="00BA6013">
        <w:t xml:space="preserve"> de</w:t>
      </w:r>
      <w:r w:rsidR="005B30AB" w:rsidRPr="00BA6013">
        <w:t xml:space="preserve">l derecho a la autodeterminación informativa, </w:t>
      </w:r>
      <w:r w:rsidR="00C66507" w:rsidRPr="00BA6013">
        <w:t xml:space="preserve">su conceptualización </w:t>
      </w:r>
      <w:r w:rsidR="005B6CF7" w:rsidRPr="00BA6013">
        <w:t xml:space="preserve">jurídica </w:t>
      </w:r>
      <w:r w:rsidR="00C66507" w:rsidRPr="00BA6013">
        <w:t xml:space="preserve">dentro del Sistema Interamericano de Derechos Humanos, </w:t>
      </w:r>
      <w:r w:rsidR="00D641B4" w:rsidRPr="00BA6013">
        <w:t>así como también</w:t>
      </w:r>
      <w:r w:rsidR="00EC65B0" w:rsidRPr="00BA6013">
        <w:t xml:space="preserve"> distintos interrogantes que se plantean en la actualidad en relación a la responsabilidad de los motores de búsqueda y el derecho al olvido digital.</w:t>
      </w:r>
      <w:r w:rsidR="001938D0" w:rsidRPr="00BA6013">
        <w:rPr>
          <w:color w:val="FF0000"/>
        </w:rPr>
        <w:t xml:space="preserve"> </w:t>
      </w:r>
    </w:p>
    <w:p w14:paraId="6165EC5E" w14:textId="77777777" w:rsidR="001F7733" w:rsidRPr="00BA6013" w:rsidRDefault="001F7733" w:rsidP="005352BE">
      <w:pPr>
        <w:tabs>
          <w:tab w:val="left" w:pos="426"/>
        </w:tabs>
        <w:spacing w:line="360" w:lineRule="auto"/>
        <w:ind w:firstLine="567"/>
        <w:rPr>
          <w:b/>
          <w:bCs/>
        </w:rPr>
      </w:pPr>
    </w:p>
    <w:p w14:paraId="0BBB1DF4" w14:textId="53CED824" w:rsidR="00AC34EA" w:rsidRPr="00BA6013" w:rsidRDefault="001671B8" w:rsidP="001671B8">
      <w:pPr>
        <w:tabs>
          <w:tab w:val="left" w:pos="567"/>
        </w:tabs>
        <w:spacing w:line="360" w:lineRule="auto"/>
        <w:rPr>
          <w:b/>
          <w:bCs/>
        </w:rPr>
      </w:pPr>
      <w:r w:rsidRPr="00BA6013">
        <w:rPr>
          <w:b/>
          <w:bCs/>
        </w:rPr>
        <w:tab/>
        <w:t xml:space="preserve">2. </w:t>
      </w:r>
      <w:r w:rsidR="00A52DEE" w:rsidRPr="00BA6013">
        <w:rPr>
          <w:b/>
          <w:bCs/>
        </w:rPr>
        <w:t>El surgimiento de</w:t>
      </w:r>
      <w:r w:rsidR="00AC34EA" w:rsidRPr="00BA6013">
        <w:rPr>
          <w:b/>
          <w:bCs/>
        </w:rPr>
        <w:t>l derecho a la autodeterminación informativa</w:t>
      </w:r>
    </w:p>
    <w:p w14:paraId="1D5FD518" w14:textId="5EF58E4D" w:rsidR="00902605" w:rsidRPr="00BA6013" w:rsidRDefault="00AC34EA" w:rsidP="005352BE">
      <w:pPr>
        <w:tabs>
          <w:tab w:val="left" w:pos="426"/>
        </w:tabs>
        <w:spacing w:line="360" w:lineRule="auto"/>
        <w:ind w:firstLine="567"/>
        <w:jc w:val="both"/>
        <w:rPr>
          <w:rFonts w:eastAsiaTheme="minorHAnsi"/>
          <w:lang w:eastAsia="en-US"/>
        </w:rPr>
      </w:pPr>
      <w:r w:rsidRPr="00BA6013">
        <w:rPr>
          <w:rFonts w:eastAsiaTheme="minorHAnsi"/>
          <w:lang w:eastAsia="en-US"/>
        </w:rPr>
        <w:t xml:space="preserve">El término </w:t>
      </w:r>
      <w:r w:rsidR="007A73DD" w:rsidRPr="00BA6013">
        <w:t>“</w:t>
      </w:r>
      <w:r w:rsidR="007A73DD" w:rsidRPr="00BA6013">
        <w:rPr>
          <w:i/>
          <w:iCs/>
        </w:rPr>
        <w:t>autodeterminación informativ</w:t>
      </w:r>
      <w:r w:rsidR="007A73DD" w:rsidRPr="00BA6013">
        <w:t xml:space="preserve">a” </w:t>
      </w:r>
      <w:r w:rsidRPr="00BA6013">
        <w:rPr>
          <w:rFonts w:eastAsiaTheme="minorHAnsi"/>
          <w:lang w:eastAsia="en-US"/>
        </w:rPr>
        <w:t xml:space="preserve">ha sido acuñado por el Tribunal Constitucional Federal alemán </w:t>
      </w:r>
      <w:r w:rsidR="00902605" w:rsidRPr="00BA6013">
        <w:rPr>
          <w:rFonts w:eastAsiaTheme="minorHAnsi"/>
          <w:lang w:eastAsia="en-US"/>
        </w:rPr>
        <w:t xml:space="preserve">en un paradigmático precedente de 1983 en el que se reconoció </w:t>
      </w:r>
      <w:r w:rsidR="00902605" w:rsidRPr="00BA6013">
        <w:t xml:space="preserve">que el libre desarrollo de la personalidad requiere que el individuo esté protegido contra la </w:t>
      </w:r>
      <w:r w:rsidR="00EC3989" w:rsidRPr="00BA6013">
        <w:t>recopilación</w:t>
      </w:r>
      <w:r w:rsidR="00902605" w:rsidRPr="00BA6013">
        <w:t>, el almacenamiento, el uso y el intercambio ilimitados de sus datos personales</w:t>
      </w:r>
      <w:r w:rsidRPr="00BA6013">
        <w:rPr>
          <w:rStyle w:val="Refdenotaalpie"/>
        </w:rPr>
        <w:footnoteReference w:id="13"/>
      </w:r>
      <w:r w:rsidRPr="00BA6013">
        <w:rPr>
          <w:rFonts w:eastAsiaTheme="minorHAnsi"/>
          <w:lang w:eastAsia="en-US"/>
        </w:rPr>
        <w:t>.</w:t>
      </w:r>
    </w:p>
    <w:p w14:paraId="72458B3B" w14:textId="66A38F46" w:rsidR="00EC3989" w:rsidRPr="00BA6013" w:rsidRDefault="00EC3989" w:rsidP="005352BE">
      <w:pPr>
        <w:tabs>
          <w:tab w:val="left" w:pos="426"/>
        </w:tabs>
        <w:spacing w:line="360" w:lineRule="auto"/>
        <w:ind w:firstLine="567"/>
        <w:jc w:val="both"/>
      </w:pPr>
      <w:r w:rsidRPr="00BA6013">
        <w:t xml:space="preserve">Históricamente, el núcleo de protección jurídica del derecho a la intimidad se identificaba como el derecho a ser dejado </w:t>
      </w:r>
      <w:r w:rsidR="005D5E07">
        <w:t>a solas,</w:t>
      </w:r>
      <w:r w:rsidRPr="00BA6013">
        <w:t xml:space="preserve"> es decir, a no ser molestado por injerencias ajenas. En este contexto, tal como lo señalaban </w:t>
      </w:r>
      <w:r w:rsidR="00D641B4" w:rsidRPr="00BA6013">
        <w:t xml:space="preserve">Samuel </w:t>
      </w:r>
      <w:r w:rsidRPr="00BA6013">
        <w:t>Warren y Louis Brandeis</w:t>
      </w:r>
      <w:r w:rsidRPr="00BA6013">
        <w:rPr>
          <w:rStyle w:val="Refdenotaalpie"/>
        </w:rPr>
        <w:footnoteReference w:id="14"/>
      </w:r>
      <w:r w:rsidRPr="00BA6013">
        <w:t>, el derecho a la intimidad se concebía como un derecho negativo de no intervención. Sin embargo, el Tribunal alemán, de forma pionera, constató que las transformaciones sociales, políticas, económicas y tecnológicas obligaron a reinventar el concepto de privacidad y normatizar una nueva esfera de protección que se identifica</w:t>
      </w:r>
      <w:r w:rsidR="009705DE" w:rsidRPr="00BA6013">
        <w:t>ría</w:t>
      </w:r>
      <w:r w:rsidRPr="00BA6013">
        <w:t xml:space="preserve"> con el concepto de autodeterminación informativa. De esta forma, </w:t>
      </w:r>
      <w:r w:rsidR="00F16032" w:rsidRPr="00BA6013">
        <w:t>el derecho a la</w:t>
      </w:r>
      <w:r w:rsidRPr="00BA6013">
        <w:t xml:space="preserve"> intimidad adquirió contornos cada vez más relevantes, </w:t>
      </w:r>
      <w:r w:rsidR="00F16032" w:rsidRPr="00BA6013">
        <w:t xml:space="preserve">que exceden </w:t>
      </w:r>
      <w:r w:rsidRPr="00BA6013">
        <w:t>el tradicional poder de exclusión</w:t>
      </w:r>
      <w:r w:rsidR="00F16032" w:rsidRPr="00BA6013">
        <w:rPr>
          <w:vertAlign w:val="superscript"/>
        </w:rPr>
        <w:footnoteReference w:id="15"/>
      </w:r>
      <w:r w:rsidR="00F16032" w:rsidRPr="00BA6013">
        <w:t>.</w:t>
      </w:r>
    </w:p>
    <w:p w14:paraId="402DF94A" w14:textId="6B517530" w:rsidR="00DC4769" w:rsidRPr="00BA6013" w:rsidRDefault="00F757D4" w:rsidP="005352BE">
      <w:pPr>
        <w:tabs>
          <w:tab w:val="left" w:pos="426"/>
        </w:tabs>
        <w:spacing w:line="360" w:lineRule="auto"/>
        <w:ind w:firstLine="567"/>
        <w:jc w:val="both"/>
      </w:pPr>
      <w:r w:rsidRPr="00BA6013">
        <w:t>Las</w:t>
      </w:r>
      <w:r w:rsidR="00DC4769" w:rsidRPr="00BA6013">
        <w:t xml:space="preserve"> nuevas tecnologías de la información y comunicación, conocidas como NTICs, obligan a los individuos a brindar a diario </w:t>
      </w:r>
      <w:r w:rsidR="009705DE" w:rsidRPr="00BA6013">
        <w:t>una gran cantidad de</w:t>
      </w:r>
      <w:r w:rsidR="00DC4769" w:rsidRPr="00BA6013">
        <w:t xml:space="preserve"> información </w:t>
      </w:r>
      <w:r w:rsidR="009705DE" w:rsidRPr="00BA6013">
        <w:t>personal</w:t>
      </w:r>
      <w:r w:rsidR="00DC4769" w:rsidRPr="00BA6013">
        <w:t xml:space="preserve">; tal como domicilio, número de documento, profesión, datos crediticios o patrimoniales. El avance de los dispositivos móviles y la expansión digital genera que el flujo de datos </w:t>
      </w:r>
      <w:r w:rsidR="00DC4769" w:rsidRPr="00BA6013">
        <w:lastRenderedPageBreak/>
        <w:t>personales que circula en la red resulte abrumador, a punto tal que se habla hoy en día de una “</w:t>
      </w:r>
      <w:r w:rsidR="00DC4769" w:rsidRPr="00BA6013">
        <w:rPr>
          <w:i/>
          <w:iCs/>
        </w:rPr>
        <w:t>identidad digital de los individuos</w:t>
      </w:r>
      <w:r w:rsidR="00DC4769" w:rsidRPr="00BA6013">
        <w:t>”</w:t>
      </w:r>
      <w:r w:rsidR="007A73DD" w:rsidRPr="00BA6013">
        <w:rPr>
          <w:rStyle w:val="Refdenotaalpie"/>
        </w:rPr>
        <w:footnoteReference w:id="16"/>
      </w:r>
      <w:r w:rsidR="007A73DD" w:rsidRPr="00BA6013">
        <w:t>.</w:t>
      </w:r>
    </w:p>
    <w:p w14:paraId="0C68D519" w14:textId="00FD175E" w:rsidR="00524B3E" w:rsidRPr="00BA6013" w:rsidRDefault="00524B3E" w:rsidP="005352BE">
      <w:pPr>
        <w:tabs>
          <w:tab w:val="left" w:pos="426"/>
        </w:tabs>
        <w:spacing w:line="360" w:lineRule="auto"/>
        <w:ind w:firstLine="567"/>
        <w:jc w:val="both"/>
      </w:pPr>
      <w:r w:rsidRPr="00BA6013">
        <w:t>Toda esta información es susceptible de ser utilizada en forma indebida o -lo que es peor- de manera abusiva</w:t>
      </w:r>
      <w:r w:rsidRPr="00BA6013">
        <w:rPr>
          <w:rStyle w:val="Refdenotaalpie"/>
        </w:rPr>
        <w:footnoteReference w:id="17"/>
      </w:r>
      <w:r w:rsidRPr="00BA6013">
        <w:t>. A partir del escándalo conocido como “</w:t>
      </w:r>
      <w:r w:rsidRPr="00BA6013">
        <w:rPr>
          <w:i/>
          <w:iCs/>
        </w:rPr>
        <w:t>Cambridge Analytica</w:t>
      </w:r>
      <w:r w:rsidRPr="00BA6013">
        <w:t>”, y de las declaraciones de Mark Zuckerberg ante el Senado de los Estados Unidos, tomamos conciencia del valor que los datos en la red tienen, incluso la potencialidad de manipular procesos eleccionarios</w:t>
      </w:r>
      <w:r w:rsidRPr="00BA6013">
        <w:rPr>
          <w:rStyle w:val="Refdenotaalpie"/>
        </w:rPr>
        <w:footnoteReference w:id="18"/>
      </w:r>
      <w:r w:rsidRPr="00BA6013">
        <w:t xml:space="preserve">. En este contexto, la protección de datos personales, como disciplina que tutela el derecho a la autodeterminación informativa y a </w:t>
      </w:r>
      <w:r w:rsidR="00083F1A">
        <w:t>esa esfera de</w:t>
      </w:r>
      <w:r w:rsidRPr="00BA6013">
        <w:t xml:space="preserve"> intimidad, se ubica como temática prioritaria en las agendas legislativas y mantendrá vigencia mientras continúe desarrollándose este proceso global</w:t>
      </w:r>
      <w:r w:rsidRPr="00BA6013">
        <w:rPr>
          <w:rStyle w:val="Refdenotaalpie"/>
        </w:rPr>
        <w:footnoteReference w:id="19"/>
      </w:r>
      <w:r w:rsidR="00A52DEE" w:rsidRPr="00BA6013">
        <w:t>.</w:t>
      </w:r>
    </w:p>
    <w:p w14:paraId="417216FA" w14:textId="184A95C3" w:rsidR="00A52DEE" w:rsidRPr="00BA6013" w:rsidRDefault="00A52DEE" w:rsidP="005352BE">
      <w:pPr>
        <w:tabs>
          <w:tab w:val="left" w:pos="426"/>
        </w:tabs>
        <w:spacing w:line="360" w:lineRule="auto"/>
        <w:ind w:firstLine="567"/>
        <w:jc w:val="both"/>
      </w:pPr>
      <w:r w:rsidRPr="00BA6013">
        <w:t>El Derecho Internacional de los Derechos Humanos ha reconocido que la protección de datos personales constituye un derecho fundamental que debe ser eficientemente salvaguardado por los Estados. Algunos instrumentos jurídicos como el Reglamento General de Protección de Datos</w:t>
      </w:r>
      <w:r w:rsidRPr="00BA6013">
        <w:rPr>
          <w:rStyle w:val="Refdenotaalpie"/>
        </w:rPr>
        <w:footnoteReference w:id="20"/>
      </w:r>
      <w:r w:rsidRPr="00BA6013">
        <w:t xml:space="preserve"> o la Resolución de Naciones Unidas denominada “</w:t>
      </w:r>
      <w:r w:rsidRPr="00BA6013">
        <w:rPr>
          <w:i/>
          <w:iCs/>
        </w:rPr>
        <w:t>El derecho a la privacidad en la era digital</w:t>
      </w:r>
      <w:r w:rsidRPr="00BA6013">
        <w:t>”</w:t>
      </w:r>
      <w:r w:rsidRPr="00BA6013">
        <w:rPr>
          <w:rStyle w:val="Refdenotaalpie"/>
        </w:rPr>
        <w:footnoteReference w:id="21"/>
      </w:r>
      <w:r w:rsidRPr="00BA6013">
        <w:t>, destacan la importancia de amparar a las personas ante el uso abusivo de la informática</w:t>
      </w:r>
      <w:r w:rsidRPr="00BA6013">
        <w:rPr>
          <w:rStyle w:val="Refdenotaalpie"/>
        </w:rPr>
        <w:footnoteReference w:id="22"/>
      </w:r>
      <w:r w:rsidRPr="00BA6013">
        <w:t>.</w:t>
      </w:r>
    </w:p>
    <w:p w14:paraId="7DA562DD" w14:textId="77777777" w:rsidR="00AC34EA" w:rsidRPr="00BA6013" w:rsidRDefault="00AC34EA" w:rsidP="005352BE">
      <w:pPr>
        <w:tabs>
          <w:tab w:val="left" w:pos="426"/>
        </w:tabs>
        <w:spacing w:line="360" w:lineRule="auto"/>
        <w:ind w:firstLine="567"/>
        <w:rPr>
          <w:b/>
          <w:bCs/>
        </w:rPr>
      </w:pPr>
    </w:p>
    <w:p w14:paraId="7C70A2B0" w14:textId="7D674CFB" w:rsidR="000342F3" w:rsidRPr="00BA6013" w:rsidRDefault="0021128A" w:rsidP="001671B8">
      <w:pPr>
        <w:tabs>
          <w:tab w:val="left" w:pos="567"/>
        </w:tabs>
        <w:spacing w:line="360" w:lineRule="auto"/>
        <w:ind w:firstLine="709"/>
        <w:jc w:val="both"/>
        <w:rPr>
          <w:b/>
          <w:bCs/>
        </w:rPr>
      </w:pPr>
      <w:r w:rsidRPr="00BA6013">
        <w:rPr>
          <w:b/>
          <w:bCs/>
        </w:rPr>
        <w:t xml:space="preserve">3. </w:t>
      </w:r>
      <w:r w:rsidR="000342F3" w:rsidRPr="00BA6013">
        <w:rPr>
          <w:b/>
          <w:bCs/>
        </w:rPr>
        <w:t xml:space="preserve">La autodeterminación informativa </w:t>
      </w:r>
      <w:r w:rsidR="00A52DEE" w:rsidRPr="00BA6013">
        <w:rPr>
          <w:b/>
          <w:bCs/>
        </w:rPr>
        <w:t>¿</w:t>
      </w:r>
      <w:r w:rsidR="00B072C1" w:rsidRPr="00BA6013">
        <w:rPr>
          <w:b/>
          <w:bCs/>
        </w:rPr>
        <w:t xml:space="preserve">un derecho </w:t>
      </w:r>
      <w:r w:rsidR="00666F27" w:rsidRPr="00BA6013">
        <w:rPr>
          <w:b/>
          <w:bCs/>
        </w:rPr>
        <w:t>autónomo</w:t>
      </w:r>
      <w:r w:rsidR="000342F3" w:rsidRPr="00BA6013">
        <w:rPr>
          <w:b/>
          <w:bCs/>
        </w:rPr>
        <w:t xml:space="preserve"> </w:t>
      </w:r>
      <w:r w:rsidR="00B072C1" w:rsidRPr="00BA6013">
        <w:rPr>
          <w:b/>
          <w:bCs/>
        </w:rPr>
        <w:t>en el S</w:t>
      </w:r>
      <w:r w:rsidR="00666F27" w:rsidRPr="00BA6013">
        <w:rPr>
          <w:b/>
          <w:bCs/>
        </w:rPr>
        <w:t>istema Interamericano</w:t>
      </w:r>
      <w:r w:rsidR="00A52DEE" w:rsidRPr="00BA6013">
        <w:rPr>
          <w:b/>
          <w:bCs/>
        </w:rPr>
        <w:t>?</w:t>
      </w:r>
    </w:p>
    <w:p w14:paraId="4DA812FD" w14:textId="5CFD5173" w:rsidR="005352BE" w:rsidRPr="00BA6013" w:rsidRDefault="008938F5" w:rsidP="005352BE">
      <w:pPr>
        <w:tabs>
          <w:tab w:val="left" w:pos="426"/>
          <w:tab w:val="left" w:pos="709"/>
        </w:tabs>
        <w:spacing w:line="360" w:lineRule="auto"/>
        <w:ind w:firstLine="567"/>
        <w:jc w:val="both"/>
      </w:pPr>
      <w:r w:rsidRPr="00BA6013">
        <w:tab/>
      </w:r>
      <w:r w:rsidR="008D5D3E" w:rsidRPr="00BA6013">
        <w:t>E</w:t>
      </w:r>
      <w:r w:rsidR="000342F3" w:rsidRPr="00BA6013">
        <w:t>n forma reciente, la Corte Interamericana de Derechos Humanos ha delineado los contornos jurídicos de</w:t>
      </w:r>
      <w:r w:rsidR="008D5D3E" w:rsidRPr="00BA6013">
        <w:t>l derecho a la autodeterminación informática</w:t>
      </w:r>
      <w:r w:rsidR="000342F3" w:rsidRPr="00BA6013">
        <w:t xml:space="preserve"> en </w:t>
      </w:r>
      <w:r w:rsidRPr="00BA6013">
        <w:t>el</w:t>
      </w:r>
      <w:r w:rsidR="000342F3" w:rsidRPr="00BA6013">
        <w:t xml:space="preserve"> </w:t>
      </w:r>
      <w:r w:rsidR="0084654B" w:rsidRPr="00BA6013">
        <w:t>paradigmático</w:t>
      </w:r>
      <w:r w:rsidR="000342F3" w:rsidRPr="00BA6013">
        <w:t xml:space="preserve"> caso</w:t>
      </w:r>
      <w:r w:rsidRPr="00BA6013">
        <w:t xml:space="preserve"> </w:t>
      </w:r>
      <w:r w:rsidRPr="00BA6013">
        <w:lastRenderedPageBreak/>
        <w:t xml:space="preserve">miembros de la Corporación Colectivo de Abogados </w:t>
      </w:r>
      <w:r w:rsidR="00FF021C" w:rsidRPr="00BA6013">
        <w:t>“</w:t>
      </w:r>
      <w:r w:rsidRPr="00BA6013">
        <w:t>José Alvear Restrepo” (en adelante CAJAR)</w:t>
      </w:r>
      <w:r w:rsidR="008D5D3E" w:rsidRPr="00BA6013">
        <w:rPr>
          <w:rStyle w:val="Refdenotaalpie"/>
        </w:rPr>
        <w:footnoteReference w:id="23"/>
      </w:r>
      <w:r w:rsidR="000342F3" w:rsidRPr="00BA6013">
        <w:t>.</w:t>
      </w:r>
    </w:p>
    <w:p w14:paraId="01EFF4A6" w14:textId="20F672D9" w:rsidR="005352BE" w:rsidRPr="00BA6013" w:rsidRDefault="005352BE" w:rsidP="005352BE">
      <w:pPr>
        <w:tabs>
          <w:tab w:val="left" w:pos="426"/>
          <w:tab w:val="left" w:pos="567"/>
          <w:tab w:val="left" w:pos="709"/>
        </w:tabs>
        <w:spacing w:line="360" w:lineRule="auto"/>
        <w:ind w:firstLine="567"/>
        <w:jc w:val="both"/>
      </w:pPr>
      <w:r w:rsidRPr="00BA6013">
        <w:tab/>
      </w:r>
      <w:r w:rsidR="008938F5" w:rsidRPr="00BA6013">
        <w:t>En este precedente, el Tribunal</w:t>
      </w:r>
      <w:r w:rsidR="00E647D8" w:rsidRPr="00BA6013">
        <w:t xml:space="preserve"> Interamerican</w:t>
      </w:r>
      <w:r w:rsidR="008938F5" w:rsidRPr="00BA6013">
        <w:t>o</w:t>
      </w:r>
      <w:r w:rsidR="00E647D8" w:rsidRPr="00BA6013">
        <w:t xml:space="preserve"> </w:t>
      </w:r>
      <w:r w:rsidR="00E647D8" w:rsidRPr="00BA6013">
        <w:rPr>
          <w:bCs/>
        </w:rPr>
        <w:t>analizó la supuesta</w:t>
      </w:r>
      <w:r w:rsidR="00E647D8" w:rsidRPr="00BA6013">
        <w:rPr>
          <w:b/>
        </w:rPr>
        <w:t xml:space="preserve"> </w:t>
      </w:r>
      <w:r w:rsidR="00E647D8" w:rsidRPr="00BA6013">
        <w:t>responsabilidad</w:t>
      </w:r>
      <w:r w:rsidR="00E647D8" w:rsidRPr="00BA6013">
        <w:rPr>
          <w:spacing w:val="-15"/>
        </w:rPr>
        <w:t xml:space="preserve"> </w:t>
      </w:r>
      <w:r w:rsidR="00E647D8" w:rsidRPr="00BA6013">
        <w:t>internacional</w:t>
      </w:r>
      <w:r w:rsidR="00E647D8" w:rsidRPr="00BA6013">
        <w:rPr>
          <w:spacing w:val="-16"/>
        </w:rPr>
        <w:t xml:space="preserve"> </w:t>
      </w:r>
      <w:r w:rsidR="00E647D8" w:rsidRPr="00BA6013">
        <w:t>del</w:t>
      </w:r>
      <w:r w:rsidR="00E647D8" w:rsidRPr="00BA6013">
        <w:rPr>
          <w:spacing w:val="-14"/>
        </w:rPr>
        <w:t xml:space="preserve"> </w:t>
      </w:r>
      <w:r w:rsidR="00E647D8" w:rsidRPr="00BA6013">
        <w:t>Estado de Colombia</w:t>
      </w:r>
      <w:r w:rsidR="003E70B6" w:rsidRPr="00BA6013">
        <w:rPr>
          <w:spacing w:val="-15"/>
        </w:rPr>
        <w:t xml:space="preserve"> </w:t>
      </w:r>
      <w:r w:rsidR="00E647D8" w:rsidRPr="00BA6013">
        <w:t>por</w:t>
      </w:r>
      <w:r w:rsidR="003E70B6" w:rsidRPr="00BA6013">
        <w:t xml:space="preserve"> la implementación de </w:t>
      </w:r>
      <w:r w:rsidR="009705DE" w:rsidRPr="00BA6013">
        <w:t>acciones</w:t>
      </w:r>
      <w:r w:rsidR="003E70B6" w:rsidRPr="00BA6013">
        <w:t xml:space="preserve"> arbitrarias de inteligencia por parte del Departamento Administrativo de Seguridad (</w:t>
      </w:r>
      <w:r w:rsidR="009705DE" w:rsidRPr="00BA6013">
        <w:t xml:space="preserve">en adelante </w:t>
      </w:r>
      <w:r w:rsidR="003E70B6" w:rsidRPr="00BA6013">
        <w:t xml:space="preserve">DAS), </w:t>
      </w:r>
      <w:r w:rsidR="009705DE" w:rsidRPr="00BA6013">
        <w:t>como el monitoreo de</w:t>
      </w:r>
      <w:r w:rsidR="003E70B6" w:rsidRPr="00BA6013">
        <w:t xml:space="preserve"> las actividades laborales de los miembros del CAJAR</w:t>
      </w:r>
      <w:r w:rsidR="009705DE" w:rsidRPr="00BA6013">
        <w:t xml:space="preserve"> e</w:t>
      </w:r>
      <w:r w:rsidR="003E70B6" w:rsidRPr="00BA6013">
        <w:t xml:space="preserve"> intercepta</w:t>
      </w:r>
      <w:r w:rsidR="009705DE" w:rsidRPr="00BA6013">
        <w:t>ción de</w:t>
      </w:r>
      <w:r w:rsidR="003E70B6" w:rsidRPr="00BA6013">
        <w:t xml:space="preserve"> llamadas </w:t>
      </w:r>
      <w:r w:rsidR="009705DE" w:rsidRPr="00BA6013">
        <w:t>telefónicas</w:t>
      </w:r>
      <w:r w:rsidR="003E70B6" w:rsidRPr="00BA6013">
        <w:t>, y correos electrónicos</w:t>
      </w:r>
      <w:r w:rsidR="00E647D8" w:rsidRPr="00BA6013">
        <w:t>.</w:t>
      </w:r>
    </w:p>
    <w:p w14:paraId="5E75B31D" w14:textId="37F4404B" w:rsidR="005352BE" w:rsidRPr="00BA6013" w:rsidRDefault="005352BE" w:rsidP="0069050B">
      <w:pPr>
        <w:tabs>
          <w:tab w:val="left" w:pos="426"/>
          <w:tab w:val="left" w:pos="567"/>
          <w:tab w:val="left" w:pos="709"/>
        </w:tabs>
        <w:spacing w:line="360" w:lineRule="auto"/>
        <w:ind w:firstLine="567"/>
        <w:jc w:val="both"/>
      </w:pPr>
      <w:r w:rsidRPr="00BA6013">
        <w:tab/>
      </w:r>
      <w:r w:rsidR="00990014" w:rsidRPr="00BA6013">
        <w:t>Al analizar el derecho a la protección de datos personales, la Corte señaló que los Estados deben garantizar a las personas</w:t>
      </w:r>
      <w:r w:rsidR="0069050B" w:rsidRPr="00BA6013">
        <w:t xml:space="preserve"> </w:t>
      </w:r>
      <w:r w:rsidR="002E4441" w:rsidRPr="00BA6013">
        <w:t>métodos razonables, ágiles, sencillos y gratuitos para que puedan solicitar el acceso, rectificación</w:t>
      </w:r>
      <w:r w:rsidR="0069050B" w:rsidRPr="00BA6013">
        <w:t>,</w:t>
      </w:r>
      <w:r w:rsidR="002E4441" w:rsidRPr="00BA6013">
        <w:t xml:space="preserve"> eliminación </w:t>
      </w:r>
      <w:r w:rsidR="0069050B" w:rsidRPr="00BA6013">
        <w:t xml:space="preserve">y la oposición </w:t>
      </w:r>
      <w:r w:rsidR="002E4441" w:rsidRPr="00BA6013">
        <w:t>d</w:t>
      </w:r>
      <w:r w:rsidR="0069050B" w:rsidRPr="00BA6013">
        <w:t>el tratamiento de aquellos datos personales que hayan sido recopilados</w:t>
      </w:r>
      <w:r w:rsidR="002E4441" w:rsidRPr="00BA6013">
        <w:rPr>
          <w:rStyle w:val="Refdenotaalpie"/>
        </w:rPr>
        <w:footnoteReference w:id="24"/>
      </w:r>
      <w:r w:rsidR="002E4441" w:rsidRPr="00BA6013">
        <w:t>.</w:t>
      </w:r>
    </w:p>
    <w:p w14:paraId="7A87DA95" w14:textId="1AA0F5EB" w:rsidR="005352BE" w:rsidRPr="00BA6013" w:rsidRDefault="005352BE" w:rsidP="005352BE">
      <w:pPr>
        <w:tabs>
          <w:tab w:val="left" w:pos="426"/>
          <w:tab w:val="left" w:pos="567"/>
          <w:tab w:val="left" w:pos="709"/>
        </w:tabs>
        <w:spacing w:line="360" w:lineRule="auto"/>
        <w:ind w:firstLine="567"/>
        <w:jc w:val="both"/>
      </w:pPr>
      <w:r w:rsidRPr="00BA6013">
        <w:tab/>
      </w:r>
      <w:r w:rsidR="002E4441" w:rsidRPr="00BA6013">
        <w:t xml:space="preserve">La restricción a estos derechos </w:t>
      </w:r>
      <w:r w:rsidR="00EC2820" w:rsidRPr="00BA6013">
        <w:t xml:space="preserve">debe surgir de la legislación nacional y debe </w:t>
      </w:r>
      <w:r w:rsidR="00F757D4" w:rsidRPr="00BA6013">
        <w:t xml:space="preserve">satisfacer </w:t>
      </w:r>
      <w:r w:rsidR="00EC2820" w:rsidRPr="00BA6013">
        <w:t>los estándares internacionales aplicables en esta materia. Por ejemplo, en el caso de tratarse de información relacionada con la seguridad pública o seguridad nacional</w:t>
      </w:r>
      <w:r w:rsidR="00F757D4" w:rsidRPr="00BA6013">
        <w:t xml:space="preserve"> </w:t>
      </w:r>
      <w:r w:rsidR="00EC2820" w:rsidRPr="00BA6013">
        <w:t>el Estado e</w:t>
      </w:r>
      <w:r w:rsidR="00A3239E" w:rsidRPr="00BA6013">
        <w:t>st</w:t>
      </w:r>
      <w:r w:rsidR="00296102">
        <w:t>á</w:t>
      </w:r>
      <w:r w:rsidR="00A3239E" w:rsidRPr="00BA6013">
        <w:t xml:space="preserve"> </w:t>
      </w:r>
      <w:r w:rsidR="00EC2820" w:rsidRPr="00BA6013">
        <w:t xml:space="preserve">autorizado a restringir el derecho de acceso del interesado, siempre y cuando se justifique por escrito los motivos de la denegación imponiendo al responsable del tratamiento el deber de justificar por escrito los motivos de la denegación. </w:t>
      </w:r>
      <w:r w:rsidR="00F757D4" w:rsidRPr="00BA6013">
        <w:t>Estas directrices</w:t>
      </w:r>
      <w:r w:rsidR="00EC2820" w:rsidRPr="00BA6013">
        <w:t xml:space="preserve"> han sido adoptad</w:t>
      </w:r>
      <w:r w:rsidR="00F757D4" w:rsidRPr="00BA6013">
        <w:t>a</w:t>
      </w:r>
      <w:r w:rsidR="00EC2820" w:rsidRPr="00BA6013">
        <w:t xml:space="preserve">s en el ámbito europeo por el Parlamento Europeo y Consejo de la Unión </w:t>
      </w:r>
      <w:proofErr w:type="gramStart"/>
      <w:r w:rsidR="00EC2820" w:rsidRPr="00BA6013">
        <w:t>Europea</w:t>
      </w:r>
      <w:proofErr w:type="gramEnd"/>
      <w:r w:rsidR="00EC2820" w:rsidRPr="00BA6013">
        <w:t xml:space="preserve"> y también por algunos países de la región</w:t>
      </w:r>
      <w:r w:rsidR="00EC2820" w:rsidRPr="00BA6013">
        <w:rPr>
          <w:rStyle w:val="Refdenotaalpie"/>
        </w:rPr>
        <w:t xml:space="preserve"> </w:t>
      </w:r>
      <w:r w:rsidR="00EC2820" w:rsidRPr="00BA6013">
        <w:rPr>
          <w:rStyle w:val="Refdenotaalpie"/>
        </w:rPr>
        <w:footnoteReference w:id="25"/>
      </w:r>
      <w:r w:rsidR="00EC2820" w:rsidRPr="00BA6013">
        <w:t>.</w:t>
      </w:r>
    </w:p>
    <w:p w14:paraId="7F943513" w14:textId="48D98CDA" w:rsidR="00882E68" w:rsidRPr="00BA6013" w:rsidRDefault="005352BE" w:rsidP="005352BE">
      <w:pPr>
        <w:tabs>
          <w:tab w:val="left" w:pos="426"/>
          <w:tab w:val="left" w:pos="567"/>
          <w:tab w:val="left" w:pos="709"/>
        </w:tabs>
        <w:spacing w:line="360" w:lineRule="auto"/>
        <w:ind w:firstLine="567"/>
        <w:jc w:val="both"/>
      </w:pPr>
      <w:r w:rsidRPr="00BA6013">
        <w:tab/>
      </w:r>
      <w:r w:rsidR="00882E68" w:rsidRPr="00BA6013">
        <w:t xml:space="preserve">Los servicios de inteligencia deben asegurar a los ciudadanos el acceso a sus datos personales y además la rectificación cuando los mismos no sean exactos. </w:t>
      </w:r>
      <w:r w:rsidR="00B072C1" w:rsidRPr="00BA6013">
        <w:t xml:space="preserve">Cualquier excepción a esta regla, </w:t>
      </w:r>
      <w:r w:rsidR="00882E68" w:rsidRPr="00BA6013">
        <w:t xml:space="preserve">debe </w:t>
      </w:r>
      <w:r w:rsidR="00B072C1" w:rsidRPr="00BA6013">
        <w:t>estar regulada legalmente, ser proporcional y necesaria para el desempeño del mandato que rige los servicios de inteligencia</w:t>
      </w:r>
      <w:r w:rsidR="00882E68" w:rsidRPr="00BA6013">
        <w:rPr>
          <w:rStyle w:val="Refdenotaalpie"/>
        </w:rPr>
        <w:footnoteReference w:id="26"/>
      </w:r>
      <w:r w:rsidR="00B072C1" w:rsidRPr="00BA6013">
        <w:t xml:space="preserve">. </w:t>
      </w:r>
    </w:p>
    <w:p w14:paraId="0CCC52D0" w14:textId="2505024B" w:rsidR="00B072C1" w:rsidRPr="00BA6013" w:rsidRDefault="00882E68" w:rsidP="005352BE">
      <w:pPr>
        <w:tabs>
          <w:tab w:val="left" w:pos="426"/>
        </w:tabs>
        <w:spacing w:line="360" w:lineRule="auto"/>
        <w:ind w:firstLine="567"/>
        <w:jc w:val="both"/>
      </w:pPr>
      <w:r w:rsidRPr="00BA6013">
        <w:lastRenderedPageBreak/>
        <w:tab/>
        <w:t>Garantizar la autonomía y la libertad de autodeterminarse implica asegurar al titular los siguientes derechos</w:t>
      </w:r>
      <w:r w:rsidR="00296102">
        <w:t xml:space="preserve"> a</w:t>
      </w:r>
      <w:r w:rsidR="00B072C1" w:rsidRPr="00BA6013">
        <w:t xml:space="preserve">: </w:t>
      </w:r>
      <w:r w:rsidRPr="00BA6013">
        <w:t>1.</w:t>
      </w:r>
      <w:r w:rsidR="00B072C1" w:rsidRPr="00BA6013">
        <w:t xml:space="preserve"> conocer qué </w:t>
      </w:r>
      <w:r w:rsidRPr="00BA6013">
        <w:t>información</w:t>
      </w:r>
      <w:r w:rsidR="00B072C1" w:rsidRPr="00BA6013">
        <w:t xml:space="preserve"> se encuentra en los registros de los órganos públicos, en soportes físicos, magnéticos, electrónicos o informáticos, de dónde proviene, cómo fue obtenid</w:t>
      </w:r>
      <w:r w:rsidRPr="00BA6013">
        <w:t>a</w:t>
      </w:r>
      <w:r w:rsidR="00B072C1" w:rsidRPr="00BA6013">
        <w:t xml:space="preserve">, para qué </w:t>
      </w:r>
      <w:r w:rsidRPr="00BA6013">
        <w:t>es</w:t>
      </w:r>
      <w:r w:rsidR="00B072C1" w:rsidRPr="00BA6013">
        <w:t xml:space="preserve"> utilizad</w:t>
      </w:r>
      <w:r w:rsidRPr="00BA6013">
        <w:t>a</w:t>
      </w:r>
      <w:r w:rsidR="00B072C1" w:rsidRPr="00BA6013">
        <w:t>, el plazo de su conservación</w:t>
      </w:r>
      <w:r w:rsidRPr="00BA6013">
        <w:t xml:space="preserve"> </w:t>
      </w:r>
      <w:r w:rsidR="00B072C1" w:rsidRPr="00BA6013">
        <w:t xml:space="preserve">y, en general, las condiciones de su tratamiento; </w:t>
      </w:r>
      <w:r w:rsidRPr="00BA6013">
        <w:t>2.</w:t>
      </w:r>
      <w:r w:rsidR="00B072C1" w:rsidRPr="00BA6013">
        <w:t xml:space="preserve"> reclamar la rectificación, modificación o actualización de los datos, en el caso de ser inexactos, incompletos o no estar actualizados; </w:t>
      </w:r>
      <w:r w:rsidRPr="00BA6013">
        <w:t>3.</w:t>
      </w:r>
      <w:r w:rsidR="00B072C1" w:rsidRPr="00BA6013">
        <w:t xml:space="preserve"> exigir la eliminación, cancelación o supresión de los datos, </w:t>
      </w:r>
      <w:r w:rsidR="008312CC" w:rsidRPr="00BA6013">
        <w:t xml:space="preserve">cuando se constate </w:t>
      </w:r>
      <w:r w:rsidR="00B072C1" w:rsidRPr="00BA6013">
        <w:t xml:space="preserve">la ilegalidad de su recopilación o conservación, o la inexistencia de razones que justifiquen su mantenimiento en archivos o bases de datos estatales; </w:t>
      </w:r>
      <w:r w:rsidR="002F625A" w:rsidRPr="00BA6013">
        <w:t>4.</w:t>
      </w:r>
      <w:r w:rsidR="00B072C1" w:rsidRPr="00BA6013">
        <w:t xml:space="preserve"> oponerse al tratamiento de los datos, </w:t>
      </w:r>
      <w:r w:rsidR="008312CC" w:rsidRPr="00BA6013">
        <w:t>cuando</w:t>
      </w:r>
      <w:r w:rsidR="00B072C1" w:rsidRPr="00BA6013">
        <w:t xml:space="preserve">, en razón de la situación particular de la persona, se cause un daño en su perjuicio, así como en los supuestos que la normativa sobre la materia disponga, y </w:t>
      </w:r>
      <w:r w:rsidR="002F625A" w:rsidRPr="00BA6013">
        <w:t>5.</w:t>
      </w:r>
      <w:r w:rsidR="00B072C1" w:rsidRPr="00BA6013">
        <w:t xml:space="preserve"> recibir los datos en un formato estructurado, de uso común y lectura mecánica, y requerir su transmisión sin que lo impida la autoridad que los conserva</w:t>
      </w:r>
      <w:r w:rsidRPr="00BA6013">
        <w:rPr>
          <w:rStyle w:val="Refdenotaalpie"/>
        </w:rPr>
        <w:footnoteReference w:id="27"/>
      </w:r>
      <w:r w:rsidR="00B072C1" w:rsidRPr="00BA6013">
        <w:t>.</w:t>
      </w:r>
    </w:p>
    <w:p w14:paraId="0EE37335" w14:textId="1FE2E758" w:rsidR="0023154F" w:rsidRPr="00BA6013" w:rsidRDefault="008312CC" w:rsidP="005352BE">
      <w:pPr>
        <w:tabs>
          <w:tab w:val="left" w:pos="426"/>
        </w:tabs>
        <w:spacing w:line="360" w:lineRule="auto"/>
        <w:ind w:firstLine="567"/>
        <w:jc w:val="both"/>
      </w:pPr>
      <w:r w:rsidRPr="00BA6013">
        <w:tab/>
      </w:r>
      <w:r w:rsidR="000658F8" w:rsidRPr="00BA6013">
        <w:t xml:space="preserve">Estos elementos </w:t>
      </w:r>
      <w:r w:rsidR="0023154F" w:rsidRPr="00BA6013">
        <w:t>forman parte d</w:t>
      </w:r>
      <w:r w:rsidR="000658F8" w:rsidRPr="00BA6013">
        <w:t>el derecho a la autodeterminación informativa</w:t>
      </w:r>
      <w:r w:rsidR="00706D16" w:rsidRPr="00BA6013">
        <w:t xml:space="preserve"> </w:t>
      </w:r>
      <w:r w:rsidR="000658F8" w:rsidRPr="00BA6013">
        <w:t>el cual</w:t>
      </w:r>
      <w:r w:rsidR="00706D16" w:rsidRPr="00BA6013">
        <w:t xml:space="preserve">, a criterio de la Corte Interamericana, es un derecho humano </w:t>
      </w:r>
      <w:r w:rsidR="0023154F" w:rsidRPr="00BA6013">
        <w:t xml:space="preserve">que debe ser considerado </w:t>
      </w:r>
      <w:r w:rsidR="00706D16" w:rsidRPr="00BA6013">
        <w:t xml:space="preserve">autónomo. </w:t>
      </w:r>
    </w:p>
    <w:p w14:paraId="59B12F94" w14:textId="00F695F4" w:rsidR="0074272A" w:rsidRPr="00BA6013" w:rsidRDefault="0023154F" w:rsidP="005352BE">
      <w:pPr>
        <w:tabs>
          <w:tab w:val="left" w:pos="426"/>
        </w:tabs>
        <w:spacing w:line="360" w:lineRule="auto"/>
        <w:ind w:firstLine="567"/>
        <w:jc w:val="both"/>
      </w:pPr>
      <w:r w:rsidRPr="00BA6013">
        <w:t>L</w:t>
      </w:r>
      <w:r w:rsidR="00706D16" w:rsidRPr="00BA6013">
        <w:t>a prerrogativa se encuentra reconocida en la gran mayoría de los ordenamientos jurídicos de la región interamericana</w:t>
      </w:r>
      <w:r w:rsidR="0074272A" w:rsidRPr="00BA6013">
        <w:t>, con distintos niveles de protección</w:t>
      </w:r>
      <w:r w:rsidR="00706D16" w:rsidRPr="00BA6013">
        <w:rPr>
          <w:rStyle w:val="Refdenotaalpie"/>
        </w:rPr>
        <w:footnoteReference w:id="28"/>
      </w:r>
      <w:r w:rsidR="00706D16" w:rsidRPr="00BA6013">
        <w:t xml:space="preserve">. </w:t>
      </w:r>
    </w:p>
    <w:p w14:paraId="6995EEBD" w14:textId="48499712" w:rsidR="007B0B5C" w:rsidRPr="00BA6013" w:rsidRDefault="0074272A" w:rsidP="005352BE">
      <w:pPr>
        <w:tabs>
          <w:tab w:val="left" w:pos="426"/>
        </w:tabs>
        <w:spacing w:line="360" w:lineRule="auto"/>
        <w:ind w:firstLine="567"/>
        <w:jc w:val="both"/>
      </w:pPr>
      <w:r w:rsidRPr="00BA6013">
        <w:tab/>
      </w:r>
      <w:r w:rsidR="00706D16" w:rsidRPr="00BA6013">
        <w:t xml:space="preserve">En este sentido, es posible identificar algunos países que </w:t>
      </w:r>
      <w:r w:rsidR="002F625A" w:rsidRPr="00BA6013">
        <w:t>consagran</w:t>
      </w:r>
      <w:r w:rsidR="00706D16" w:rsidRPr="00BA6013">
        <w:t xml:space="preserve"> este derecho con rango constitucional como </w:t>
      </w:r>
      <w:r w:rsidRPr="00BA6013">
        <w:t xml:space="preserve">la </w:t>
      </w:r>
      <w:r w:rsidR="00706D16" w:rsidRPr="00BA6013">
        <w:t xml:space="preserve">Constitución Política de Colombia </w:t>
      </w:r>
      <w:r w:rsidRPr="00BA6013">
        <w:t>(</w:t>
      </w:r>
      <w:r w:rsidR="00706D16" w:rsidRPr="00BA6013">
        <w:t>artículo 15</w:t>
      </w:r>
      <w:r w:rsidRPr="00BA6013">
        <w:t>)</w:t>
      </w:r>
      <w:r w:rsidR="00706D16" w:rsidRPr="00BA6013">
        <w:t xml:space="preserve">; </w:t>
      </w:r>
      <w:r w:rsidRPr="00BA6013">
        <w:t>la</w:t>
      </w:r>
      <w:r w:rsidR="00706D16" w:rsidRPr="00BA6013">
        <w:t xml:space="preserve"> Constitución de la República Dominicana</w:t>
      </w:r>
      <w:r w:rsidRPr="00BA6013">
        <w:t xml:space="preserve"> (</w:t>
      </w:r>
      <w:r w:rsidR="00706D16" w:rsidRPr="00BA6013">
        <w:t>artículo 44.2</w:t>
      </w:r>
      <w:r w:rsidRPr="00BA6013">
        <w:t>)</w:t>
      </w:r>
      <w:r w:rsidR="00706D16" w:rsidRPr="00BA6013">
        <w:t>;</w:t>
      </w:r>
      <w:r w:rsidRPr="00BA6013">
        <w:t xml:space="preserve"> la</w:t>
      </w:r>
      <w:r w:rsidR="00706D16" w:rsidRPr="00BA6013">
        <w:t xml:space="preserve"> Constitución de la República del Ecuador</w:t>
      </w:r>
      <w:r w:rsidR="0023154F" w:rsidRPr="00BA6013">
        <w:t xml:space="preserve"> </w:t>
      </w:r>
      <w:r w:rsidRPr="00BA6013">
        <w:t>(</w:t>
      </w:r>
      <w:r w:rsidR="00706D16" w:rsidRPr="00BA6013">
        <w:t>artículo 66.19</w:t>
      </w:r>
      <w:r w:rsidRPr="00BA6013">
        <w:t>)</w:t>
      </w:r>
      <w:r w:rsidR="00706D16" w:rsidRPr="00BA6013">
        <w:t xml:space="preserve">; </w:t>
      </w:r>
      <w:r w:rsidRPr="00BA6013">
        <w:t xml:space="preserve">la </w:t>
      </w:r>
      <w:r w:rsidR="00706D16" w:rsidRPr="00BA6013">
        <w:t xml:space="preserve">Constitución Política de la República de Guatemala </w:t>
      </w:r>
      <w:r w:rsidRPr="00BA6013">
        <w:t>(</w:t>
      </w:r>
      <w:r w:rsidR="00706D16" w:rsidRPr="00BA6013">
        <w:t>artículo 31</w:t>
      </w:r>
      <w:r w:rsidRPr="00BA6013">
        <w:t>)</w:t>
      </w:r>
      <w:r w:rsidR="00706D16" w:rsidRPr="00BA6013">
        <w:t xml:space="preserve">; </w:t>
      </w:r>
      <w:r w:rsidRPr="00BA6013">
        <w:t>la</w:t>
      </w:r>
      <w:r w:rsidR="00706D16" w:rsidRPr="00BA6013">
        <w:t xml:space="preserve"> Constitución Política de los Estados Unidos Mexicanos</w:t>
      </w:r>
      <w:r w:rsidR="0023154F" w:rsidRPr="00BA6013">
        <w:t xml:space="preserve"> </w:t>
      </w:r>
      <w:r w:rsidRPr="00BA6013">
        <w:t>(</w:t>
      </w:r>
      <w:r w:rsidR="00706D16" w:rsidRPr="00BA6013">
        <w:t>artículo 16</w:t>
      </w:r>
      <w:r w:rsidRPr="00BA6013">
        <w:t>)</w:t>
      </w:r>
      <w:r w:rsidR="00706D16" w:rsidRPr="00BA6013">
        <w:t xml:space="preserve">; </w:t>
      </w:r>
      <w:r w:rsidRPr="00BA6013">
        <w:t xml:space="preserve">la </w:t>
      </w:r>
      <w:r w:rsidR="00706D16" w:rsidRPr="00BA6013">
        <w:t>Constitución Política de la República de Nicaragua</w:t>
      </w:r>
      <w:r w:rsidRPr="00BA6013">
        <w:t xml:space="preserve"> (</w:t>
      </w:r>
      <w:r w:rsidR="00706D16" w:rsidRPr="00BA6013">
        <w:t>artículo 26.4</w:t>
      </w:r>
      <w:r w:rsidRPr="00BA6013">
        <w:t>)</w:t>
      </w:r>
      <w:r w:rsidR="00706D16" w:rsidRPr="00BA6013">
        <w:t xml:space="preserve">, </w:t>
      </w:r>
      <w:r w:rsidRPr="00BA6013">
        <w:t xml:space="preserve">la </w:t>
      </w:r>
      <w:r w:rsidR="00706D16" w:rsidRPr="00BA6013">
        <w:t xml:space="preserve">Constitución Política de la República de Panamá </w:t>
      </w:r>
      <w:r w:rsidRPr="00BA6013">
        <w:t>(</w:t>
      </w:r>
      <w:r w:rsidR="00706D16" w:rsidRPr="00BA6013">
        <w:t>artículo 42</w:t>
      </w:r>
      <w:r w:rsidRPr="00BA6013">
        <w:t>)</w:t>
      </w:r>
      <w:r w:rsidR="00706D16" w:rsidRPr="00BA6013">
        <w:t xml:space="preserve">, y </w:t>
      </w:r>
      <w:r w:rsidRPr="00BA6013">
        <w:t xml:space="preserve">la </w:t>
      </w:r>
      <w:r w:rsidR="00706D16" w:rsidRPr="00BA6013">
        <w:t>Constitución Política del Perú</w:t>
      </w:r>
      <w:r w:rsidRPr="00BA6013">
        <w:t xml:space="preserve"> (</w:t>
      </w:r>
      <w:r w:rsidR="00706D16" w:rsidRPr="00BA6013">
        <w:t>artículo 2, numerales 5 y 6</w:t>
      </w:r>
      <w:r w:rsidRPr="00BA6013">
        <w:t>).</w:t>
      </w:r>
      <w:r w:rsidR="00706D16" w:rsidRPr="00BA6013">
        <w:t xml:space="preserve">  </w:t>
      </w:r>
    </w:p>
    <w:p w14:paraId="0DF3AB4F" w14:textId="25F318EA" w:rsidR="00FB1F85" w:rsidRPr="00BA6013" w:rsidRDefault="007B0B5C" w:rsidP="005352BE">
      <w:pPr>
        <w:tabs>
          <w:tab w:val="left" w:pos="426"/>
        </w:tabs>
        <w:spacing w:line="360" w:lineRule="auto"/>
        <w:ind w:firstLine="567"/>
        <w:jc w:val="both"/>
      </w:pPr>
      <w:r w:rsidRPr="00BA6013">
        <w:tab/>
      </w:r>
      <w:r w:rsidR="0023154F" w:rsidRPr="00BA6013">
        <w:t>Determinados</w:t>
      </w:r>
      <w:r w:rsidR="00706D16" w:rsidRPr="00BA6013">
        <w:t xml:space="preserve"> ordenamientos jurídicos han </w:t>
      </w:r>
      <w:r w:rsidR="00DB75FE" w:rsidRPr="00BA6013">
        <w:t>consagrado</w:t>
      </w:r>
      <w:r w:rsidR="00706D16" w:rsidRPr="00BA6013">
        <w:t xml:space="preserve"> </w:t>
      </w:r>
      <w:r w:rsidR="00DB75FE" w:rsidRPr="00BA6013">
        <w:t>esta prerrogativa a través del recon</w:t>
      </w:r>
      <w:r w:rsidR="0074272A" w:rsidRPr="00BA6013">
        <w:t>o</w:t>
      </w:r>
      <w:r w:rsidR="00DB75FE" w:rsidRPr="00BA6013">
        <w:t xml:space="preserve">cimiento de un mecanismo </w:t>
      </w:r>
      <w:r w:rsidR="0074272A" w:rsidRPr="00BA6013">
        <w:t xml:space="preserve">o </w:t>
      </w:r>
      <w:r w:rsidR="00296102">
        <w:t>acción</w:t>
      </w:r>
      <w:r w:rsidR="0074272A" w:rsidRPr="00BA6013">
        <w:t xml:space="preserve"> </w:t>
      </w:r>
      <w:r w:rsidR="00DB75FE" w:rsidRPr="00BA6013">
        <w:t>judicial que posibilita su exigibilidad</w:t>
      </w:r>
      <w:r w:rsidR="0074272A" w:rsidRPr="00BA6013">
        <w:t xml:space="preserve">, el cual ha adquirido </w:t>
      </w:r>
      <w:r w:rsidR="00FB1F85" w:rsidRPr="00BA6013">
        <w:t>distintas</w:t>
      </w:r>
      <w:r w:rsidR="000206E4" w:rsidRPr="00BA6013">
        <w:t xml:space="preserve"> denominaciones</w:t>
      </w:r>
      <w:r w:rsidR="006C7E6A" w:rsidRPr="00BA6013">
        <w:t xml:space="preserve">: </w:t>
      </w:r>
      <w:r w:rsidRPr="00BA6013">
        <w:t xml:space="preserve">1. </w:t>
      </w:r>
      <w:r w:rsidR="0023154F" w:rsidRPr="00BA6013">
        <w:t>E</w:t>
      </w:r>
      <w:r w:rsidR="000206E4" w:rsidRPr="00BA6013">
        <w:t>n el</w:t>
      </w:r>
      <w:r w:rsidR="00DB75FE" w:rsidRPr="00BA6013">
        <w:t xml:space="preserve"> caso de Argentina </w:t>
      </w:r>
      <w:r w:rsidR="000206E4" w:rsidRPr="00BA6013">
        <w:t>(</w:t>
      </w:r>
      <w:r w:rsidR="00DB75FE" w:rsidRPr="00BA6013">
        <w:t>artículo 43</w:t>
      </w:r>
      <w:r w:rsidR="0074272A" w:rsidRPr="00BA6013">
        <w:t xml:space="preserve"> de la </w:t>
      </w:r>
      <w:r w:rsidR="0074272A" w:rsidRPr="00BA6013">
        <w:lastRenderedPageBreak/>
        <w:t>Constitución Nacional</w:t>
      </w:r>
      <w:r w:rsidR="000206E4" w:rsidRPr="00BA6013">
        <w:t>)</w:t>
      </w:r>
      <w:r w:rsidR="006C7E6A" w:rsidRPr="00BA6013">
        <w:t xml:space="preserve"> y Nicaragua (</w:t>
      </w:r>
      <w:r w:rsidR="006C7E6A" w:rsidRPr="00BA6013">
        <w:rPr>
          <w:shd w:val="clear" w:color="auto" w:fill="FFFFFF"/>
        </w:rPr>
        <w:t>artículo 52</w:t>
      </w:r>
      <w:r w:rsidR="0074272A" w:rsidRPr="00BA6013">
        <w:rPr>
          <w:shd w:val="clear" w:color="auto" w:fill="FFFFFF"/>
        </w:rPr>
        <w:t xml:space="preserve"> de la Ley de Protección de Datos Personales Nº. 787</w:t>
      </w:r>
      <w:r w:rsidR="006C7E6A" w:rsidRPr="00BA6013">
        <w:rPr>
          <w:shd w:val="clear" w:color="auto" w:fill="FFFFFF"/>
        </w:rPr>
        <w:t>)</w:t>
      </w:r>
      <w:r w:rsidR="0023154F" w:rsidRPr="00BA6013">
        <w:t xml:space="preserve"> se identifica como “</w:t>
      </w:r>
      <w:r w:rsidR="0023154F" w:rsidRPr="00BA6013">
        <w:rPr>
          <w:i/>
          <w:iCs/>
        </w:rPr>
        <w:t>acción de amparo</w:t>
      </w:r>
      <w:r w:rsidR="0023154F" w:rsidRPr="00BA6013">
        <w:t>”</w:t>
      </w:r>
      <w:r w:rsidR="00296102">
        <w:t xml:space="preserve">, aunque sabemos que </w:t>
      </w:r>
      <w:r w:rsidR="00985CAB">
        <w:t xml:space="preserve">en nuestro país </w:t>
      </w:r>
      <w:r w:rsidR="00296102">
        <w:t xml:space="preserve">desde el caso </w:t>
      </w:r>
      <w:r w:rsidR="00296102" w:rsidRPr="00285737">
        <w:rPr>
          <w:i/>
          <w:iCs/>
        </w:rPr>
        <w:t>“Martinez</w:t>
      </w:r>
      <w:r w:rsidR="00985CAB" w:rsidRPr="00285737">
        <w:rPr>
          <w:i/>
          <w:iCs/>
        </w:rPr>
        <w:t>, Susana</w:t>
      </w:r>
      <w:r w:rsidR="00296102" w:rsidRPr="00285737">
        <w:rPr>
          <w:i/>
          <w:iCs/>
        </w:rPr>
        <w:t>”</w:t>
      </w:r>
      <w:r w:rsidR="00296102" w:rsidRPr="00285737">
        <w:rPr>
          <w:rStyle w:val="Refdenotaalpie"/>
          <w:i/>
          <w:iCs/>
        </w:rPr>
        <w:footnoteReference w:id="29"/>
      </w:r>
      <w:r w:rsidR="00296102">
        <w:t xml:space="preserve"> </w:t>
      </w:r>
      <w:r w:rsidR="00985CAB">
        <w:t>del año 2005</w:t>
      </w:r>
      <w:r w:rsidR="00296102">
        <w:t>, en adelante, es considerada una acción constitucional autónoma</w:t>
      </w:r>
      <w:r w:rsidR="00985CAB">
        <w:t xml:space="preserve"> protegida en la ley 25.326 </w:t>
      </w:r>
      <w:r w:rsidR="00296102">
        <w:t xml:space="preserve">. </w:t>
      </w:r>
      <w:r w:rsidR="0023154F" w:rsidRPr="00BA6013">
        <w:t xml:space="preserve"> </w:t>
      </w:r>
      <w:r w:rsidRPr="00BA6013">
        <w:t xml:space="preserve">2. </w:t>
      </w:r>
      <w:r w:rsidR="0023154F" w:rsidRPr="00BA6013">
        <w:t>E</w:t>
      </w:r>
      <w:r w:rsidRPr="00BA6013">
        <w:t xml:space="preserve">n </w:t>
      </w:r>
      <w:r w:rsidR="000206E4" w:rsidRPr="00BA6013">
        <w:t>Brasil (artículo 5.LXXII</w:t>
      </w:r>
      <w:r w:rsidR="0074272A" w:rsidRPr="00BA6013">
        <w:t xml:space="preserve"> de la Constitución Política</w:t>
      </w:r>
      <w:r w:rsidR="000206E4" w:rsidRPr="00BA6013">
        <w:t>)</w:t>
      </w:r>
      <w:r w:rsidR="0023154F" w:rsidRPr="00BA6013">
        <w:t>,</w:t>
      </w:r>
      <w:r w:rsidRPr="00BA6013">
        <w:t xml:space="preserve"> </w:t>
      </w:r>
      <w:r w:rsidR="000206E4" w:rsidRPr="00BA6013">
        <w:t>Honduras (artículo 182</w:t>
      </w:r>
      <w:r w:rsidR="0074272A" w:rsidRPr="00BA6013">
        <w:t xml:space="preserve"> de la Constitución Política</w:t>
      </w:r>
      <w:r w:rsidR="000206E4" w:rsidRPr="00BA6013">
        <w:t>)</w:t>
      </w:r>
      <w:r w:rsidR="006C7E6A" w:rsidRPr="00BA6013">
        <w:t xml:space="preserve">; </w:t>
      </w:r>
      <w:r w:rsidR="000206E4" w:rsidRPr="00BA6013">
        <w:t>Paraguay (artículo 135</w:t>
      </w:r>
      <w:r w:rsidR="0074272A" w:rsidRPr="00BA6013">
        <w:t xml:space="preserve"> de la Constitución de la República</w:t>
      </w:r>
      <w:r w:rsidR="000206E4" w:rsidRPr="00BA6013">
        <w:t>)</w:t>
      </w:r>
      <w:r w:rsidR="006C7E6A" w:rsidRPr="00BA6013">
        <w:t>;</w:t>
      </w:r>
      <w:r w:rsidRPr="00BA6013">
        <w:t xml:space="preserve"> Ecuador (artículo 92</w:t>
      </w:r>
      <w:r w:rsidR="0074272A" w:rsidRPr="00BA6013">
        <w:t xml:space="preserve"> de la Constitución  de la República</w:t>
      </w:r>
      <w:r w:rsidRPr="00BA6013">
        <w:t>)</w:t>
      </w:r>
      <w:r w:rsidR="006C7E6A" w:rsidRPr="00BA6013">
        <w:t>;</w:t>
      </w:r>
      <w:r w:rsidRPr="00BA6013">
        <w:t xml:space="preserve"> Panamá</w:t>
      </w:r>
      <w:r w:rsidR="006C7E6A" w:rsidRPr="00BA6013">
        <w:t xml:space="preserve"> </w:t>
      </w:r>
      <w:r w:rsidRPr="00BA6013">
        <w:t>(artículo 44</w:t>
      </w:r>
      <w:r w:rsidR="0074272A" w:rsidRPr="00BA6013">
        <w:t xml:space="preserve"> de la Constitución Política</w:t>
      </w:r>
      <w:r w:rsidRPr="00BA6013">
        <w:t>)</w:t>
      </w:r>
      <w:r w:rsidR="0023154F" w:rsidRPr="00BA6013">
        <w:t xml:space="preserve"> y </w:t>
      </w:r>
      <w:r w:rsidRPr="00BA6013">
        <w:t>Perú (artículo 200.3</w:t>
      </w:r>
      <w:r w:rsidR="0074272A" w:rsidRPr="00BA6013">
        <w:t xml:space="preserve"> de la Constitución Política</w:t>
      </w:r>
      <w:r w:rsidRPr="00BA6013">
        <w:t>)</w:t>
      </w:r>
      <w:r w:rsidR="0023154F" w:rsidRPr="00BA6013">
        <w:t xml:space="preserve"> se denomina “</w:t>
      </w:r>
      <w:r w:rsidR="0023154F" w:rsidRPr="00BA6013">
        <w:rPr>
          <w:i/>
          <w:iCs/>
        </w:rPr>
        <w:t>acción de habeas data</w:t>
      </w:r>
      <w:r w:rsidR="0023154F" w:rsidRPr="00BA6013">
        <w:t xml:space="preserve">” </w:t>
      </w:r>
      <w:r w:rsidR="006C7E6A" w:rsidRPr="00BA6013">
        <w:t xml:space="preserve"> y</w:t>
      </w:r>
      <w:r w:rsidRPr="00BA6013">
        <w:t xml:space="preserve"> 3. </w:t>
      </w:r>
      <w:r w:rsidR="0023154F" w:rsidRPr="00BA6013">
        <w:t>E</w:t>
      </w:r>
      <w:r w:rsidR="000206E4" w:rsidRPr="00BA6013">
        <w:t>n Bolivia</w:t>
      </w:r>
      <w:r w:rsidR="0023154F" w:rsidRPr="00BA6013">
        <w:t xml:space="preserve"> “</w:t>
      </w:r>
      <w:r w:rsidR="0023154F" w:rsidRPr="00BA6013">
        <w:rPr>
          <w:i/>
          <w:iCs/>
        </w:rPr>
        <w:t>acción de protección de privacidad</w:t>
      </w:r>
      <w:r w:rsidR="0023154F" w:rsidRPr="00BA6013">
        <w:t xml:space="preserve">” </w:t>
      </w:r>
      <w:r w:rsidR="000206E4" w:rsidRPr="00BA6013">
        <w:t>(artículo 130</w:t>
      </w:r>
      <w:r w:rsidR="0023154F" w:rsidRPr="00BA6013">
        <w:t xml:space="preserve"> de la Constitución Política del Estado Plurinacional de Bolivia</w:t>
      </w:r>
      <w:r w:rsidR="000206E4" w:rsidRPr="00BA6013">
        <w:t>)</w:t>
      </w:r>
      <w:r w:rsidR="0074272A" w:rsidRPr="00BA6013">
        <w:t>.</w:t>
      </w:r>
    </w:p>
    <w:p w14:paraId="3A42BCC6" w14:textId="00F6C2F1" w:rsidR="00E105D8" w:rsidRPr="00BA6013" w:rsidRDefault="00FB1F85" w:rsidP="005352BE">
      <w:pPr>
        <w:tabs>
          <w:tab w:val="left" w:pos="426"/>
        </w:tabs>
        <w:spacing w:line="360" w:lineRule="auto"/>
        <w:ind w:firstLine="567"/>
        <w:jc w:val="both"/>
      </w:pPr>
      <w:r w:rsidRPr="00BA6013">
        <w:tab/>
      </w:r>
      <w:r w:rsidR="006D1660" w:rsidRPr="00BA6013">
        <w:t xml:space="preserve">Por último, otros </w:t>
      </w:r>
      <w:r w:rsidRPr="00BA6013">
        <w:t>pa</w:t>
      </w:r>
      <w:r w:rsidR="006D1660" w:rsidRPr="00BA6013">
        <w:t>í</w:t>
      </w:r>
      <w:r w:rsidRPr="00BA6013">
        <w:t xml:space="preserve">ses de la región le otorgaron a </w:t>
      </w:r>
      <w:r w:rsidR="0023154F" w:rsidRPr="00BA6013">
        <w:t>la protección de</w:t>
      </w:r>
      <w:r w:rsidRPr="00BA6013">
        <w:t xml:space="preserve"> datos personales un</w:t>
      </w:r>
      <w:r w:rsidR="0023154F" w:rsidRPr="00BA6013">
        <w:t xml:space="preserve"> menor grado de tutela </w:t>
      </w:r>
      <w:r w:rsidRPr="00BA6013">
        <w:t>a partir de una regulación legal ordinaria como es el caso de</w:t>
      </w:r>
      <w:r w:rsidR="002F625A" w:rsidRPr="00BA6013">
        <w:t>l</w:t>
      </w:r>
      <w:r w:rsidRPr="00BA6013">
        <w:t xml:space="preserve"> </w:t>
      </w:r>
      <w:r w:rsidR="00706D16" w:rsidRPr="00BA6013">
        <w:t xml:space="preserve">Estado de Barbados </w:t>
      </w:r>
      <w:r w:rsidRPr="00BA6013">
        <w:t>(</w:t>
      </w:r>
      <w:r w:rsidR="00706D16" w:rsidRPr="00BA6013">
        <w:t>Ley de Protección de Datos de 2019, artículos 10 a 15</w:t>
      </w:r>
      <w:r w:rsidRPr="00BA6013">
        <w:t xml:space="preserve">), </w:t>
      </w:r>
      <w:r w:rsidR="00706D16" w:rsidRPr="00BA6013">
        <w:t>Costa Rica</w:t>
      </w:r>
      <w:r w:rsidRPr="00BA6013">
        <w:t xml:space="preserve"> (</w:t>
      </w:r>
      <w:r w:rsidR="00706D16" w:rsidRPr="00BA6013">
        <w:t>Ley N</w:t>
      </w:r>
      <w:r w:rsidR="006764ED" w:rsidRPr="00BA6013">
        <w:t>º</w:t>
      </w:r>
      <w:r w:rsidR="00706D16" w:rsidRPr="00BA6013">
        <w:t xml:space="preserve"> 8968 de Protección de la Persona frente al Tratamiento de sus Datos Personales, artículos 1, 4 y 7</w:t>
      </w:r>
      <w:r w:rsidRPr="00BA6013">
        <w:t xml:space="preserve">), </w:t>
      </w:r>
      <w:r w:rsidR="00706D16" w:rsidRPr="00BA6013">
        <w:t xml:space="preserve">El Salvador, </w:t>
      </w:r>
      <w:r w:rsidRPr="00BA6013">
        <w:t>(</w:t>
      </w:r>
      <w:r w:rsidR="00706D16" w:rsidRPr="00BA6013">
        <w:t>Ley de Acceso a la Información Pública, Decreto N</w:t>
      </w:r>
      <w:r w:rsidR="006764ED" w:rsidRPr="00BA6013">
        <w:t>º</w:t>
      </w:r>
      <w:r w:rsidR="00706D16" w:rsidRPr="00BA6013">
        <w:t xml:space="preserve"> 534, artículo 31</w:t>
      </w:r>
      <w:r w:rsidRPr="00BA6013">
        <w:t xml:space="preserve">) o </w:t>
      </w:r>
      <w:r w:rsidR="00706D16" w:rsidRPr="00BA6013">
        <w:t xml:space="preserve">Uruguay, </w:t>
      </w:r>
      <w:r w:rsidRPr="00BA6013">
        <w:t>(</w:t>
      </w:r>
      <w:r w:rsidR="00706D16" w:rsidRPr="00BA6013">
        <w:t xml:space="preserve">Ley de Protección de Datos Personales, Ley </w:t>
      </w:r>
      <w:r w:rsidR="002F625A" w:rsidRPr="00BA6013">
        <w:t>Nº</w:t>
      </w:r>
      <w:r w:rsidR="00706D16" w:rsidRPr="00BA6013">
        <w:t xml:space="preserve"> 18331, artículos 1, 2, 14 y 15</w:t>
      </w:r>
      <w:r w:rsidRPr="00BA6013">
        <w:t>)</w:t>
      </w:r>
      <w:r w:rsidR="0074272A" w:rsidRPr="00BA6013">
        <w:rPr>
          <w:rStyle w:val="Refdenotaalpie"/>
        </w:rPr>
        <w:t xml:space="preserve"> </w:t>
      </w:r>
      <w:r w:rsidR="0074272A" w:rsidRPr="00BA6013">
        <w:rPr>
          <w:rStyle w:val="Refdenotaalpie"/>
        </w:rPr>
        <w:footnoteReference w:id="30"/>
      </w:r>
      <w:r w:rsidR="006D1660" w:rsidRPr="00BA6013">
        <w:t>.</w:t>
      </w:r>
    </w:p>
    <w:p w14:paraId="0CE7F2B7" w14:textId="003F662E" w:rsidR="006764ED" w:rsidRPr="00BA6013" w:rsidRDefault="005762E1" w:rsidP="005762E1">
      <w:pPr>
        <w:tabs>
          <w:tab w:val="left" w:pos="426"/>
        </w:tabs>
        <w:spacing w:line="360" w:lineRule="auto"/>
        <w:ind w:firstLine="567"/>
        <w:jc w:val="both"/>
      </w:pPr>
      <w:r w:rsidRPr="00BA6013">
        <w:t xml:space="preserve">Por otro lado, </w:t>
      </w:r>
      <w:r w:rsidR="006D1660" w:rsidRPr="00BA6013">
        <w:t xml:space="preserve">la Corte Interamericana reconoció que </w:t>
      </w:r>
      <w:r w:rsidR="00E105D8" w:rsidRPr="00BA6013">
        <w:t xml:space="preserve">es posible sostener la consagración jurídica del derecho a la autodeterminación informativa </w:t>
      </w:r>
      <w:r w:rsidRPr="00BA6013">
        <w:t xml:space="preserve">en el Sistema Interamericano de Derechos Humanos, </w:t>
      </w:r>
      <w:r w:rsidR="006D1660" w:rsidRPr="00BA6013">
        <w:t>a partir de</w:t>
      </w:r>
      <w:r w:rsidR="006764ED" w:rsidRPr="00BA6013">
        <w:t xml:space="preserve"> distintos artículos de la Convención Americana. </w:t>
      </w:r>
    </w:p>
    <w:p w14:paraId="0DAF1FC6" w14:textId="4EDA2B9D" w:rsidR="00180A1B" w:rsidRPr="00BA6013" w:rsidRDefault="006764ED" w:rsidP="005352BE">
      <w:pPr>
        <w:tabs>
          <w:tab w:val="left" w:pos="426"/>
        </w:tabs>
        <w:spacing w:line="360" w:lineRule="auto"/>
        <w:ind w:firstLine="567"/>
        <w:jc w:val="both"/>
      </w:pPr>
      <w:r w:rsidRPr="00BA6013">
        <w:tab/>
        <w:t>En primer lugar, el derecho a la autodeterminación informativa se puede derivar de la protección a la vida privad</w:t>
      </w:r>
      <w:r w:rsidR="00E551E3" w:rsidRPr="00BA6013">
        <w:t xml:space="preserve">a, reconocida en el </w:t>
      </w:r>
      <w:r w:rsidRPr="00BA6013">
        <w:t xml:space="preserve">artículo 11 de la CADH, </w:t>
      </w:r>
      <w:r w:rsidR="00E551E3" w:rsidRPr="00BA6013">
        <w:t xml:space="preserve">disposición </w:t>
      </w:r>
      <w:r w:rsidRPr="00BA6013">
        <w:t xml:space="preserve">que prohíbe las injerencias arbitrarias o abusivas a la intimidad, y además, garantiza el amparo de la ley contra esas </w:t>
      </w:r>
      <w:r w:rsidR="00014A05" w:rsidRPr="00BA6013">
        <w:t>intrusiones</w:t>
      </w:r>
      <w:r w:rsidR="009F096A" w:rsidRPr="00BA6013">
        <w:t>.</w:t>
      </w:r>
    </w:p>
    <w:p w14:paraId="3171C25E" w14:textId="16A8D750" w:rsidR="00180A1B" w:rsidRPr="00BA6013" w:rsidRDefault="00180A1B" w:rsidP="005352BE">
      <w:pPr>
        <w:tabs>
          <w:tab w:val="left" w:pos="426"/>
        </w:tabs>
        <w:spacing w:line="360" w:lineRule="auto"/>
        <w:ind w:firstLine="567"/>
        <w:jc w:val="both"/>
      </w:pPr>
      <w:r w:rsidRPr="00BA6013">
        <w:tab/>
      </w:r>
      <w:r w:rsidR="009F096A" w:rsidRPr="00BA6013">
        <w:t>En segundo lugar, se susten</w:t>
      </w:r>
      <w:r w:rsidR="00061151" w:rsidRPr="00BA6013">
        <w:t>t</w:t>
      </w:r>
      <w:r w:rsidR="009F096A" w:rsidRPr="00BA6013">
        <w:t xml:space="preserve">a también en el </w:t>
      </w:r>
      <w:r w:rsidR="00065B29" w:rsidRPr="00BA6013">
        <w:t>derecho a la libertad pensamiento y expresión</w:t>
      </w:r>
      <w:r w:rsidR="00E551E3" w:rsidRPr="00BA6013">
        <w:t xml:space="preserve">. El </w:t>
      </w:r>
      <w:r w:rsidR="009F096A" w:rsidRPr="00BA6013">
        <w:t xml:space="preserve">artículo </w:t>
      </w:r>
      <w:r w:rsidR="00E105D8" w:rsidRPr="00BA6013">
        <w:t>13 de la</w:t>
      </w:r>
      <w:r w:rsidR="006D1660" w:rsidRPr="00BA6013">
        <w:t xml:space="preserve"> </w:t>
      </w:r>
      <w:r w:rsidR="009F096A" w:rsidRPr="00BA6013">
        <w:t>CADH</w:t>
      </w:r>
      <w:r w:rsidRPr="00BA6013">
        <w:t xml:space="preserve">, tal como lo ha reconocido </w:t>
      </w:r>
      <w:r w:rsidR="00061151" w:rsidRPr="00BA6013">
        <w:t>la Corte en el</w:t>
      </w:r>
      <w:r w:rsidRPr="00BA6013">
        <w:t xml:space="preserve"> caso “</w:t>
      </w:r>
      <w:r w:rsidRPr="00BA6013">
        <w:rPr>
          <w:i/>
          <w:iCs/>
        </w:rPr>
        <w:t>Claude Reyes”</w:t>
      </w:r>
      <w:r w:rsidRPr="00BA6013">
        <w:rPr>
          <w:rStyle w:val="Refdenotaalpie"/>
        </w:rPr>
        <w:footnoteReference w:id="31"/>
      </w:r>
      <w:r w:rsidRPr="00BA6013">
        <w:rPr>
          <w:i/>
          <w:iCs/>
        </w:rPr>
        <w:t xml:space="preserve"> </w:t>
      </w:r>
      <w:r w:rsidRPr="00BA6013">
        <w:t>y</w:t>
      </w:r>
      <w:r w:rsidRPr="00BA6013">
        <w:rPr>
          <w:i/>
          <w:iCs/>
        </w:rPr>
        <w:t xml:space="preserve"> “Flores Bedregal”</w:t>
      </w:r>
      <w:r w:rsidRPr="00BA6013">
        <w:rPr>
          <w:rStyle w:val="Refdenotaalpie"/>
        </w:rPr>
        <w:footnoteReference w:id="32"/>
      </w:r>
      <w:r w:rsidRPr="00BA6013">
        <w:rPr>
          <w:i/>
          <w:iCs/>
        </w:rPr>
        <w:t xml:space="preserve">, </w:t>
      </w:r>
      <w:r w:rsidR="009F096A" w:rsidRPr="00BA6013">
        <w:t>protege el derecho</w:t>
      </w:r>
      <w:r w:rsidRPr="00BA6013">
        <w:t xml:space="preserve"> </w:t>
      </w:r>
      <w:r w:rsidR="009F096A" w:rsidRPr="00BA6013">
        <w:t>a solicitar el acceso a la información bajo el control del Estado</w:t>
      </w:r>
      <w:r w:rsidRPr="00BA6013">
        <w:t xml:space="preserve"> </w:t>
      </w:r>
      <w:r w:rsidR="009F096A" w:rsidRPr="00BA6013">
        <w:t xml:space="preserve">y, consecuentemente, </w:t>
      </w:r>
      <w:r w:rsidRPr="00BA6013">
        <w:t xml:space="preserve">obliga </w:t>
      </w:r>
      <w:r w:rsidR="009F096A" w:rsidRPr="00BA6013">
        <w:t xml:space="preserve">a las autoridades </w:t>
      </w:r>
      <w:r w:rsidRPr="00BA6013">
        <w:t xml:space="preserve">a </w:t>
      </w:r>
      <w:r w:rsidR="009F096A" w:rsidRPr="00BA6013">
        <w:t xml:space="preserve">suministrarla, de </w:t>
      </w:r>
      <w:r w:rsidR="009F096A" w:rsidRPr="00BA6013">
        <w:lastRenderedPageBreak/>
        <w:t xml:space="preserve">forma tal que </w:t>
      </w:r>
      <w:r w:rsidR="0069661E" w:rsidRPr="00BA6013">
        <w:t>el titular</w:t>
      </w:r>
      <w:r w:rsidR="009F096A" w:rsidRPr="00BA6013">
        <w:t xml:space="preserve"> pueda tener acceso a conocer </w:t>
      </w:r>
      <w:r w:rsidR="0069661E" w:rsidRPr="00BA6013">
        <w:t>esos datos</w:t>
      </w:r>
      <w:r w:rsidR="009F096A" w:rsidRPr="00BA6013">
        <w:t xml:space="preserve"> o reciba una respuesta fundamentada cuando por algún motivo permitido por la Convención el Estado pueda limitar su acceso.</w:t>
      </w:r>
    </w:p>
    <w:p w14:paraId="1268B2CA" w14:textId="318A25B7" w:rsidR="00061151" w:rsidRPr="00BA6013" w:rsidRDefault="00180A1B" w:rsidP="005352BE">
      <w:pPr>
        <w:tabs>
          <w:tab w:val="left" w:pos="426"/>
        </w:tabs>
        <w:spacing w:line="360" w:lineRule="auto"/>
        <w:ind w:firstLine="567"/>
        <w:jc w:val="both"/>
      </w:pPr>
      <w:r w:rsidRPr="00BA6013">
        <w:tab/>
      </w:r>
      <w:r w:rsidR="009F096A" w:rsidRPr="00BA6013">
        <w:t xml:space="preserve">Por último, el derecho a la autodeterminación informativa también posee </w:t>
      </w:r>
      <w:r w:rsidR="00065B29" w:rsidRPr="00BA6013">
        <w:t xml:space="preserve">protección jurisdiccional </w:t>
      </w:r>
      <w:r w:rsidR="009F096A" w:rsidRPr="00BA6013">
        <w:t>la cual</w:t>
      </w:r>
      <w:r w:rsidR="00065B29" w:rsidRPr="00BA6013">
        <w:t xml:space="preserve"> se puede derivar del recurso</w:t>
      </w:r>
      <w:r w:rsidR="006764ED" w:rsidRPr="00BA6013">
        <w:t xml:space="preserve"> judicial</w:t>
      </w:r>
      <w:r w:rsidR="00065B29" w:rsidRPr="00BA6013">
        <w:t xml:space="preserve"> contenido en el artí</w:t>
      </w:r>
      <w:r w:rsidR="006764ED" w:rsidRPr="00BA6013">
        <w:t>c</w:t>
      </w:r>
      <w:r w:rsidR="00065B29" w:rsidRPr="00BA6013">
        <w:t>ulo 25 de la CADH.</w:t>
      </w:r>
      <w:r w:rsidR="008C7467" w:rsidRPr="00BA6013">
        <w:t xml:space="preserve"> Esta </w:t>
      </w:r>
      <w:r w:rsidR="0069661E" w:rsidRPr="00BA6013">
        <w:t>norma</w:t>
      </w:r>
      <w:r w:rsidR="008C7467" w:rsidRPr="00BA6013">
        <w:t xml:space="preserve"> garantiza al titular de los datos la posibilidad de interponer un recurso ante los tribunales de justicia en caso de denegación, total o parcial, en el acceso a sus datos personales</w:t>
      </w:r>
      <w:r w:rsidR="007B0B5C" w:rsidRPr="00BA6013">
        <w:t xml:space="preserve">. </w:t>
      </w:r>
      <w:r w:rsidR="00061151" w:rsidRPr="00BA6013">
        <w:t xml:space="preserve">Más allá del </w:t>
      </w:r>
      <w:r w:rsidR="00061151" w:rsidRPr="00BA6013">
        <w:rPr>
          <w:i/>
          <w:iCs/>
        </w:rPr>
        <w:t>nomen iuris</w:t>
      </w:r>
      <w:r w:rsidR="00061151" w:rsidRPr="00BA6013">
        <w:t xml:space="preserve"> que se le asigne a este recurso, los ordenamientos legales deben procurar que el mismo sea sencillo, rápido, gratuito de forma tal de coadyuvar a la tutela efectiva de este derecho</w:t>
      </w:r>
      <w:r w:rsidR="00061151" w:rsidRPr="00BA6013">
        <w:rPr>
          <w:rStyle w:val="Refdenotaalpie"/>
        </w:rPr>
        <w:footnoteReference w:id="33"/>
      </w:r>
      <w:r w:rsidR="00061151" w:rsidRPr="00BA6013">
        <w:t xml:space="preserve">. </w:t>
      </w:r>
    </w:p>
    <w:p w14:paraId="417DF3F1" w14:textId="6B284B26" w:rsidR="009F096A" w:rsidRPr="00BA6013" w:rsidRDefault="00061151" w:rsidP="005352BE">
      <w:pPr>
        <w:tabs>
          <w:tab w:val="left" w:pos="426"/>
        </w:tabs>
        <w:spacing w:line="360" w:lineRule="auto"/>
        <w:ind w:firstLine="567"/>
        <w:jc w:val="both"/>
      </w:pPr>
      <w:r w:rsidRPr="00BA6013">
        <w:tab/>
      </w:r>
      <w:r w:rsidR="00E42BC9" w:rsidRPr="00BA6013">
        <w:t xml:space="preserve">En conclusión, una interpretación </w:t>
      </w:r>
      <w:r w:rsidR="00AC34EA" w:rsidRPr="00BA6013">
        <w:t>integral, sistemática y evolutiva</w:t>
      </w:r>
      <w:r w:rsidR="00E42BC9" w:rsidRPr="00BA6013">
        <w:t xml:space="preserve"> de las directrices de la Convención Americana y de</w:t>
      </w:r>
      <w:r w:rsidR="00AC34EA" w:rsidRPr="00BA6013">
        <w:t xml:space="preserve">l recorrido </w:t>
      </w:r>
      <w:r w:rsidR="00E42BC9" w:rsidRPr="00BA6013">
        <w:t>jurisprudencial en esta materia permite</w:t>
      </w:r>
      <w:r w:rsidR="00014A05" w:rsidRPr="00BA6013">
        <w:t>n</w:t>
      </w:r>
      <w:r w:rsidR="00E42BC9" w:rsidRPr="00BA6013">
        <w:t xml:space="preserve"> concluir que el derecho a la autodeterminación informativa es un </w:t>
      </w:r>
      <w:r w:rsidRPr="00BA6013">
        <w:t>derecho autónomo</w:t>
      </w:r>
      <w:r w:rsidR="00E42BC9" w:rsidRPr="00BA6013">
        <w:t xml:space="preserve"> que sirve, a su vez, de garantía de otros derechos, como </w:t>
      </w:r>
      <w:r w:rsidR="0007475C" w:rsidRPr="00BA6013">
        <w:t>aquello</w:t>
      </w:r>
      <w:r w:rsidR="00E42BC9" w:rsidRPr="00BA6013">
        <w:t>s concernientes a la privacidad, a la protección de la honra y a la dignidad de la persona</w:t>
      </w:r>
      <w:r w:rsidR="004C4725">
        <w:t>.</w:t>
      </w:r>
      <w:r w:rsidR="00E42BC9" w:rsidRPr="00BA6013">
        <w:t xml:space="preserve"> </w:t>
      </w:r>
    </w:p>
    <w:p w14:paraId="57E68332" w14:textId="038DB4F6" w:rsidR="008C7467" w:rsidRPr="00BA6013" w:rsidRDefault="00D46576" w:rsidP="005352BE">
      <w:pPr>
        <w:tabs>
          <w:tab w:val="left" w:pos="426"/>
        </w:tabs>
        <w:spacing w:line="360" w:lineRule="auto"/>
        <w:ind w:firstLine="567"/>
        <w:jc w:val="both"/>
      </w:pPr>
      <w:r w:rsidRPr="00BA6013">
        <w:tab/>
      </w:r>
      <w:r w:rsidR="00061151" w:rsidRPr="00BA6013">
        <w:t>Los estándares jurisprudenciales</w:t>
      </w:r>
      <w:r w:rsidRPr="00BA6013">
        <w:t xml:space="preserve"> de los organismos de la región permiten definir y configurar el alcance jurídico de esta prerrogativa. Entre la jurisprudencia señalada por la Corte Interamericana encontramos el célebre caso de la CSJN “</w:t>
      </w:r>
      <w:r w:rsidRPr="00BA6013">
        <w:rPr>
          <w:i/>
          <w:iCs/>
        </w:rPr>
        <w:t>Urteaga</w:t>
      </w:r>
      <w:r w:rsidRPr="00BA6013">
        <w:t>”</w:t>
      </w:r>
      <w:r w:rsidRPr="00BA6013">
        <w:rPr>
          <w:rStyle w:val="Refdenotaalpie"/>
        </w:rPr>
        <w:footnoteReference w:id="34"/>
      </w:r>
      <w:r w:rsidR="008C7467" w:rsidRPr="00BA6013">
        <w:t xml:space="preserve"> y la doctrina </w:t>
      </w:r>
      <w:r w:rsidR="00061151" w:rsidRPr="00BA6013">
        <w:t>del Supremo</w:t>
      </w:r>
      <w:r w:rsidR="00B072C1" w:rsidRPr="00BA6013">
        <w:t xml:space="preserve"> Tribunal Federal de Brasil </w:t>
      </w:r>
      <w:r w:rsidR="008C7467" w:rsidRPr="00BA6013">
        <w:t xml:space="preserve">en la que </w:t>
      </w:r>
      <w:r w:rsidR="00B072C1" w:rsidRPr="00BA6013">
        <w:t>ha referido que “</w:t>
      </w:r>
      <w:r w:rsidR="00B072C1" w:rsidRPr="00BA6013">
        <w:rPr>
          <w:i/>
          <w:iCs/>
        </w:rPr>
        <w:t>el tratamiento y la manipulación de datos personales deben respetar los límites que garantizan la libertad individual, la intimidad y el libre desarrollo de la personalidad</w:t>
      </w:r>
      <w:r w:rsidR="008C7467" w:rsidRPr="00BA6013">
        <w:rPr>
          <w:rStyle w:val="Refdenotaalpie"/>
        </w:rPr>
        <w:t>”</w:t>
      </w:r>
      <w:r w:rsidR="008C7467" w:rsidRPr="00BA6013">
        <w:rPr>
          <w:rStyle w:val="Refdenotaalpie"/>
        </w:rPr>
        <w:footnoteReference w:id="35"/>
      </w:r>
      <w:r w:rsidR="008C7467" w:rsidRPr="00BA6013">
        <w:t xml:space="preserve">. También la opinión del </w:t>
      </w:r>
      <w:r w:rsidR="00B072C1" w:rsidRPr="00BA6013">
        <w:t>Tribunal Constitucional de Chile</w:t>
      </w:r>
      <w:r w:rsidR="008C7467" w:rsidRPr="00BA6013">
        <w:t xml:space="preserve"> que reconoce que </w:t>
      </w:r>
      <w:r w:rsidR="00B072C1" w:rsidRPr="00BA6013">
        <w:t xml:space="preserve">la protección de la </w:t>
      </w:r>
      <w:r w:rsidR="008C7467" w:rsidRPr="00BA6013">
        <w:t>intimidad</w:t>
      </w:r>
      <w:r w:rsidR="00B072C1" w:rsidRPr="00BA6013">
        <w:t xml:space="preserve"> </w:t>
      </w:r>
      <w:r w:rsidR="0007475C" w:rsidRPr="00BA6013">
        <w:t xml:space="preserve">personal </w:t>
      </w:r>
      <w:r w:rsidR="00B072C1" w:rsidRPr="00BA6013">
        <w:t>guarda un</w:t>
      </w:r>
      <w:r w:rsidR="008C7467" w:rsidRPr="00BA6013">
        <w:t xml:space="preserve"> vínculo </w:t>
      </w:r>
      <w:r w:rsidR="00B072C1" w:rsidRPr="00BA6013">
        <w:t>estrec</w:t>
      </w:r>
      <w:r w:rsidR="008C7467" w:rsidRPr="00BA6013">
        <w:t>ho</w:t>
      </w:r>
      <w:r w:rsidR="00B072C1" w:rsidRPr="00BA6013">
        <w:t xml:space="preserve"> con la protección de los datos, configurando </w:t>
      </w:r>
      <w:r w:rsidR="008C7467" w:rsidRPr="00BA6013">
        <w:t>el</w:t>
      </w:r>
      <w:r w:rsidR="00B072C1" w:rsidRPr="00BA6013">
        <w:t xml:space="preserve"> derecho a la autodeterminación informativa</w:t>
      </w:r>
      <w:r w:rsidR="008C7467" w:rsidRPr="00BA6013">
        <w:t xml:space="preserve"> que </w:t>
      </w:r>
      <w:r w:rsidR="00B072C1" w:rsidRPr="00BA6013">
        <w:t xml:space="preserve">se traduce en el control </w:t>
      </w:r>
      <w:r w:rsidR="000F1116" w:rsidRPr="00BA6013">
        <w:t>de los individuos</w:t>
      </w:r>
      <w:r w:rsidR="00B072C1" w:rsidRPr="00BA6013">
        <w:t xml:space="preserve"> sobre sus datos</w:t>
      </w:r>
      <w:r w:rsidR="00014A05" w:rsidRPr="00BA6013">
        <w:t xml:space="preserve"> personales</w:t>
      </w:r>
      <w:r w:rsidR="008C7467" w:rsidRPr="00BA6013">
        <w:rPr>
          <w:rStyle w:val="Refdenotaalpie"/>
        </w:rPr>
        <w:footnoteReference w:id="36"/>
      </w:r>
      <w:r w:rsidR="00B072C1" w:rsidRPr="00BA6013">
        <w:t xml:space="preserve"> .</w:t>
      </w:r>
    </w:p>
    <w:p w14:paraId="6B79BEA9" w14:textId="4BC5F874" w:rsidR="00B072C1" w:rsidRPr="00BA6013" w:rsidRDefault="00061151" w:rsidP="005352BE">
      <w:pPr>
        <w:tabs>
          <w:tab w:val="left" w:pos="426"/>
        </w:tabs>
        <w:spacing w:line="360" w:lineRule="auto"/>
        <w:ind w:firstLine="567"/>
        <w:jc w:val="both"/>
      </w:pPr>
      <w:r w:rsidRPr="00BA6013">
        <w:tab/>
        <w:t>A partir de los hechos denunciados por los peticionantes en el “</w:t>
      </w:r>
      <w:r w:rsidRPr="00BA6013">
        <w:rPr>
          <w:i/>
          <w:iCs/>
        </w:rPr>
        <w:t>Caso Yestrepo</w:t>
      </w:r>
      <w:r w:rsidRPr="00BA6013">
        <w:t xml:space="preserve">” se comprobó que </w:t>
      </w:r>
      <w:r w:rsidR="00014A05" w:rsidRPr="00BA6013">
        <w:t xml:space="preserve">Colombia </w:t>
      </w:r>
      <w:r w:rsidR="00FB3BB5" w:rsidRPr="00BA6013">
        <w:t xml:space="preserve">no </w:t>
      </w:r>
      <w:r w:rsidR="00014A05" w:rsidRPr="00BA6013">
        <w:t>garantizó</w:t>
      </w:r>
      <w:r w:rsidR="00FB3BB5" w:rsidRPr="00BA6013">
        <w:t xml:space="preserve"> mecanismos para levantar el carácter reservado de los </w:t>
      </w:r>
      <w:r w:rsidR="00FB3BB5" w:rsidRPr="00BA6013">
        <w:lastRenderedPageBreak/>
        <w:t>documentos solicitados por los requirentes que obraban en los archivos de inteligencia, ni tampoco se les garantiz</w:t>
      </w:r>
      <w:r w:rsidR="00014A05" w:rsidRPr="00BA6013">
        <w:t>ó</w:t>
      </w:r>
      <w:r w:rsidR="00FB3BB5" w:rsidRPr="00BA6013">
        <w:t xml:space="preserve"> la posibilidad de reclamar </w:t>
      </w:r>
      <w:r w:rsidR="00B072C1" w:rsidRPr="00BA6013">
        <w:t>la actualización, rectificación o modificación de la información o, si fuera legalmente posible, su eliminación</w:t>
      </w:r>
      <w:r w:rsidR="00FB3BB5" w:rsidRPr="00BA6013">
        <w:t>. En consecuencia, la Corte concluyó que el Estado violó el derecho a la autodeterminación informativa de las víctimas</w:t>
      </w:r>
      <w:r w:rsidR="00FB3BB5" w:rsidRPr="00BA6013">
        <w:rPr>
          <w:rStyle w:val="Refdenotaalpie"/>
        </w:rPr>
        <w:footnoteReference w:id="37"/>
      </w:r>
      <w:r w:rsidR="00B072C1" w:rsidRPr="00BA6013">
        <w:t>.</w:t>
      </w:r>
    </w:p>
    <w:p w14:paraId="2C48626D" w14:textId="0E906B01" w:rsidR="00B072C1" w:rsidRPr="00BA6013" w:rsidRDefault="00B072C1" w:rsidP="005352BE">
      <w:pPr>
        <w:tabs>
          <w:tab w:val="left" w:pos="426"/>
        </w:tabs>
        <w:ind w:firstLine="567"/>
      </w:pPr>
    </w:p>
    <w:p w14:paraId="7FE65271" w14:textId="5F1FAB35" w:rsidR="005C66A0" w:rsidRPr="00BA6013" w:rsidRDefault="0057392E" w:rsidP="005352BE">
      <w:pPr>
        <w:tabs>
          <w:tab w:val="left" w:pos="426"/>
        </w:tabs>
        <w:spacing w:line="360" w:lineRule="auto"/>
        <w:ind w:firstLine="567"/>
        <w:jc w:val="both"/>
        <w:rPr>
          <w:b/>
          <w:bCs/>
        </w:rPr>
      </w:pPr>
      <w:r w:rsidRPr="00BA6013">
        <w:rPr>
          <w:b/>
          <w:bCs/>
        </w:rPr>
        <w:t xml:space="preserve">4. </w:t>
      </w:r>
      <w:r w:rsidR="005C66A0" w:rsidRPr="00BA6013">
        <w:rPr>
          <w:b/>
          <w:bCs/>
        </w:rPr>
        <w:t>La responsabilidad de los motores de búsqueda</w:t>
      </w:r>
      <w:r w:rsidR="00387E24" w:rsidRPr="00BA6013">
        <w:rPr>
          <w:b/>
          <w:bCs/>
        </w:rPr>
        <w:t>. El fallo “</w:t>
      </w:r>
      <w:r w:rsidR="00387E24" w:rsidRPr="00BA6013">
        <w:rPr>
          <w:b/>
          <w:bCs/>
          <w:i/>
          <w:iCs/>
        </w:rPr>
        <w:t>Rodríguez</w:t>
      </w:r>
      <w:r w:rsidR="00387E24" w:rsidRPr="00BA6013">
        <w:rPr>
          <w:b/>
          <w:bCs/>
        </w:rPr>
        <w:t>”</w:t>
      </w:r>
    </w:p>
    <w:p w14:paraId="1FC15303" w14:textId="7B313B9D" w:rsidR="00A9489D" w:rsidRPr="00BA6013" w:rsidRDefault="00A9489D" w:rsidP="005352BE">
      <w:pPr>
        <w:tabs>
          <w:tab w:val="left" w:pos="426"/>
        </w:tabs>
        <w:spacing w:line="360" w:lineRule="auto"/>
        <w:ind w:firstLine="567"/>
        <w:jc w:val="both"/>
      </w:pPr>
      <w:r w:rsidRPr="00BA6013">
        <w:t>L</w:t>
      </w:r>
      <w:r w:rsidR="00387E24" w:rsidRPr="00BA6013">
        <w:t>a responsabilidad de los motores de búsqueda de Internet y la posibilidad de solicitarles la eliminación o el bloqueo de los resultados de sus búsquedas, de los datos personales considerados erróneos, obsoletos, injuriantes o violatorios del honor o la intimidad</w:t>
      </w:r>
      <w:r w:rsidRPr="00BA6013">
        <w:t xml:space="preserve"> ha motivado un arduo debate en la doctrina y jurisprudencia internacional y nacional.</w:t>
      </w:r>
    </w:p>
    <w:p w14:paraId="4E248BE2" w14:textId="0FBBD2B8" w:rsidR="007C352B" w:rsidRPr="00BA6013" w:rsidRDefault="00A9489D" w:rsidP="005352BE">
      <w:pPr>
        <w:tabs>
          <w:tab w:val="left" w:pos="426"/>
        </w:tabs>
        <w:spacing w:line="360" w:lineRule="auto"/>
        <w:ind w:firstLine="567"/>
        <w:jc w:val="both"/>
      </w:pPr>
      <w:r w:rsidRPr="00BA6013">
        <w:t xml:space="preserve">En nuestro país existen una gran cantidad de pronunciamientos judiciales sobre esta temática. </w:t>
      </w:r>
      <w:r w:rsidR="002C4019" w:rsidRPr="00BA6013">
        <w:t xml:space="preserve">En este sentido, los tribunales inferiores en el precedente </w:t>
      </w:r>
      <w:r w:rsidRPr="00BA6013">
        <w:t>“</w:t>
      </w:r>
      <w:r w:rsidR="002C4019" w:rsidRPr="00BA6013">
        <w:rPr>
          <w:i/>
          <w:iCs/>
        </w:rPr>
        <w:t>K</w:t>
      </w:r>
      <w:r w:rsidRPr="00BA6013">
        <w:t>”</w:t>
      </w:r>
      <w:r w:rsidR="002C4019" w:rsidRPr="00BA6013">
        <w:rPr>
          <w:rStyle w:val="Refdenotaalpie"/>
        </w:rPr>
        <w:footnoteReference w:id="38"/>
      </w:r>
      <w:r w:rsidR="002C4019" w:rsidRPr="00BA6013">
        <w:t xml:space="preserve"> </w:t>
      </w:r>
      <w:r w:rsidRPr="00BA6013">
        <w:t>condenaron</w:t>
      </w:r>
      <w:r w:rsidR="002C4019" w:rsidRPr="00BA6013">
        <w:t xml:space="preserve"> a Google y Yahoo a abonar una indemnización a la actora, así como a eliminar definitivamente de sus respectivas páginas la imagen o el nombre de la accionante vinculados con sitios web de contenido sexual y similares.</w:t>
      </w:r>
    </w:p>
    <w:p w14:paraId="43698EC8" w14:textId="38E7C767" w:rsidR="002C4019" w:rsidRPr="00BA6013" w:rsidRDefault="00A9489D" w:rsidP="005352BE">
      <w:pPr>
        <w:tabs>
          <w:tab w:val="left" w:pos="426"/>
        </w:tabs>
        <w:spacing w:line="360" w:lineRule="auto"/>
        <w:ind w:firstLine="567"/>
        <w:jc w:val="both"/>
      </w:pPr>
      <w:r w:rsidRPr="00BA6013">
        <w:t xml:space="preserve">El </w:t>
      </w:r>
      <w:r w:rsidRPr="00BA6013">
        <w:rPr>
          <w:i/>
          <w:iCs/>
        </w:rPr>
        <w:t>leading case</w:t>
      </w:r>
      <w:r w:rsidRPr="00BA6013">
        <w:t xml:space="preserve"> en la materia lo constituye el </w:t>
      </w:r>
      <w:r w:rsidR="002C4019" w:rsidRPr="00BA6013">
        <w:t xml:space="preserve">fallo </w:t>
      </w:r>
      <w:r w:rsidR="007C352B" w:rsidRPr="00BA6013">
        <w:t>“</w:t>
      </w:r>
      <w:r w:rsidR="002C4019" w:rsidRPr="00BA6013">
        <w:rPr>
          <w:i/>
          <w:iCs/>
        </w:rPr>
        <w:t>Rodríguez</w:t>
      </w:r>
      <w:r w:rsidR="007C352B" w:rsidRPr="00BA6013">
        <w:t>”</w:t>
      </w:r>
      <w:r w:rsidR="002C4019" w:rsidRPr="00BA6013">
        <w:rPr>
          <w:rStyle w:val="Refdenotaalpie"/>
        </w:rPr>
        <w:footnoteReference w:id="39"/>
      </w:r>
      <w:r w:rsidR="007C352B" w:rsidRPr="00BA6013">
        <w:t xml:space="preserve"> </w:t>
      </w:r>
      <w:r w:rsidRPr="00BA6013">
        <w:t xml:space="preserve">en el cual la Corte Suprema de Justicia analizó </w:t>
      </w:r>
      <w:r w:rsidR="002C4019" w:rsidRPr="00BA6013">
        <w:t xml:space="preserve">dos </w:t>
      </w:r>
      <w:r w:rsidRPr="00BA6013">
        <w:t>ejes centrales: el primero</w:t>
      </w:r>
      <w:r w:rsidR="00D97092">
        <w:t>,</w:t>
      </w:r>
      <w:r w:rsidRPr="00BA6013">
        <w:t xml:space="preserve"> </w:t>
      </w:r>
      <w:r w:rsidR="002C4019" w:rsidRPr="00BA6013">
        <w:t>de carácter</w:t>
      </w:r>
      <w:r w:rsidR="007C352B" w:rsidRPr="00BA6013">
        <w:t xml:space="preserve"> </w:t>
      </w:r>
      <w:r w:rsidR="002C4019" w:rsidRPr="00BA6013">
        <w:t xml:space="preserve">institucional, al reconocer que los buscadores merecen </w:t>
      </w:r>
      <w:r w:rsidRPr="00BA6013">
        <w:t>idéntica protección</w:t>
      </w:r>
      <w:r w:rsidR="002C4019" w:rsidRPr="00BA6013">
        <w:t xml:space="preserve"> constitucional que los medios de comunicación, en orden a la libertad de expresión. En esta línea, </w:t>
      </w:r>
      <w:r w:rsidR="00D97092">
        <w:t>destacó</w:t>
      </w:r>
      <w:r w:rsidRPr="00BA6013">
        <w:t xml:space="preserve"> </w:t>
      </w:r>
      <w:r w:rsidR="002C4019" w:rsidRPr="00BA6013">
        <w:t>el carácter transformador de Internet en tanto actúa como un medio a través del cual se incrementa la capacidad de los individuos de acceder a la información, fomentando no sólo el pluralismo informático sino su divulgació</w:t>
      </w:r>
      <w:r w:rsidR="009D2A3E" w:rsidRPr="00BA6013">
        <w:t>n.</w:t>
      </w:r>
    </w:p>
    <w:p w14:paraId="3BE9946E" w14:textId="2ED99ADA" w:rsidR="009D2A3E" w:rsidRPr="00BA6013" w:rsidRDefault="00A9489D" w:rsidP="005352BE">
      <w:pPr>
        <w:tabs>
          <w:tab w:val="left" w:pos="426"/>
        </w:tabs>
        <w:spacing w:line="360" w:lineRule="auto"/>
        <w:ind w:firstLine="567"/>
        <w:jc w:val="both"/>
      </w:pPr>
      <w:r w:rsidRPr="00BA6013">
        <w:t>El segundo aspecto analizado</w:t>
      </w:r>
      <w:r w:rsidR="00D97092">
        <w:t>,</w:t>
      </w:r>
      <w:r w:rsidRPr="00BA6013">
        <w:t xml:space="preserve"> se relaciona con el</w:t>
      </w:r>
      <w:r w:rsidR="009D2A3E" w:rsidRPr="00BA6013">
        <w:t xml:space="preserve"> derecho individual de solicitar que se eliminen los enlaces con las imágenes o textos que puedan producirle un daño, cuando los intermediarios hayan sido debidamente requeridos y hayan tomado conocimiento efectivo de la ilicitud. </w:t>
      </w:r>
    </w:p>
    <w:p w14:paraId="1946C5CB" w14:textId="2FAB9BA9" w:rsidR="009D2A3E" w:rsidRPr="00BA6013" w:rsidRDefault="009D2A3E" w:rsidP="005352BE">
      <w:pPr>
        <w:tabs>
          <w:tab w:val="left" w:pos="426"/>
        </w:tabs>
        <w:spacing w:line="360" w:lineRule="auto"/>
        <w:ind w:firstLine="567"/>
        <w:jc w:val="both"/>
      </w:pPr>
      <w:r w:rsidRPr="00BA6013">
        <w:lastRenderedPageBreak/>
        <w:t xml:space="preserve">Con excelente criterio, </w:t>
      </w:r>
      <w:r w:rsidR="00A9489D" w:rsidRPr="00BA6013">
        <w:t xml:space="preserve">el Alto Tribunal </w:t>
      </w:r>
      <w:r w:rsidRPr="00BA6013">
        <w:t xml:space="preserve">interpretó que los motores de búsqueda no tienen responsabilidad objetiva ni el deber de indemnizar, por el simple hecho de la actividad que realizan. Es importante tener en consideración el contexto fáctico en el que le tocó al Alto Tribunal expedirse, esto es, en un proceso de daños y perjuicios en el que se intentó </w:t>
      </w:r>
      <w:r w:rsidR="00A9489D" w:rsidRPr="00BA6013">
        <w:t>adjudicarles</w:t>
      </w:r>
      <w:r w:rsidRPr="00BA6013">
        <w:t xml:space="preserve"> responsabilidad objetiva a los buscadores</w:t>
      </w:r>
      <w:r w:rsidRPr="00BA6013">
        <w:rPr>
          <w:rStyle w:val="Refdenotaalpie"/>
        </w:rPr>
        <w:footnoteReference w:id="40"/>
      </w:r>
      <w:r w:rsidRPr="00BA6013">
        <w:t xml:space="preserve">. </w:t>
      </w:r>
    </w:p>
    <w:p w14:paraId="300C6CC4" w14:textId="38A01DAF" w:rsidR="009D2A3E" w:rsidRPr="00BA6013" w:rsidRDefault="009D2A3E" w:rsidP="005352BE">
      <w:pPr>
        <w:tabs>
          <w:tab w:val="left" w:pos="426"/>
        </w:tabs>
        <w:spacing w:line="360" w:lineRule="auto"/>
        <w:ind w:firstLine="567"/>
        <w:jc w:val="both"/>
      </w:pPr>
      <w:r w:rsidRPr="00BA6013">
        <w:t>En este precedente, la Corte benefici</w:t>
      </w:r>
      <w:r w:rsidR="00A9489D" w:rsidRPr="00BA6013">
        <w:t>ó</w:t>
      </w:r>
      <w:r w:rsidRPr="00BA6013">
        <w:t xml:space="preserve"> el desarrollo de los intermediarios de Internet, evitándoles la carga de hacerse responsables en forma automática por los contenidos generados por terceros. En consecuencia, </w:t>
      </w:r>
      <w:r w:rsidR="00A9489D" w:rsidRPr="00BA6013">
        <w:t>negó que tengan la</w:t>
      </w:r>
      <w:r w:rsidRPr="00BA6013">
        <w:t xml:space="preserve"> obligación de monitorear contenidos, de lo que obviamente se deriva la ausencia de responsabilidad por tal motivo. </w:t>
      </w:r>
    </w:p>
    <w:p w14:paraId="357DC503" w14:textId="0E4E791B" w:rsidR="009D2A3E" w:rsidRPr="00BA6013" w:rsidRDefault="009D2A3E" w:rsidP="005352BE">
      <w:pPr>
        <w:tabs>
          <w:tab w:val="left" w:pos="426"/>
        </w:tabs>
        <w:spacing w:line="360" w:lineRule="auto"/>
        <w:ind w:firstLine="567"/>
        <w:jc w:val="both"/>
      </w:pPr>
      <w:r w:rsidRPr="00BA6013">
        <w:t xml:space="preserve">Siguiendo esta línea argumental, </w:t>
      </w:r>
      <w:r w:rsidR="002642CD" w:rsidRPr="00BA6013">
        <w:t>aplicó</w:t>
      </w:r>
      <w:r w:rsidRPr="00BA6013">
        <w:t xml:space="preserve"> a este tipo de casos los presupuestos de la responsabilidad subjetiva, lo que </w:t>
      </w:r>
      <w:r w:rsidR="002642CD" w:rsidRPr="00BA6013">
        <w:t>se traduce en</w:t>
      </w:r>
      <w:r w:rsidRPr="00BA6013">
        <w:t xml:space="preserve"> que el buscador </w:t>
      </w:r>
      <w:r w:rsidR="002642CD" w:rsidRPr="00BA6013">
        <w:t>solo incurrirá</w:t>
      </w:r>
      <w:r w:rsidRPr="00BA6013">
        <w:t xml:space="preserve"> en falta cuando haya tenido efectivo conocimiento del contenido ilícito. De esta forma, la Corte descart</w:t>
      </w:r>
      <w:r w:rsidR="002642CD" w:rsidRPr="00BA6013">
        <w:t xml:space="preserve">ó </w:t>
      </w:r>
      <w:r w:rsidRPr="00BA6013">
        <w:t>contundentemente el régimen objetivo de responsabilidad; ello, en el entendimiento de que de emplearse este criterio cualquier intermediario de Internet sería de manera automática responsable del contenido generado por terceros, lo que llevaría a monitorearlo, incurriendo así en una especie de censura previa, rotundamente prohibida por el texto constitucional</w:t>
      </w:r>
      <w:r w:rsidR="00C527D7" w:rsidRPr="00BA6013">
        <w:rPr>
          <w:rStyle w:val="Refdenotaalpie"/>
        </w:rPr>
        <w:footnoteReference w:id="41"/>
      </w:r>
      <w:r w:rsidRPr="00BA6013">
        <w:t xml:space="preserve">. </w:t>
      </w:r>
    </w:p>
    <w:p w14:paraId="6E6D0B29" w14:textId="37899DE1" w:rsidR="009D2A3E" w:rsidRPr="00BA6013" w:rsidRDefault="009D2A3E" w:rsidP="005352BE">
      <w:pPr>
        <w:tabs>
          <w:tab w:val="left" w:pos="426"/>
        </w:tabs>
        <w:spacing w:line="360" w:lineRule="auto"/>
        <w:ind w:firstLine="567"/>
        <w:jc w:val="both"/>
      </w:pPr>
      <w:r w:rsidRPr="00BA6013">
        <w:t>Con acierto, autorizada doctrina</w:t>
      </w:r>
      <w:r w:rsidRPr="00BA6013">
        <w:rPr>
          <w:rStyle w:val="Refdenotaalpie"/>
        </w:rPr>
        <w:footnoteReference w:id="42"/>
      </w:r>
      <w:r w:rsidRPr="00BA6013">
        <w:t xml:space="preserve"> ha explicado que la teoría que establece la naturaleza subjetiva en la responsabilidad de los buscadores pone el acento en dos momentos distintos: uno </w:t>
      </w:r>
      <w:r w:rsidRPr="00BA6013">
        <w:rPr>
          <w:i/>
          <w:iCs/>
        </w:rPr>
        <w:t>ex ante</w:t>
      </w:r>
      <w:r w:rsidRPr="00BA6013">
        <w:t xml:space="preserve"> y otro </w:t>
      </w:r>
      <w:r w:rsidRPr="00BA6013">
        <w:rPr>
          <w:i/>
          <w:iCs/>
        </w:rPr>
        <w:t>ex post</w:t>
      </w:r>
      <w:r w:rsidRPr="00BA6013">
        <w:t xml:space="preserve"> de la notificación que el presunto afectado tiene que realizar para que éste proceda a bloquear los contenidos que considera dañosos. Con anterioridad a la notificación mencionada, los motores de búsqueda, </w:t>
      </w:r>
      <w:r w:rsidR="00CD5157" w:rsidRPr="00BA6013">
        <w:t>al</w:t>
      </w:r>
      <w:r w:rsidRPr="00BA6013">
        <w:t xml:space="preserve"> opera</w:t>
      </w:r>
      <w:r w:rsidR="00CD5157" w:rsidRPr="00BA6013">
        <w:t>r</w:t>
      </w:r>
      <w:r w:rsidRPr="00BA6013">
        <w:t xml:space="preserve"> de manera mecánica y automatizada, no tienen conocimiento de los datos que indexan y, por ende, no pueden ser sancionados por éstos. </w:t>
      </w:r>
    </w:p>
    <w:p w14:paraId="31FAA7EF" w14:textId="7FD2A0AB" w:rsidR="009D2A3E" w:rsidRPr="00BA6013" w:rsidRDefault="009D2A3E" w:rsidP="005352BE">
      <w:pPr>
        <w:tabs>
          <w:tab w:val="left" w:pos="426"/>
        </w:tabs>
        <w:spacing w:line="360" w:lineRule="auto"/>
        <w:ind w:firstLine="567"/>
        <w:jc w:val="both"/>
      </w:pPr>
      <w:r w:rsidRPr="00BA6013">
        <w:t xml:space="preserve">En contrario, la notificación </w:t>
      </w:r>
      <w:r w:rsidR="00CD5157" w:rsidRPr="00BA6013">
        <w:t>“</w:t>
      </w:r>
      <w:r w:rsidRPr="00BA6013">
        <w:rPr>
          <w:i/>
          <w:iCs/>
        </w:rPr>
        <w:t>rompe</w:t>
      </w:r>
      <w:r w:rsidR="00C527D7" w:rsidRPr="00BA6013">
        <w:t>”</w:t>
      </w:r>
      <w:r w:rsidRPr="00BA6013">
        <w:t xml:space="preserve"> ese estado de neutralidad en relación con los datos que indexan y, en consecuencia, al tomar conocimiento del supuesto ilícito se encuentran obligados a realizar otro tipo de conductas, cuyo incumplimiento los expone a una eventual responsabilidad por culpa. Este último es sin duda el criterio más acertado -</w:t>
      </w:r>
      <w:r w:rsidRPr="00BA6013">
        <w:lastRenderedPageBreak/>
        <w:t>tomando en cuenta que los buscadores no tienen el deber de fiscalizar contenidos, so pena de producirse una censura encubierta-.</w:t>
      </w:r>
      <w:r w:rsidR="00CD5157" w:rsidRPr="00BA6013">
        <w:t xml:space="preserve"> En otras palabras,</w:t>
      </w:r>
      <w:r w:rsidRPr="00BA6013">
        <w:t xml:space="preserve"> </w:t>
      </w:r>
      <w:r w:rsidR="00CD5157" w:rsidRPr="00BA6013">
        <w:t xml:space="preserve">son responsables después de </w:t>
      </w:r>
      <w:r w:rsidRPr="00BA6013">
        <w:t xml:space="preserve">haber sido notificados acerca de que determinados sitios de Internet infringen derechos de los demandantes, por lo que requieren su eliminación o bloqueo, pues es a partir de ese momento que puede determinarse si medió un obrar diligente o no. </w:t>
      </w:r>
    </w:p>
    <w:p w14:paraId="1645D195" w14:textId="4909E840" w:rsidR="009D2A3E" w:rsidRPr="00BA6013" w:rsidRDefault="009D2A3E" w:rsidP="005352BE">
      <w:pPr>
        <w:tabs>
          <w:tab w:val="left" w:pos="426"/>
        </w:tabs>
        <w:spacing w:line="360" w:lineRule="auto"/>
        <w:ind w:firstLine="567"/>
        <w:jc w:val="both"/>
      </w:pPr>
      <w:r w:rsidRPr="00BA6013">
        <w:t xml:space="preserve">En definitiva, la Corte recepta un sistema que parte de la doctrina ha denominado como </w:t>
      </w:r>
      <w:r w:rsidR="00CD5157" w:rsidRPr="00BA6013">
        <w:t>“</w:t>
      </w:r>
      <w:r w:rsidRPr="00BA6013">
        <w:rPr>
          <w:i/>
          <w:iCs/>
        </w:rPr>
        <w:t>notice &amp; take down</w:t>
      </w:r>
      <w:r w:rsidR="00CD5157" w:rsidRPr="00BA6013">
        <w:t>”</w:t>
      </w:r>
      <w:r w:rsidRPr="00BA6013">
        <w:rPr>
          <w:rStyle w:val="Refdenotaalpie"/>
        </w:rPr>
        <w:footnoteReference w:id="43"/>
      </w:r>
      <w:r w:rsidRPr="00BA6013">
        <w:t xml:space="preserve"> o </w:t>
      </w:r>
      <w:r w:rsidR="00CD5157" w:rsidRPr="00BA6013">
        <w:t>“</w:t>
      </w:r>
      <w:r w:rsidRPr="00BA6013">
        <w:rPr>
          <w:i/>
          <w:iCs/>
        </w:rPr>
        <w:t>noticia y baja</w:t>
      </w:r>
      <w:r w:rsidR="00CD5157" w:rsidRPr="00BA6013">
        <w:t>”</w:t>
      </w:r>
      <w:r w:rsidRPr="00BA6013">
        <w:rPr>
          <w:rStyle w:val="Refdenotaalpie"/>
        </w:rPr>
        <w:footnoteReference w:id="44"/>
      </w:r>
      <w:r w:rsidRPr="00BA6013">
        <w:t xml:space="preserve">. </w:t>
      </w:r>
    </w:p>
    <w:p w14:paraId="17B55D1E" w14:textId="65685FC0" w:rsidR="009D2A3E" w:rsidRPr="00BA6013" w:rsidRDefault="009D2A3E" w:rsidP="005352BE">
      <w:pPr>
        <w:tabs>
          <w:tab w:val="left" w:pos="426"/>
        </w:tabs>
        <w:spacing w:line="360" w:lineRule="auto"/>
        <w:ind w:firstLine="567"/>
        <w:jc w:val="both"/>
      </w:pPr>
      <w:r w:rsidRPr="00BA6013">
        <w:t xml:space="preserve">La resolución judicial que nos ocupa no entraña un viraje interpretativo en relación con </w:t>
      </w:r>
      <w:r w:rsidR="00C527D7" w:rsidRPr="00BA6013">
        <w:t>anteriores precedentes</w:t>
      </w:r>
      <w:r w:rsidRPr="00BA6013">
        <w:t xml:space="preserve"> de los tribunales inferiores. Justamente, en un caso similar, la sala I de la Cámara Civil y Comercial entendió que </w:t>
      </w:r>
      <w:r w:rsidR="00CD5157" w:rsidRPr="00BA6013">
        <w:t>“</w:t>
      </w:r>
      <w:r w:rsidRPr="00BA6013">
        <w:t xml:space="preserve">(...) </w:t>
      </w:r>
      <w:r w:rsidRPr="00BA6013">
        <w:rPr>
          <w:i/>
          <w:iCs/>
        </w:rPr>
        <w:t>no se advierte óbice para que el actor dirija su pretensión contra los responsables de esos sitios y eventualmente debata con ellos la veracidad o exactitud de las noticias que considera que lesionan su honor, cuestión que 'Google Inc.' y 'Yahoo de Argentina SRL' no están en condiciones de hacer, habida cuenta de que administran una herramienta de búsqueda de información. En efecto, lo contrario implicaría ejecutar las medidas contra quienes no son los responsables de la concreta información a la que se atribuye consecuencias lesivas para el honor del actor, es decir contra quienes no son los habilitados para contradecir respecto de la materia que se debate en autos</w:t>
      </w:r>
      <w:r w:rsidR="00CD5157" w:rsidRPr="00BA6013">
        <w:t>”</w:t>
      </w:r>
      <w:r w:rsidRPr="00BA6013">
        <w:rPr>
          <w:rStyle w:val="Refdenotaalpie"/>
        </w:rPr>
        <w:footnoteReference w:id="45"/>
      </w:r>
      <w:r w:rsidRPr="00BA6013">
        <w:t xml:space="preserve">. </w:t>
      </w:r>
    </w:p>
    <w:p w14:paraId="148CE07F" w14:textId="7F1A9D72" w:rsidR="009D2A3E" w:rsidRPr="00BA6013" w:rsidRDefault="009D2A3E" w:rsidP="005352BE">
      <w:pPr>
        <w:tabs>
          <w:tab w:val="left" w:pos="426"/>
        </w:tabs>
        <w:spacing w:line="360" w:lineRule="auto"/>
        <w:ind w:firstLine="567"/>
        <w:jc w:val="both"/>
      </w:pPr>
      <w:r w:rsidRPr="00BA6013">
        <w:t xml:space="preserve">A mayor abundamiento, especificó: </w:t>
      </w:r>
      <w:r w:rsidR="00CD5157" w:rsidRPr="00BA6013">
        <w:t>“</w:t>
      </w:r>
      <w:r w:rsidRPr="00BA6013">
        <w:rPr>
          <w:i/>
          <w:iCs/>
        </w:rPr>
        <w:t xml:space="preserve">Atendiendo al principio general de prevención del daño, es posible reconocer una acción judicial que permita solicitar la eliminación o bloqueo de enlaces a sitios web que resulten claramente lesivos de derechos personalísimos y que también posibilite requerir que, según la tecnología disponible, los 'motores de búsqueda' adopten las medidas necesarias para prevenir futuros eventos dañosos, debiendo ponderar los criterios de menor restricción posible y de medio más idóneo para asegurar la proporcionalidad y la eficacia en la obtención de la finalidad, que es prevenir la repetición de la difusión de información lesiva, ello porque la libertad de expresión que protege a </w:t>
      </w:r>
      <w:r w:rsidRPr="00BA6013">
        <w:rPr>
          <w:i/>
          <w:iCs/>
        </w:rPr>
        <w:lastRenderedPageBreak/>
        <w:t>quienes realizan esta actividad no es incompatible con la responsabilidad civil en su aspecto preventivo</w:t>
      </w:r>
      <w:r w:rsidR="00CD5157" w:rsidRPr="00BA6013">
        <w:t>”</w:t>
      </w:r>
      <w:r w:rsidRPr="00BA6013">
        <w:t xml:space="preserve">. </w:t>
      </w:r>
    </w:p>
    <w:p w14:paraId="728EBE8B" w14:textId="26B67F8A" w:rsidR="009D2A3E" w:rsidRPr="00BA6013" w:rsidRDefault="00CD5157" w:rsidP="005352BE">
      <w:pPr>
        <w:tabs>
          <w:tab w:val="left" w:pos="426"/>
        </w:tabs>
        <w:spacing w:line="360" w:lineRule="auto"/>
        <w:ind w:firstLine="567"/>
        <w:jc w:val="both"/>
      </w:pPr>
      <w:r w:rsidRPr="00BA6013">
        <w:t xml:space="preserve">Es posible afirmar que </w:t>
      </w:r>
      <w:r w:rsidR="009D2A3E" w:rsidRPr="00BA6013">
        <w:t>el panorama jurisprudencial es bastante uniforme en este punto y puede sintetizarse en los siguientes términos: no se admite la procedencia de aquellas acciones que pretenden condenas genéricas que ordenen eliminar todo vínculo sin mayores precisiones, porque ello implica atribuir a los motores de búsqueda una función de censura que no les corresponde</w:t>
      </w:r>
      <w:r w:rsidR="009D2A3E" w:rsidRPr="00BA6013">
        <w:rPr>
          <w:rStyle w:val="Refdenotaalpie"/>
        </w:rPr>
        <w:footnoteReference w:id="46"/>
      </w:r>
      <w:r w:rsidRPr="00BA6013">
        <w:t>.</w:t>
      </w:r>
    </w:p>
    <w:p w14:paraId="6AD8CC30" w14:textId="73F83EC3" w:rsidR="005C66A0" w:rsidRPr="00BA6013" w:rsidRDefault="009D2A3E" w:rsidP="005352BE">
      <w:pPr>
        <w:tabs>
          <w:tab w:val="left" w:pos="426"/>
        </w:tabs>
        <w:spacing w:line="360" w:lineRule="auto"/>
        <w:ind w:firstLine="567"/>
        <w:jc w:val="both"/>
      </w:pPr>
      <w:r w:rsidRPr="00BA6013">
        <w:t>Este tipo de razonamiento demuestra que, a criterio del Alto Tribunal, los motores de búsqueda son meros intermediarios; no obstante ello, se encarga de precisar que hay determinados supuestos en los cuales deben responder por contenidos que le son ajenos; esto se da cuando efectivamente tomaron conocimiento de su ilicitud y no actuaron con la diligencia exigida</w:t>
      </w:r>
      <w:r w:rsidRPr="00BA6013">
        <w:rPr>
          <w:rStyle w:val="Refdenotaalpie"/>
        </w:rPr>
        <w:footnoteReference w:id="47"/>
      </w:r>
      <w:r w:rsidRPr="00BA6013">
        <w:t>.</w:t>
      </w:r>
    </w:p>
    <w:p w14:paraId="32E54416" w14:textId="77777777" w:rsidR="00A52DEE" w:rsidRPr="00BA6013" w:rsidRDefault="00A52DEE" w:rsidP="005352BE">
      <w:pPr>
        <w:tabs>
          <w:tab w:val="left" w:pos="426"/>
        </w:tabs>
        <w:spacing w:line="360" w:lineRule="auto"/>
        <w:ind w:firstLine="567"/>
        <w:jc w:val="both"/>
      </w:pPr>
    </w:p>
    <w:p w14:paraId="5565CC65" w14:textId="650D8944" w:rsidR="0057392E" w:rsidRPr="00BA6013" w:rsidRDefault="00DE2F41" w:rsidP="005352BE">
      <w:pPr>
        <w:tabs>
          <w:tab w:val="left" w:pos="426"/>
        </w:tabs>
        <w:spacing w:line="360" w:lineRule="auto"/>
        <w:ind w:firstLine="567"/>
        <w:jc w:val="both"/>
        <w:rPr>
          <w:b/>
          <w:bCs/>
        </w:rPr>
      </w:pPr>
      <w:r w:rsidRPr="00BA6013">
        <w:rPr>
          <w:b/>
          <w:bCs/>
        </w:rPr>
        <w:t xml:space="preserve">  </w:t>
      </w:r>
      <w:r w:rsidR="005C66A0" w:rsidRPr="00BA6013">
        <w:rPr>
          <w:b/>
          <w:bCs/>
        </w:rPr>
        <w:t xml:space="preserve">5. </w:t>
      </w:r>
      <w:r w:rsidR="0057392E" w:rsidRPr="00BA6013">
        <w:rPr>
          <w:b/>
          <w:bCs/>
        </w:rPr>
        <w:t>El derecho al olvido</w:t>
      </w:r>
      <w:r w:rsidR="005C66A0" w:rsidRPr="00BA6013">
        <w:rPr>
          <w:b/>
          <w:bCs/>
        </w:rPr>
        <w:t xml:space="preserve">. </w:t>
      </w:r>
      <w:r w:rsidR="00A52DEE" w:rsidRPr="00BA6013">
        <w:rPr>
          <w:b/>
          <w:bCs/>
        </w:rPr>
        <w:t>La sentencia de la CSJN en e</w:t>
      </w:r>
      <w:r w:rsidR="005C66A0" w:rsidRPr="00BA6013">
        <w:rPr>
          <w:b/>
          <w:bCs/>
        </w:rPr>
        <w:t>l caso “</w:t>
      </w:r>
      <w:r w:rsidR="005C66A0" w:rsidRPr="00BA6013">
        <w:rPr>
          <w:b/>
          <w:bCs/>
          <w:i/>
          <w:iCs/>
        </w:rPr>
        <w:t>Denegri</w:t>
      </w:r>
      <w:r w:rsidR="005C66A0" w:rsidRPr="00BA6013">
        <w:rPr>
          <w:b/>
          <w:bCs/>
        </w:rPr>
        <w:t>”</w:t>
      </w:r>
    </w:p>
    <w:p w14:paraId="6CAFC783" w14:textId="72F6A71F" w:rsidR="0057392E" w:rsidRPr="00BA6013" w:rsidRDefault="0057392E" w:rsidP="005352BE">
      <w:pPr>
        <w:tabs>
          <w:tab w:val="left" w:pos="426"/>
        </w:tabs>
        <w:spacing w:line="360" w:lineRule="auto"/>
        <w:ind w:firstLine="567"/>
        <w:jc w:val="both"/>
      </w:pPr>
      <w:r w:rsidRPr="00BA6013">
        <w:tab/>
        <w:t xml:space="preserve">Desde hace algunos años, se está dando un arduo debate, tanto a nivel nacional como internacional, sobre el derecho al olvido. Se trata de un tema que en nuestro país no tiene regulación normativa específica, por lo que su alcance y contenido está en proceso de consolidación a través de la vía jurisprudencial. Esta temática comenzó a analizarse a partir del fallo </w:t>
      </w:r>
      <w:r w:rsidR="00291D3D" w:rsidRPr="00BA6013">
        <w:t>“</w:t>
      </w:r>
      <w:r w:rsidRPr="00BA6013">
        <w:rPr>
          <w:i/>
          <w:iCs/>
        </w:rPr>
        <w:t>Costeja González</w:t>
      </w:r>
      <w:r w:rsidR="00291D3D" w:rsidRPr="00BA6013">
        <w:t>”</w:t>
      </w:r>
      <w:r w:rsidRPr="00BA6013">
        <w:rPr>
          <w:rStyle w:val="Refdenotaalpie"/>
        </w:rPr>
        <w:footnoteReference w:id="48"/>
      </w:r>
      <w:r w:rsidRPr="00BA6013">
        <w:t xml:space="preserve"> , en el que el Tribunal de Justicia de la Unión Europea discutió sobre la legitimidad de las medidas de remoción y desindexación de contenidos en línea. </w:t>
      </w:r>
    </w:p>
    <w:p w14:paraId="606D156D" w14:textId="698D9A2A" w:rsidR="0057392E" w:rsidRPr="00BA6013" w:rsidRDefault="0057392E" w:rsidP="005352BE">
      <w:pPr>
        <w:tabs>
          <w:tab w:val="left" w:pos="426"/>
        </w:tabs>
        <w:spacing w:line="360" w:lineRule="auto"/>
        <w:ind w:firstLine="567"/>
        <w:jc w:val="both"/>
      </w:pPr>
      <w:r w:rsidRPr="00BA6013">
        <w:t>El origen de</w:t>
      </w:r>
      <w:r w:rsidR="00291D3D" w:rsidRPr="00BA6013">
        <w:t xml:space="preserve"> este instituto </w:t>
      </w:r>
      <w:r w:rsidRPr="00BA6013">
        <w:t>se ubica en el concepto legal francés del “</w:t>
      </w:r>
      <w:r w:rsidRPr="00BA6013">
        <w:rPr>
          <w:i/>
          <w:iCs/>
        </w:rPr>
        <w:t>droit à l’oubli</w:t>
      </w:r>
      <w:r w:rsidRPr="00BA6013">
        <w:t>” y el italiano “</w:t>
      </w:r>
      <w:r w:rsidRPr="00BA6013">
        <w:rPr>
          <w:i/>
          <w:iCs/>
        </w:rPr>
        <w:t>diritto all’oblio</w:t>
      </w:r>
      <w:r w:rsidRPr="00BA6013">
        <w:t>”, que en términos generales se entienden como “</w:t>
      </w:r>
      <w:r w:rsidRPr="00BA6013">
        <w:rPr>
          <w:i/>
          <w:iCs/>
        </w:rPr>
        <w:t>el derecho a silenciar eventos pasados de la vida que ya no están sucediendo</w:t>
      </w:r>
      <w:r w:rsidRPr="00BA6013">
        <w:t>”</w:t>
      </w:r>
      <w:r w:rsidRPr="00BA6013">
        <w:rPr>
          <w:rStyle w:val="Refdenotaalpie"/>
        </w:rPr>
        <w:footnoteReference w:id="49"/>
      </w:r>
      <w:r w:rsidRPr="00BA6013">
        <w:t xml:space="preserve">. </w:t>
      </w:r>
    </w:p>
    <w:p w14:paraId="08A3769C" w14:textId="2B010B9D" w:rsidR="005C66A0" w:rsidRPr="00BA6013" w:rsidRDefault="0057392E" w:rsidP="005352BE">
      <w:pPr>
        <w:tabs>
          <w:tab w:val="left" w:pos="426"/>
        </w:tabs>
        <w:spacing w:line="360" w:lineRule="auto"/>
        <w:ind w:firstLine="567"/>
        <w:jc w:val="both"/>
      </w:pPr>
      <w:r w:rsidRPr="00BA6013">
        <w:t>En los últimos tiempos adquirió un mayor peso porque empezó a ser considerado como una expresión particular del derecho a la intimidad</w:t>
      </w:r>
      <w:r w:rsidRPr="00BA6013">
        <w:rPr>
          <w:rStyle w:val="Refdenotaalpie"/>
        </w:rPr>
        <w:footnoteReference w:id="50"/>
      </w:r>
      <w:r w:rsidRPr="00BA6013">
        <w:t xml:space="preserve">. La figura, también conocida en inglés </w:t>
      </w:r>
      <w:r w:rsidRPr="00BA6013">
        <w:lastRenderedPageBreak/>
        <w:t>como “</w:t>
      </w:r>
      <w:r w:rsidRPr="00BA6013">
        <w:rPr>
          <w:i/>
          <w:iCs/>
        </w:rPr>
        <w:t>right to oblivion</w:t>
      </w:r>
      <w:r w:rsidRPr="00BA6013">
        <w:t xml:space="preserve">”, es definida como el principio a tenor del cual cierta información debe ser eliminada de los archivos una vez trascurrido determinado lapso de tiempo, para evitar que el individuo quede </w:t>
      </w:r>
      <w:r w:rsidR="00E81DAB" w:rsidRPr="00BA6013">
        <w:t>“</w:t>
      </w:r>
      <w:r w:rsidRPr="00BA6013">
        <w:rPr>
          <w:i/>
          <w:iCs/>
        </w:rPr>
        <w:t>prisionero de su pasado</w:t>
      </w:r>
      <w:r w:rsidR="00E81DAB" w:rsidRPr="00BA6013">
        <w:t>”</w:t>
      </w:r>
      <w:r w:rsidRPr="00BA6013">
        <w:rPr>
          <w:rStyle w:val="Refdenotaalpie"/>
        </w:rPr>
        <w:footnoteReference w:id="51"/>
      </w:r>
      <w:r w:rsidRPr="00BA6013">
        <w:t>.</w:t>
      </w:r>
    </w:p>
    <w:p w14:paraId="5527F01E" w14:textId="5C39023C" w:rsidR="005C66A0" w:rsidRPr="00BA6013" w:rsidRDefault="005C66A0" w:rsidP="005352BE">
      <w:pPr>
        <w:tabs>
          <w:tab w:val="left" w:pos="426"/>
        </w:tabs>
        <w:spacing w:line="360" w:lineRule="auto"/>
        <w:ind w:firstLine="567"/>
        <w:jc w:val="both"/>
      </w:pPr>
      <w:r w:rsidRPr="00BA6013">
        <w:t xml:space="preserve">Legislaciones como el Reglamento de la Unión Europea han regulado los supuestos en los cuales se habilitaría la remoción de contenidos en línea. Asimismo, diversas sentencias internacionales, siguiendo los estándares del Tribunal Europeo, </w:t>
      </w:r>
      <w:r w:rsidR="00E81DAB" w:rsidRPr="00BA6013">
        <w:t>autorizaron</w:t>
      </w:r>
      <w:r w:rsidRPr="00BA6013">
        <w:t xml:space="preserve"> la supresión de contenidos digitales.</w:t>
      </w:r>
    </w:p>
    <w:p w14:paraId="4EC07671" w14:textId="41D6DE74" w:rsidR="005C66A0" w:rsidRPr="00BA6013" w:rsidRDefault="005C66A0" w:rsidP="005352BE">
      <w:pPr>
        <w:tabs>
          <w:tab w:val="left" w:pos="426"/>
        </w:tabs>
        <w:spacing w:line="360" w:lineRule="auto"/>
        <w:ind w:firstLine="567"/>
        <w:jc w:val="both"/>
      </w:pPr>
      <w:r w:rsidRPr="00BA6013">
        <w:t>En Argentina, la Ley de Protección de Datos Personales no prevé la posibilidad de ejercer el derecho al olvido.</w:t>
      </w:r>
      <w:r w:rsidR="001647F8" w:rsidRPr="00BA6013">
        <w:t xml:space="preserve"> No obstante, en forma pretoriana</w:t>
      </w:r>
      <w:r w:rsidR="00157897" w:rsidRPr="00BA6013">
        <w:t>,</w:t>
      </w:r>
      <w:r w:rsidRPr="00BA6013">
        <w:t xml:space="preserve"> la Cámara Nacional de Apelaciones en lo Civil de la Capital Federal en el caso “</w:t>
      </w:r>
      <w:r w:rsidRPr="00BA6013">
        <w:rPr>
          <w:i/>
          <w:iCs/>
        </w:rPr>
        <w:t>Denegri</w:t>
      </w:r>
      <w:r w:rsidRPr="00BA6013">
        <w:t xml:space="preserve">” hizo lugar a la demanda interpuesta y, en consecuencia, ordenó al motor de búsqueda Google </w:t>
      </w:r>
      <w:r w:rsidR="009B51F0" w:rsidRPr="00BA6013">
        <w:t>la eliminación de</w:t>
      </w:r>
      <w:r w:rsidRPr="00BA6013">
        <w:t xml:space="preserve"> ciertos videos, noticias y fotos que afectaban el derecho al honor e intimidad de la actora, al vincularla a la causa “</w:t>
      </w:r>
      <w:r w:rsidRPr="00BA6013">
        <w:rPr>
          <w:i/>
          <w:iCs/>
        </w:rPr>
        <w:t>C</w:t>
      </w:r>
      <w:r w:rsidR="00320E38" w:rsidRPr="00BA6013">
        <w:rPr>
          <w:i/>
          <w:iCs/>
        </w:rPr>
        <w:t>o</w:t>
      </w:r>
      <w:r w:rsidRPr="00BA6013">
        <w:rPr>
          <w:i/>
          <w:iCs/>
        </w:rPr>
        <w:t>ppola</w:t>
      </w:r>
      <w:r w:rsidRPr="00BA6013">
        <w:t>”</w:t>
      </w:r>
      <w:r w:rsidRPr="00BA6013">
        <w:rPr>
          <w:rStyle w:val="Refdenotaalpie"/>
        </w:rPr>
        <w:footnoteReference w:id="52"/>
      </w:r>
      <w:r w:rsidRPr="00BA6013">
        <w:t>.</w:t>
      </w:r>
    </w:p>
    <w:p w14:paraId="76061A84" w14:textId="6D68A8B2" w:rsidR="005C66A0" w:rsidRPr="00BA6013" w:rsidRDefault="005C66A0" w:rsidP="005352BE">
      <w:pPr>
        <w:tabs>
          <w:tab w:val="left" w:pos="426"/>
        </w:tabs>
        <w:spacing w:line="360" w:lineRule="auto"/>
        <w:ind w:firstLine="567"/>
        <w:jc w:val="both"/>
      </w:pPr>
      <w:r w:rsidRPr="00BA6013">
        <w:t xml:space="preserve">Ante la apelación de la demandada, la Corte Suprema de Justicia </w:t>
      </w:r>
      <w:r w:rsidR="00C66507" w:rsidRPr="00BA6013">
        <w:t>revocó la sentencia cuestionada</w:t>
      </w:r>
      <w:r w:rsidR="0065392B" w:rsidRPr="00BA6013">
        <w:t xml:space="preserve">, y determinó que no correspondía desindexar el contenido </w:t>
      </w:r>
      <w:r w:rsidR="009B51F0" w:rsidRPr="00BA6013">
        <w:t>solicitado</w:t>
      </w:r>
      <w:r w:rsidR="0065392B" w:rsidRPr="00BA6013">
        <w:t xml:space="preserve"> ya que la medida </w:t>
      </w:r>
      <w:r w:rsidR="00E95247" w:rsidRPr="00BA6013">
        <w:t xml:space="preserve">interrumpe el proceso comunicacional y en consecuencia, </w:t>
      </w:r>
      <w:r w:rsidR="0065392B" w:rsidRPr="00BA6013">
        <w:t>afectaría una de las libertades más priorizadas en nuestro ordenamiento constitucional que es la libertad de expresión.</w:t>
      </w:r>
    </w:p>
    <w:p w14:paraId="1C638216" w14:textId="5036EBD9" w:rsidR="00086D7E" w:rsidRPr="00BA6013" w:rsidRDefault="00617C48" w:rsidP="005352BE">
      <w:pPr>
        <w:tabs>
          <w:tab w:val="left" w:pos="426"/>
        </w:tabs>
        <w:spacing w:line="360" w:lineRule="auto"/>
        <w:ind w:firstLine="567"/>
        <w:jc w:val="both"/>
      </w:pPr>
      <w:r w:rsidRPr="00BA6013">
        <w:t>Tal como se desprende de la doctrina de los fallos “</w:t>
      </w:r>
      <w:r w:rsidRPr="00BA6013">
        <w:rPr>
          <w:i/>
          <w:iCs/>
        </w:rPr>
        <w:t>Rodríguez</w:t>
      </w:r>
      <w:r w:rsidRPr="00BA6013">
        <w:t>”, “</w:t>
      </w:r>
      <w:r w:rsidRPr="00BA6013">
        <w:rPr>
          <w:i/>
          <w:iCs/>
        </w:rPr>
        <w:t>Gimbutas</w:t>
      </w:r>
      <w:r w:rsidRPr="00BA6013">
        <w:t>”</w:t>
      </w:r>
      <w:r w:rsidRPr="00BA6013">
        <w:rPr>
          <w:rStyle w:val="Refdenotaalpie"/>
        </w:rPr>
        <w:footnoteReference w:id="53"/>
      </w:r>
      <w:r w:rsidRPr="00BA6013">
        <w:t xml:space="preserve"> y “</w:t>
      </w:r>
      <w:r w:rsidRPr="00BA6013">
        <w:rPr>
          <w:i/>
          <w:iCs/>
        </w:rPr>
        <w:t>Páquez</w:t>
      </w:r>
      <w:r w:rsidRPr="00BA6013">
        <w:t>”</w:t>
      </w:r>
      <w:r w:rsidRPr="00BA6013">
        <w:rPr>
          <w:rStyle w:val="Refdenotaalpie"/>
        </w:rPr>
        <w:footnoteReference w:id="54"/>
      </w:r>
      <w:r w:rsidR="00086D7E" w:rsidRPr="00BA6013">
        <w:t xml:space="preserve"> la libertad de expresión es una piedra angular de la existencia misma de una sociedad democrática como sistema de autodeterminación colectiva por el cual los individuos toman las decisiones que fijan las reglas, principios y políticas públicas que regirán el desenvolvimiento de la sociedad política.</w:t>
      </w:r>
    </w:p>
    <w:p w14:paraId="05C7A90A" w14:textId="6A1BF9BB" w:rsidR="006C10F4" w:rsidRPr="00BA6013" w:rsidRDefault="008C021C" w:rsidP="005352BE">
      <w:pPr>
        <w:tabs>
          <w:tab w:val="left" w:pos="426"/>
        </w:tabs>
        <w:spacing w:line="360" w:lineRule="auto"/>
        <w:ind w:firstLine="567"/>
        <w:jc w:val="both"/>
      </w:pPr>
      <w:r w:rsidRPr="00BA6013">
        <w:t>Las</w:t>
      </w:r>
      <w:r w:rsidR="00672D95" w:rsidRPr="00BA6013">
        <w:t xml:space="preserve"> limitaciones</w:t>
      </w:r>
      <w:r w:rsidRPr="00BA6013">
        <w:t xml:space="preserve"> a la libertad de expresión </w:t>
      </w:r>
      <w:r w:rsidR="004D66FF" w:rsidRPr="00BA6013">
        <w:t xml:space="preserve">tienen carácter restrictivo, por lo cual </w:t>
      </w:r>
      <w:r w:rsidR="00E95247" w:rsidRPr="00BA6013">
        <w:t xml:space="preserve">toda censura previa padece de una fuerte presunción de inconstitucionalidad y, por ende, la carga </w:t>
      </w:r>
      <w:r w:rsidR="00E95247" w:rsidRPr="00BA6013">
        <w:lastRenderedPageBreak/>
        <w:t>argumentativa y probatoria de su necesidad pesará sobre quien la invoca</w:t>
      </w:r>
      <w:r w:rsidR="00146952" w:rsidRPr="00BA6013">
        <w:t>, tal como se desprende de los criter</w:t>
      </w:r>
      <w:r w:rsidR="00D55D2C" w:rsidRPr="00BA6013">
        <w:t>i</w:t>
      </w:r>
      <w:r w:rsidR="00A2125B" w:rsidRPr="00BA6013">
        <w:t>os</w:t>
      </w:r>
      <w:r w:rsidR="00146952" w:rsidRPr="00BA6013">
        <w:t xml:space="preserve"> de</w:t>
      </w:r>
      <w:r w:rsidR="00A2125B" w:rsidRPr="00BA6013">
        <w:t xml:space="preserve"> la doctrina</w:t>
      </w:r>
      <w:r w:rsidR="00146952" w:rsidRPr="00BA6013">
        <w:t xml:space="preserve"> “</w:t>
      </w:r>
      <w:r w:rsidR="00146952" w:rsidRPr="00BA6013">
        <w:rPr>
          <w:i/>
          <w:iCs/>
        </w:rPr>
        <w:t>Campillay</w:t>
      </w:r>
      <w:r w:rsidR="00146952" w:rsidRPr="00BA6013">
        <w:t>”</w:t>
      </w:r>
      <w:r w:rsidR="00D55D2C" w:rsidRPr="00BA6013">
        <w:rPr>
          <w:rStyle w:val="Refdenotaalpie"/>
        </w:rPr>
        <w:footnoteReference w:id="55"/>
      </w:r>
      <w:r w:rsidR="00146952" w:rsidRPr="00BA6013">
        <w:t xml:space="preserve"> y “</w:t>
      </w:r>
      <w:r w:rsidR="00146952" w:rsidRPr="00BA6013">
        <w:rPr>
          <w:i/>
          <w:iCs/>
        </w:rPr>
        <w:t>Ponzetti de Balbín</w:t>
      </w:r>
      <w:r w:rsidR="00146952" w:rsidRPr="00BA6013">
        <w:t>”</w:t>
      </w:r>
      <w:r w:rsidR="00146952" w:rsidRPr="00BA6013">
        <w:rPr>
          <w:rStyle w:val="Refdenotaalpie"/>
        </w:rPr>
        <w:footnoteReference w:id="56"/>
      </w:r>
      <w:r w:rsidR="00E95247" w:rsidRPr="00BA6013">
        <w:t xml:space="preserve">. </w:t>
      </w:r>
    </w:p>
    <w:p w14:paraId="3E0B9CAB" w14:textId="05B741C9" w:rsidR="006C10F4" w:rsidRPr="00BA6013" w:rsidRDefault="006C10F4" w:rsidP="005352BE">
      <w:pPr>
        <w:widowControl w:val="0"/>
        <w:tabs>
          <w:tab w:val="left" w:pos="426"/>
        </w:tabs>
        <w:autoSpaceDE w:val="0"/>
        <w:autoSpaceDN w:val="0"/>
        <w:adjustRightInd w:val="0"/>
        <w:spacing w:after="240" w:line="360" w:lineRule="auto"/>
        <w:ind w:firstLine="567"/>
        <w:contextualSpacing/>
        <w:jc w:val="both"/>
      </w:pPr>
      <w:r w:rsidRPr="00BA6013">
        <w:t xml:space="preserve">Para determinar si, en la presente causa, la desindexación ordenada por la Cámara </w:t>
      </w:r>
      <w:r w:rsidR="005E7682" w:rsidRPr="00BA6013">
        <w:t xml:space="preserve">implica </w:t>
      </w:r>
      <w:r w:rsidRPr="00BA6013">
        <w:t xml:space="preserve">una restricción indebida a la libertad de expresión, </w:t>
      </w:r>
      <w:r w:rsidR="005E7682" w:rsidRPr="00BA6013">
        <w:t xml:space="preserve">corresponde </w:t>
      </w:r>
      <w:r w:rsidRPr="00BA6013">
        <w:t>evaluar si afecta a un discurso constitucionalmente protegido, aun cuando pudiese ofender o avergonzar a sus protagonistas</w:t>
      </w:r>
      <w:r w:rsidR="003C2D77" w:rsidRPr="00BA6013">
        <w:rPr>
          <w:rStyle w:val="Refdenotaalpie"/>
        </w:rPr>
        <w:footnoteReference w:id="57"/>
      </w:r>
      <w:r w:rsidR="005E7682" w:rsidRPr="00BA6013">
        <w:t>.</w:t>
      </w:r>
    </w:p>
    <w:p w14:paraId="132ECEFE" w14:textId="33D7A778" w:rsidR="006C10F4" w:rsidRPr="00BA6013" w:rsidRDefault="00CB39F2" w:rsidP="00237CDC">
      <w:pPr>
        <w:widowControl w:val="0"/>
        <w:tabs>
          <w:tab w:val="left" w:pos="426"/>
        </w:tabs>
        <w:autoSpaceDE w:val="0"/>
        <w:autoSpaceDN w:val="0"/>
        <w:adjustRightInd w:val="0"/>
        <w:spacing w:after="240" w:line="360" w:lineRule="auto"/>
        <w:ind w:firstLine="567"/>
        <w:contextualSpacing/>
        <w:jc w:val="both"/>
      </w:pPr>
      <w:r w:rsidRPr="00BA6013">
        <w:t>Corresponde también tener en cuenta la naturaleza de la información cuestionada. Los enlaces se vinculan con información de interés público de personas públicas y e</w:t>
      </w:r>
      <w:r w:rsidR="00672D95" w:rsidRPr="00BA6013">
        <w:t>ste</w:t>
      </w:r>
      <w:r w:rsidRPr="00BA6013">
        <w:t xml:space="preserve"> interés subsiste hasta la actualidad. </w:t>
      </w:r>
      <w:r w:rsidR="006476D2" w:rsidRPr="00BA6013">
        <w:t xml:space="preserve">Entender que por el mero transcurso del tiempo la noticia que formó parte de nuestro debate público pierde ese atributo, pone en serio riesgo la memoria social. En el contexto de una sociedad democrática, la información verdadera referida a una persona pública y a un suceso de relevante interés público, exige su permanencia y libre acceso por parte de los individuos. </w:t>
      </w:r>
      <w:r w:rsidRPr="00BA6013">
        <w:t xml:space="preserve">Por ello, </w:t>
      </w:r>
      <w:r w:rsidR="006C10F4" w:rsidRPr="00BA6013">
        <w:t xml:space="preserve">la CSJN </w:t>
      </w:r>
      <w:r w:rsidRPr="00BA6013">
        <w:t xml:space="preserve">le reconoce a este contenido </w:t>
      </w:r>
      <w:r w:rsidR="006C10F4" w:rsidRPr="00BA6013">
        <w:t xml:space="preserve">la máxima tutela que </w:t>
      </w:r>
      <w:r w:rsidRPr="00BA6013">
        <w:t>la Constitución Nacional le</w:t>
      </w:r>
      <w:r w:rsidR="006C10F4" w:rsidRPr="00BA6013">
        <w:t xml:space="preserve"> proporciona a la libertad de expresión</w:t>
      </w:r>
      <w:r w:rsidRPr="00BA6013">
        <w:t>.</w:t>
      </w:r>
      <w:r w:rsidR="00702488" w:rsidRPr="00BA6013">
        <w:t xml:space="preserve"> La</w:t>
      </w:r>
      <w:r w:rsidR="006C10F4" w:rsidRPr="00BA6013">
        <w:t xml:space="preserve"> desvinculación </w:t>
      </w:r>
      <w:r w:rsidR="00702488" w:rsidRPr="00BA6013">
        <w:t xml:space="preserve">que pretende la actora debe ser analizada </w:t>
      </w:r>
      <w:r w:rsidR="006C10F4" w:rsidRPr="00BA6013">
        <w:t>bajo el marco constitucional que regula el debate público</w:t>
      </w:r>
      <w:r w:rsidR="006476D2" w:rsidRPr="00BA6013">
        <w:rPr>
          <w:rStyle w:val="Refdenotaalpie"/>
        </w:rPr>
        <w:footnoteReference w:id="58"/>
      </w:r>
      <w:r w:rsidR="00702488" w:rsidRPr="00BA6013">
        <w:t>.</w:t>
      </w:r>
    </w:p>
    <w:p w14:paraId="7C683361" w14:textId="2330EEBF" w:rsidR="006C10F4" w:rsidRPr="00BA6013" w:rsidRDefault="00702488" w:rsidP="005352BE">
      <w:pPr>
        <w:tabs>
          <w:tab w:val="left" w:pos="426"/>
        </w:tabs>
        <w:spacing w:line="360" w:lineRule="auto"/>
        <w:ind w:firstLine="567"/>
        <w:jc w:val="both"/>
      </w:pPr>
      <w:r w:rsidRPr="00BA6013">
        <w:t>El cas</w:t>
      </w:r>
      <w:r w:rsidR="00697E33" w:rsidRPr="00BA6013">
        <w:t xml:space="preserve">o implica un conflicto entre </w:t>
      </w:r>
      <w:r w:rsidR="006C10F4" w:rsidRPr="00BA6013">
        <w:t>el derecho al honor</w:t>
      </w:r>
      <w:r w:rsidR="00697E33" w:rsidRPr="00BA6013">
        <w:t xml:space="preserve"> </w:t>
      </w:r>
      <w:r w:rsidR="006C10F4" w:rsidRPr="00BA6013">
        <w:t>y la protección de la libertad de expresión</w:t>
      </w:r>
      <w:r w:rsidR="00697E33" w:rsidRPr="00BA6013">
        <w:t>. Ante esta colisión jurídica,</w:t>
      </w:r>
      <w:r w:rsidR="006C10F4" w:rsidRPr="00BA6013">
        <w:t xml:space="preserve"> el Tribunal </w:t>
      </w:r>
      <w:r w:rsidR="00697E33" w:rsidRPr="00BA6013">
        <w:t>considera que debe privilegiarse e</w:t>
      </w:r>
      <w:r w:rsidR="006C10F4" w:rsidRPr="00BA6013">
        <w:t>sta última</w:t>
      </w:r>
      <w:r w:rsidR="00697E33" w:rsidRPr="00BA6013">
        <w:t>, ya</w:t>
      </w:r>
      <w:r w:rsidR="008A30FB">
        <w:t xml:space="preserve"> que</w:t>
      </w:r>
      <w:r w:rsidR="006C10F4" w:rsidRPr="00BA6013">
        <w:t xml:space="preserve"> </w:t>
      </w:r>
      <w:r w:rsidR="00697E33" w:rsidRPr="00BA6013">
        <w:t>posee un prioritario valor constitucional en atención a la naturaleza de la información cuestionada</w:t>
      </w:r>
      <w:r w:rsidR="00697E33" w:rsidRPr="00BA6013">
        <w:rPr>
          <w:rStyle w:val="Refdenotaalpie"/>
        </w:rPr>
        <w:footnoteReference w:id="59"/>
      </w:r>
      <w:r w:rsidR="00FA7E2A" w:rsidRPr="00BA6013">
        <w:t>.</w:t>
      </w:r>
    </w:p>
    <w:p w14:paraId="140428B7" w14:textId="538F4D7D" w:rsidR="00FA7E2A" w:rsidRPr="00BA6013" w:rsidRDefault="0061116D" w:rsidP="005352BE">
      <w:pPr>
        <w:tabs>
          <w:tab w:val="left" w:pos="426"/>
        </w:tabs>
        <w:spacing w:line="360" w:lineRule="auto"/>
        <w:ind w:firstLine="567"/>
        <w:jc w:val="both"/>
      </w:pPr>
      <w:r w:rsidRPr="00BA6013">
        <w:t xml:space="preserve">La difusión en Internet de información veraz vinculada con un asunto de interés social y una persona pública no puede producir una lesión ilícita al honor de la Sra. Denegri, de modo tal de habilitar la remoción del mismo y una legítima restricción a la libertad de expresión. </w:t>
      </w:r>
    </w:p>
    <w:p w14:paraId="310639E7" w14:textId="6F37CC5A" w:rsidR="006C10F4" w:rsidRPr="00BA6013" w:rsidRDefault="0061116D" w:rsidP="005352BE">
      <w:pPr>
        <w:tabs>
          <w:tab w:val="left" w:pos="426"/>
        </w:tabs>
        <w:spacing w:line="360" w:lineRule="auto"/>
        <w:ind w:firstLine="567"/>
        <w:jc w:val="both"/>
      </w:pPr>
      <w:r w:rsidRPr="00BA6013">
        <w:t xml:space="preserve">Asimismo, corresponde tener en cuenta que las noticias que se pretende desindexar incluyen videos de programas televisivos en los que la actora participó voluntariamente, sin </w:t>
      </w:r>
      <w:r w:rsidRPr="00BA6013">
        <w:lastRenderedPageBreak/>
        <w:t>mediar vicio del consentimiento</w:t>
      </w:r>
      <w:r w:rsidR="006476D2" w:rsidRPr="00BA6013">
        <w:t xml:space="preserve"> alguno</w:t>
      </w:r>
      <w:r w:rsidRPr="00BA6013">
        <w:t>. Por lo tanto, el</w:t>
      </w:r>
      <w:r w:rsidR="006C10F4" w:rsidRPr="00BA6013">
        <w:t xml:space="preserve"> mayor o menor agravio que la difusión de </w:t>
      </w:r>
      <w:r w:rsidRPr="00BA6013">
        <w:t xml:space="preserve">esta </w:t>
      </w:r>
      <w:r w:rsidR="006C10F4" w:rsidRPr="00BA6013">
        <w:t xml:space="preserve">información pueda </w:t>
      </w:r>
      <w:r w:rsidRPr="00BA6013">
        <w:t xml:space="preserve">generar </w:t>
      </w:r>
      <w:r w:rsidR="006C10F4" w:rsidRPr="00BA6013">
        <w:t>en la actora no es un argumento suficiente para limitar legítim</w:t>
      </w:r>
      <w:r w:rsidRPr="00BA6013">
        <w:t>amente el</w:t>
      </w:r>
      <w:r w:rsidR="006C10F4" w:rsidRPr="00BA6013">
        <w:t xml:space="preserve"> derecho a la libre circulación de ideas, desde que la intromisión ilegítima en el derecho al honor exige que la información que se divulga sea falsa o inexacta, lo que no ocurre en el presente caso</w:t>
      </w:r>
      <w:r w:rsidRPr="00BA6013">
        <w:rPr>
          <w:rStyle w:val="Refdenotaalpie"/>
        </w:rPr>
        <w:footnoteReference w:id="60"/>
      </w:r>
      <w:r w:rsidR="005023DF" w:rsidRPr="00BA6013">
        <w:t xml:space="preserve">. </w:t>
      </w:r>
    </w:p>
    <w:p w14:paraId="7209EF16" w14:textId="1B1083FA" w:rsidR="008A30FB" w:rsidRPr="00BA6013" w:rsidRDefault="006476D2" w:rsidP="008A30FB">
      <w:pPr>
        <w:tabs>
          <w:tab w:val="left" w:pos="426"/>
        </w:tabs>
        <w:spacing w:line="360" w:lineRule="auto"/>
        <w:ind w:firstLine="567"/>
        <w:jc w:val="both"/>
      </w:pPr>
      <w:r w:rsidRPr="00BA6013">
        <w:t>Por otro lado, debe</w:t>
      </w:r>
      <w:r w:rsidR="005023DF" w:rsidRPr="00BA6013">
        <w:t xml:space="preserve"> también desechar</w:t>
      </w:r>
      <w:r w:rsidRPr="00BA6013">
        <w:t>se</w:t>
      </w:r>
      <w:r w:rsidR="005023DF" w:rsidRPr="00BA6013">
        <w:t xml:space="preserve"> el criterio de la Cámara de considerar que la </w:t>
      </w:r>
      <w:r w:rsidR="006C10F4" w:rsidRPr="00BA6013">
        <w:t xml:space="preserve">información </w:t>
      </w:r>
      <w:r w:rsidR="005023DF" w:rsidRPr="00BA6013">
        <w:t xml:space="preserve">se vincula con </w:t>
      </w:r>
      <w:r w:rsidR="006C10F4" w:rsidRPr="00BA6013">
        <w:t>discusiones que no presentan</w:t>
      </w:r>
      <w:r w:rsidRPr="00BA6013">
        <w:t xml:space="preserve">, </w:t>
      </w:r>
      <w:r w:rsidR="006C10F4" w:rsidRPr="00BA6013">
        <w:t>por la “</w:t>
      </w:r>
      <w:r w:rsidR="006C10F4" w:rsidRPr="00BA6013">
        <w:rPr>
          <w:i/>
          <w:iCs/>
        </w:rPr>
        <w:t>chabacanería</w:t>
      </w:r>
      <w:r w:rsidR="006C10F4" w:rsidRPr="00BA6013">
        <w:t xml:space="preserve">” del espacio televisivo, interés periodístico alguno. </w:t>
      </w:r>
      <w:r w:rsidR="005023DF" w:rsidRPr="00BA6013">
        <w:t>Esta ex</w:t>
      </w:r>
      <w:r w:rsidRPr="00BA6013">
        <w:t>é</w:t>
      </w:r>
      <w:r w:rsidR="005023DF" w:rsidRPr="00BA6013">
        <w:t xml:space="preserve">gesis implicaría consolidar un </w:t>
      </w:r>
      <w:r w:rsidR="006C10F4" w:rsidRPr="00BA6013">
        <w:t>estándar de análisis extremadamente maleable y subjetiv</w:t>
      </w:r>
      <w:r w:rsidR="005023DF" w:rsidRPr="00BA6013">
        <w:t>o</w:t>
      </w:r>
      <w:r w:rsidR="006C10F4" w:rsidRPr="00BA6013">
        <w:t xml:space="preserve"> que </w:t>
      </w:r>
      <w:r w:rsidR="005023DF" w:rsidRPr="00BA6013">
        <w:t>puede dar lugar</w:t>
      </w:r>
      <w:r w:rsidR="006C10F4" w:rsidRPr="00BA6013">
        <w:t xml:space="preserve"> a </w:t>
      </w:r>
      <w:r w:rsidRPr="00BA6013">
        <w:t xml:space="preserve">criterios </w:t>
      </w:r>
      <w:r w:rsidR="006C10F4" w:rsidRPr="00BA6013">
        <w:t>arbitrar</w:t>
      </w:r>
      <w:r w:rsidRPr="00BA6013">
        <w:t>ios</w:t>
      </w:r>
      <w:r w:rsidR="006C10F4" w:rsidRPr="00BA6013">
        <w:t xml:space="preserve"> y, por ende, debilita la protección de</w:t>
      </w:r>
      <w:r w:rsidRPr="00BA6013">
        <w:t xml:space="preserve"> la libertad de </w:t>
      </w:r>
      <w:r w:rsidR="006C10F4" w:rsidRPr="00BA6013">
        <w:t>expresión</w:t>
      </w:r>
      <w:r w:rsidR="005023DF" w:rsidRPr="00BA6013">
        <w:rPr>
          <w:rStyle w:val="Refdenotaalpie"/>
        </w:rPr>
        <w:footnoteReference w:id="61"/>
      </w:r>
      <w:r w:rsidR="005023DF" w:rsidRPr="00BA6013">
        <w:t>.</w:t>
      </w:r>
    </w:p>
    <w:p w14:paraId="36AA8BAA" w14:textId="47BCD359" w:rsidR="00666F27" w:rsidRPr="00BA6013" w:rsidRDefault="00666F27" w:rsidP="005352BE">
      <w:pPr>
        <w:tabs>
          <w:tab w:val="left" w:pos="426"/>
        </w:tabs>
        <w:spacing w:line="360" w:lineRule="auto"/>
        <w:ind w:firstLine="567"/>
        <w:rPr>
          <w:b/>
          <w:bCs/>
        </w:rPr>
      </w:pPr>
    </w:p>
    <w:p w14:paraId="3204C7F6" w14:textId="17D9E07D" w:rsidR="00666F27" w:rsidRPr="00BA6013" w:rsidRDefault="00C53373" w:rsidP="005352BE">
      <w:pPr>
        <w:tabs>
          <w:tab w:val="left" w:pos="426"/>
        </w:tabs>
        <w:spacing w:line="360" w:lineRule="auto"/>
        <w:ind w:firstLine="567"/>
        <w:rPr>
          <w:b/>
          <w:bCs/>
        </w:rPr>
      </w:pPr>
      <w:r w:rsidRPr="00BA6013">
        <w:rPr>
          <w:b/>
          <w:bCs/>
        </w:rPr>
        <w:t xml:space="preserve">6. </w:t>
      </w:r>
      <w:r w:rsidR="00666F27" w:rsidRPr="00BA6013">
        <w:rPr>
          <w:b/>
          <w:bCs/>
        </w:rPr>
        <w:t>Conclusiones</w:t>
      </w:r>
    </w:p>
    <w:p w14:paraId="13CD10C6" w14:textId="68B450A6" w:rsidR="00B072C1" w:rsidRPr="00BA6013" w:rsidRDefault="00CA532F" w:rsidP="005352BE">
      <w:pPr>
        <w:tabs>
          <w:tab w:val="left" w:pos="426"/>
        </w:tabs>
        <w:spacing w:line="360" w:lineRule="auto"/>
        <w:ind w:firstLine="567"/>
        <w:jc w:val="both"/>
      </w:pPr>
      <w:r w:rsidRPr="00BA6013">
        <w:t xml:space="preserve">El derecho a la intimidad, y las distintas esferas de protección que se pueden derivar de esta prerrogativa poseen una sólida tutela jurídica en nuestro ordenamiento constitucional. </w:t>
      </w:r>
    </w:p>
    <w:p w14:paraId="534910A4" w14:textId="6269A900" w:rsidR="009D7E58" w:rsidRPr="00BA6013" w:rsidRDefault="00CA532F" w:rsidP="005352BE">
      <w:pPr>
        <w:tabs>
          <w:tab w:val="left" w:pos="426"/>
        </w:tabs>
        <w:spacing w:line="360" w:lineRule="auto"/>
        <w:ind w:firstLine="567"/>
        <w:jc w:val="both"/>
      </w:pPr>
      <w:r w:rsidRPr="00BA6013">
        <w:t xml:space="preserve">Sin embargo, el avance de las herramientas digitales en las </w:t>
      </w:r>
      <w:r w:rsidR="008A30FB">
        <w:t>ú</w:t>
      </w:r>
      <w:r w:rsidRPr="00BA6013">
        <w:t>ltimas décadas</w:t>
      </w:r>
      <w:r w:rsidR="008A30FB">
        <w:t>,</w:t>
      </w:r>
      <w:r w:rsidRPr="00BA6013">
        <w:t xml:space="preserve"> genera nuevos riesgos y perturbaciones para el derecho a la autodeterminación informativa. </w:t>
      </w:r>
      <w:r w:rsidR="0057392E" w:rsidRPr="00BA6013">
        <w:t>El contexto en el que se sancionó la</w:t>
      </w:r>
      <w:r w:rsidR="006476D2" w:rsidRPr="00BA6013">
        <w:t xml:space="preserve"> L</w:t>
      </w:r>
      <w:r w:rsidR="0057392E" w:rsidRPr="00BA6013">
        <w:t>ey de Habeas Data difiere</w:t>
      </w:r>
      <w:r w:rsidRPr="00BA6013">
        <w:t xml:space="preserve"> ampliamente</w:t>
      </w:r>
      <w:r w:rsidR="0057392E" w:rsidRPr="00BA6013">
        <w:t xml:space="preserve"> del escenario actual, toda vez que se reguló en un período en el que el desarrollo de Internet y el flujo de la información no poseían la envergadura que han adquirido en la actualidad. </w:t>
      </w:r>
      <w:r w:rsidR="008A30FB">
        <w:t>Por lo tanto, cabe destacar la necesidad de reformar la actual ley que es del año 2000, e incorporar, entre otras cuestiones, los derechos de olvido y oposición y el derecho a la protección de los datos personales como un derecho fundamental.</w:t>
      </w:r>
    </w:p>
    <w:p w14:paraId="4B3EDE50" w14:textId="7ABC8160" w:rsidR="00BD1839" w:rsidRPr="00BA6013" w:rsidRDefault="0057392E" w:rsidP="005352BE">
      <w:pPr>
        <w:tabs>
          <w:tab w:val="left" w:pos="426"/>
        </w:tabs>
        <w:spacing w:line="360" w:lineRule="auto"/>
        <w:ind w:firstLine="567"/>
        <w:jc w:val="both"/>
      </w:pPr>
      <w:r w:rsidRPr="00BA6013">
        <w:t>Las herramientas digitales, incrementan la capacidad de los gobiernos y las empresas de desarrollar actividades de vigilancia, interceptación y recopilación de datos,</w:t>
      </w:r>
      <w:r w:rsidR="009D7E58" w:rsidRPr="00BA6013">
        <w:t xml:space="preserve"> tal como se comprobó en el</w:t>
      </w:r>
      <w:r w:rsidR="006476D2" w:rsidRPr="00BA6013">
        <w:t xml:space="preserve"> fallo </w:t>
      </w:r>
      <w:r w:rsidR="009D7E58" w:rsidRPr="00BA6013">
        <w:t>de la Corte Interamerican</w:t>
      </w:r>
      <w:r w:rsidR="006476D2" w:rsidRPr="00BA6013">
        <w:t>a</w:t>
      </w:r>
      <w:r w:rsidR="009D7E58" w:rsidRPr="00BA6013">
        <w:t xml:space="preserve"> analizado en el presente trabajo. Este nuevo contexto</w:t>
      </w:r>
      <w:r w:rsidR="006476D2" w:rsidRPr="00BA6013">
        <w:t xml:space="preserve"> genera nuevos riesgos para la intimidad de los individuos </w:t>
      </w:r>
      <w:r w:rsidRPr="00BA6013">
        <w:t xml:space="preserve">que no se encuentra </w:t>
      </w:r>
      <w:r w:rsidR="006476D2" w:rsidRPr="00BA6013">
        <w:t>amparados</w:t>
      </w:r>
      <w:r w:rsidRPr="00BA6013">
        <w:t xml:space="preserve"> por la regulación actual. Es evidente que los mecanismos de procesamiento de datos masivos, conocidos como “</w:t>
      </w:r>
      <w:r w:rsidRPr="00BA6013">
        <w:rPr>
          <w:i/>
          <w:iCs/>
        </w:rPr>
        <w:t>big data</w:t>
      </w:r>
      <w:r w:rsidRPr="00BA6013">
        <w:t xml:space="preserve">”, </w:t>
      </w:r>
      <w:r w:rsidR="006476D2" w:rsidRPr="00BA6013">
        <w:t>constituyen</w:t>
      </w:r>
      <w:r w:rsidRPr="00BA6013">
        <w:t xml:space="preserve"> nuevas formas de afectación a la privacidad </w:t>
      </w:r>
      <w:r w:rsidR="009D7E58" w:rsidRPr="00BA6013">
        <w:t>y demandan respuestas jurídicas no concebidas en</w:t>
      </w:r>
      <w:r w:rsidRPr="00BA6013">
        <w:t xml:space="preserve"> la </w:t>
      </w:r>
      <w:r w:rsidR="009D7E58" w:rsidRPr="00BA6013">
        <w:t>legislación actual</w:t>
      </w:r>
      <w:r w:rsidR="00BD1839" w:rsidRPr="00BA6013">
        <w:t>.</w:t>
      </w:r>
    </w:p>
    <w:p w14:paraId="167C76F9" w14:textId="4D28EC36" w:rsidR="00BD1839" w:rsidRPr="00BA6013" w:rsidRDefault="0047743B" w:rsidP="005352BE">
      <w:pPr>
        <w:tabs>
          <w:tab w:val="left" w:pos="426"/>
        </w:tabs>
        <w:spacing w:line="360" w:lineRule="auto"/>
        <w:ind w:firstLine="567"/>
        <w:jc w:val="both"/>
      </w:pPr>
      <w:r w:rsidRPr="00BA6013">
        <w:rPr>
          <w:color w:val="000000" w:themeColor="text1"/>
        </w:rPr>
        <w:lastRenderedPageBreak/>
        <w:t xml:space="preserve">Para ello es trascendental adoptar </w:t>
      </w:r>
      <w:r w:rsidRPr="00BA6013">
        <w:t>los máximos estándares desarrollados en el derecho comparado como por ejemplo en el Reglamento (UE) 2016/679</w:t>
      </w:r>
      <w:r w:rsidRPr="00BA6013">
        <w:rPr>
          <w:rStyle w:val="Refdenotaalpie"/>
        </w:rPr>
        <w:footnoteReference w:id="62"/>
      </w:r>
      <w:r w:rsidRPr="00BA6013">
        <w:t xml:space="preserve"> o los parámetros de la </w:t>
      </w:r>
      <w:r w:rsidRPr="00BA6013">
        <w:rPr>
          <w:i/>
        </w:rPr>
        <w:t>APEC Privacy Framework</w:t>
      </w:r>
      <w:r w:rsidRPr="00BA6013">
        <w:rPr>
          <w:rStyle w:val="Refdenotaalpie"/>
        </w:rPr>
        <w:footnoteReference w:id="63"/>
      </w:r>
      <w:r w:rsidR="00320E38" w:rsidRPr="00BA6013">
        <w:t>.</w:t>
      </w:r>
    </w:p>
    <w:p w14:paraId="6DAC29DD" w14:textId="591BF23C" w:rsidR="006476D2" w:rsidRPr="00BA6013" w:rsidRDefault="006476D2" w:rsidP="006476D2">
      <w:pPr>
        <w:widowControl w:val="0"/>
        <w:tabs>
          <w:tab w:val="left" w:pos="426"/>
        </w:tabs>
        <w:autoSpaceDE w:val="0"/>
        <w:autoSpaceDN w:val="0"/>
        <w:adjustRightInd w:val="0"/>
        <w:spacing w:after="240" w:line="360" w:lineRule="auto"/>
        <w:ind w:firstLine="567"/>
        <w:contextualSpacing/>
        <w:jc w:val="both"/>
      </w:pPr>
      <w:r w:rsidRPr="00BA6013">
        <w:t>Considero desafortunado que la Corte Suprema de Justicia no haya abordado específicamente el instituto del derecho al olvido en el fallo “</w:t>
      </w:r>
      <w:r w:rsidRPr="00BA6013">
        <w:rPr>
          <w:i/>
          <w:iCs/>
        </w:rPr>
        <w:t>Denegri</w:t>
      </w:r>
      <w:r w:rsidRPr="00BA6013">
        <w:t>”, y que la solución al caso haya sido derivada de la clásica doctrina desarrollada en materia de libertad de expresión. El Tribunal omitió precisar los criterios de procedencia de</w:t>
      </w:r>
      <w:r w:rsidR="0093797F" w:rsidRPr="00BA6013">
        <w:t xml:space="preserve"> este instituto </w:t>
      </w:r>
      <w:r w:rsidRPr="00BA6013">
        <w:t xml:space="preserve">en nuestro ordenamiento, lo cual otorgaría mayor seguridad jurídica a los operadores del sistema judicial, para debatir el diseño un marco jurídico con directrices sólidas que permitan acompañar y dar una respuesta adecuada a las lagunas jurídicas generadas por la evolución tecnológica de las últimas décadas. </w:t>
      </w:r>
    </w:p>
    <w:p w14:paraId="00CEE6DE" w14:textId="0C1E4A87" w:rsidR="006476D2" w:rsidRPr="00BA6013" w:rsidRDefault="006476D2" w:rsidP="006476D2">
      <w:pPr>
        <w:widowControl w:val="0"/>
        <w:tabs>
          <w:tab w:val="left" w:pos="426"/>
        </w:tabs>
        <w:autoSpaceDE w:val="0"/>
        <w:autoSpaceDN w:val="0"/>
        <w:adjustRightInd w:val="0"/>
        <w:spacing w:after="240" w:line="360" w:lineRule="auto"/>
        <w:ind w:firstLine="567"/>
        <w:contextualSpacing/>
        <w:jc w:val="both"/>
      </w:pPr>
      <w:r w:rsidRPr="00BA6013">
        <w:t>Más allá de</w:t>
      </w:r>
      <w:r w:rsidR="0055585B">
        <w:t xml:space="preserve"> lo señalado</w:t>
      </w:r>
      <w:r w:rsidRPr="00BA6013">
        <w:t>, considero acertado que el Tribunal reconozca los nuevos interrogantes jurídicos que se generan a partir de la Inteligencia Artificial, admitiendo los desafíos que supone el uso de las herramientas tecnológicas en la actualidad. En este sentido, la CSJN resaltó la necesidad de que en el futuro se aclare el funcionamiento de los algoritmos que utilizan los motores de búsqueda, para que resulten más entendibles y transparentes para los usuarios digitales</w:t>
      </w:r>
      <w:r w:rsidR="0055585B">
        <w:t>.</w:t>
      </w:r>
    </w:p>
    <w:p w14:paraId="35FAB2DA" w14:textId="77777777" w:rsidR="006476D2" w:rsidRPr="00BA6013" w:rsidRDefault="006476D2" w:rsidP="005352BE">
      <w:pPr>
        <w:tabs>
          <w:tab w:val="left" w:pos="426"/>
        </w:tabs>
        <w:spacing w:line="360" w:lineRule="auto"/>
        <w:ind w:firstLine="567"/>
        <w:jc w:val="both"/>
        <w:rPr>
          <w:color w:val="000000" w:themeColor="text1"/>
        </w:rPr>
      </w:pPr>
    </w:p>
    <w:p w14:paraId="4D2D4348" w14:textId="77777777" w:rsidR="0047743B" w:rsidRPr="00BA6013" w:rsidRDefault="0047743B" w:rsidP="005352BE">
      <w:pPr>
        <w:tabs>
          <w:tab w:val="left" w:pos="426"/>
        </w:tabs>
        <w:spacing w:line="360" w:lineRule="auto"/>
        <w:ind w:firstLine="567"/>
        <w:jc w:val="both"/>
      </w:pPr>
    </w:p>
    <w:p w14:paraId="10B1A29F" w14:textId="065C2CFB" w:rsidR="00FA7DED" w:rsidRPr="00BA6013" w:rsidRDefault="00FA7DED" w:rsidP="005352BE">
      <w:pPr>
        <w:tabs>
          <w:tab w:val="left" w:pos="426"/>
        </w:tabs>
        <w:spacing w:line="360" w:lineRule="auto"/>
        <w:ind w:firstLine="567"/>
        <w:jc w:val="center"/>
        <w:rPr>
          <w:b/>
          <w:bCs/>
        </w:rPr>
      </w:pPr>
    </w:p>
    <w:sectPr w:rsidR="00FA7DED" w:rsidRPr="00BA6013">
      <w:footerReference w:type="even"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20D8FE" w14:textId="77777777" w:rsidR="00264225" w:rsidRDefault="00264225" w:rsidP="00A44DF9">
      <w:r>
        <w:separator/>
      </w:r>
    </w:p>
  </w:endnote>
  <w:endnote w:type="continuationSeparator" w:id="0">
    <w:p w14:paraId="75F30DB8" w14:textId="77777777" w:rsidR="00264225" w:rsidRDefault="00264225" w:rsidP="00A44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merodepgina"/>
      </w:rPr>
      <w:id w:val="524452460"/>
      <w:docPartObj>
        <w:docPartGallery w:val="Page Numbers (Bottom of Page)"/>
        <w:docPartUnique/>
      </w:docPartObj>
    </w:sdtPr>
    <w:sdtEndPr>
      <w:rPr>
        <w:rStyle w:val="Nmerodepgina"/>
      </w:rPr>
    </w:sdtEndPr>
    <w:sdtContent>
      <w:p w14:paraId="3CAE0017" w14:textId="7392E69B" w:rsidR="00E95247" w:rsidRDefault="00E95247" w:rsidP="0084654B">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5709FC4" w14:textId="77777777" w:rsidR="00E95247" w:rsidRDefault="00E95247" w:rsidP="00A44DF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merodepgina"/>
      </w:rPr>
      <w:id w:val="-2056459313"/>
      <w:docPartObj>
        <w:docPartGallery w:val="Page Numbers (Bottom of Page)"/>
        <w:docPartUnique/>
      </w:docPartObj>
    </w:sdtPr>
    <w:sdtEndPr>
      <w:rPr>
        <w:rStyle w:val="Nmerodepgina"/>
      </w:rPr>
    </w:sdtEndPr>
    <w:sdtContent>
      <w:p w14:paraId="374F42C7" w14:textId="6C95E085" w:rsidR="00E95247" w:rsidRDefault="00E95247" w:rsidP="0084654B">
        <w:pPr>
          <w:pStyle w:val="Piedepgina"/>
          <w:framePr w:wrap="none" w:vAnchor="text" w:hAnchor="margin" w:xAlign="right" w:y="1"/>
          <w:rPr>
            <w:rStyle w:val="Nmerodepgina"/>
          </w:rPr>
        </w:pPr>
        <w:r w:rsidRPr="00650047">
          <w:rPr>
            <w:rStyle w:val="Nmerodepgina"/>
            <w:rFonts w:ascii="Times New Roman" w:hAnsi="Times New Roman" w:cs="Times New Roman"/>
          </w:rPr>
          <w:fldChar w:fldCharType="begin"/>
        </w:r>
        <w:r w:rsidRPr="00650047">
          <w:rPr>
            <w:rStyle w:val="Nmerodepgina"/>
            <w:rFonts w:ascii="Times New Roman" w:hAnsi="Times New Roman" w:cs="Times New Roman"/>
          </w:rPr>
          <w:instrText xml:space="preserve"> PAGE </w:instrText>
        </w:r>
        <w:r w:rsidRPr="00650047">
          <w:rPr>
            <w:rStyle w:val="Nmerodepgina"/>
            <w:rFonts w:ascii="Times New Roman" w:hAnsi="Times New Roman" w:cs="Times New Roman"/>
          </w:rPr>
          <w:fldChar w:fldCharType="separate"/>
        </w:r>
        <w:r w:rsidRPr="00650047">
          <w:rPr>
            <w:rStyle w:val="Nmerodepgina"/>
            <w:rFonts w:ascii="Times New Roman" w:hAnsi="Times New Roman" w:cs="Times New Roman"/>
            <w:noProof/>
          </w:rPr>
          <w:t>1</w:t>
        </w:r>
        <w:r w:rsidRPr="00650047">
          <w:rPr>
            <w:rStyle w:val="Nmerodepgina"/>
            <w:rFonts w:ascii="Times New Roman" w:hAnsi="Times New Roman" w:cs="Times New Roman"/>
          </w:rPr>
          <w:fldChar w:fldCharType="end"/>
        </w:r>
      </w:p>
    </w:sdtContent>
  </w:sdt>
  <w:p w14:paraId="51C61638" w14:textId="77777777" w:rsidR="00E95247" w:rsidRDefault="00E95247" w:rsidP="00A44DF9">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8451CA" w14:textId="77777777" w:rsidR="00264225" w:rsidRDefault="00264225" w:rsidP="00A44DF9">
      <w:r>
        <w:separator/>
      </w:r>
    </w:p>
  </w:footnote>
  <w:footnote w:type="continuationSeparator" w:id="0">
    <w:p w14:paraId="6DB9E782" w14:textId="77777777" w:rsidR="00264225" w:rsidRDefault="00264225" w:rsidP="00A44DF9">
      <w:r>
        <w:continuationSeparator/>
      </w:r>
    </w:p>
  </w:footnote>
  <w:footnote w:id="1">
    <w:p w14:paraId="021B6D45" w14:textId="1C825B26" w:rsidR="00A94E23" w:rsidRPr="00873693" w:rsidRDefault="00A94E23" w:rsidP="00145C04">
      <w:pPr>
        <w:pStyle w:val="Textonotapie"/>
        <w:jc w:val="both"/>
        <w:rPr>
          <w:rFonts w:ascii="Times New Roman" w:hAnsi="Times New Roman" w:cs="Times New Roman"/>
          <w:lang w:val="es-AR"/>
        </w:rPr>
      </w:pPr>
      <w:r>
        <w:rPr>
          <w:rStyle w:val="Refdenotaalpie"/>
        </w:rPr>
        <w:footnoteRef/>
      </w:r>
      <w:r>
        <w:t xml:space="preserve"> </w:t>
      </w:r>
      <w:r w:rsidRPr="00873693">
        <w:rPr>
          <w:rFonts w:ascii="Times New Roman" w:hAnsi="Times New Roman" w:cs="Times New Roman"/>
          <w:lang w:val="es-AR"/>
        </w:rPr>
        <w:t>Carillo, Marc, El derecho a no ser molestado, Colección Divulgación Jurídica, Aranzadi, Navarra, 2</w:t>
      </w:r>
      <w:r w:rsidR="00677A14" w:rsidRPr="00873693">
        <w:rPr>
          <w:rFonts w:ascii="Times New Roman" w:hAnsi="Times New Roman" w:cs="Times New Roman"/>
          <w:lang w:val="es-AR"/>
        </w:rPr>
        <w:t>0</w:t>
      </w:r>
      <w:r w:rsidRPr="00873693">
        <w:rPr>
          <w:rFonts w:ascii="Times New Roman" w:hAnsi="Times New Roman" w:cs="Times New Roman"/>
          <w:lang w:val="es-AR"/>
        </w:rPr>
        <w:t>03, p. 80.</w:t>
      </w:r>
    </w:p>
  </w:footnote>
  <w:footnote w:id="2">
    <w:p w14:paraId="5B9F72B6" w14:textId="1CC1A1FD" w:rsidR="007810CB" w:rsidRPr="002F625A" w:rsidRDefault="007810CB" w:rsidP="00011FF1">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Basterra, Marcela I. </w:t>
      </w:r>
      <w:r w:rsidR="00011FF1" w:rsidRPr="002F625A">
        <w:rPr>
          <w:rFonts w:ascii="Times New Roman" w:hAnsi="Times New Roman" w:cs="Times New Roman"/>
        </w:rPr>
        <w:t xml:space="preserve">Derecho a la información vs. Derecho a la intimidad, Rubinzal-Culzoni, Buenos Aires, 2011, </w:t>
      </w:r>
      <w:r w:rsidRPr="002F625A">
        <w:rPr>
          <w:rFonts w:ascii="Times New Roman" w:hAnsi="Times New Roman" w:cs="Times New Roman"/>
        </w:rPr>
        <w:t>p.93.</w:t>
      </w:r>
    </w:p>
  </w:footnote>
  <w:footnote w:id="3">
    <w:p w14:paraId="15814A09" w14:textId="5DAE8CED" w:rsidR="00E95247" w:rsidRPr="002F625A" w:rsidRDefault="00E95247" w:rsidP="00011FF1">
      <w:pPr>
        <w:jc w:val="both"/>
        <w:rPr>
          <w:sz w:val="20"/>
          <w:szCs w:val="20"/>
        </w:rPr>
      </w:pPr>
      <w:r w:rsidRPr="002F625A">
        <w:rPr>
          <w:rStyle w:val="Refdenotaalpie"/>
          <w:sz w:val="20"/>
          <w:szCs w:val="20"/>
        </w:rPr>
        <w:footnoteRef/>
      </w:r>
      <w:r w:rsidRPr="002F625A">
        <w:rPr>
          <w:sz w:val="20"/>
          <w:szCs w:val="20"/>
        </w:rPr>
        <w:t xml:space="preserve"> Basterra, Marcela I., El Derecho a la Intimidad como límite a la Libertad de Prensa</w:t>
      </w:r>
      <w:r w:rsidR="00D46D3E" w:rsidRPr="002F625A">
        <w:rPr>
          <w:sz w:val="20"/>
          <w:szCs w:val="20"/>
        </w:rPr>
        <w:t xml:space="preserve">, Revista de Derecho de Familia y de las Personas, La Ley, año 3, Nº9, octubre de 2011, p. 243 y siguientes. </w:t>
      </w:r>
    </w:p>
  </w:footnote>
  <w:footnote w:id="4">
    <w:p w14:paraId="338BCE04" w14:textId="77777777" w:rsidR="00E95247" w:rsidRPr="002F625A" w:rsidRDefault="00E95247" w:rsidP="00EC65B0">
      <w:pPr>
        <w:jc w:val="both"/>
        <w:rPr>
          <w:sz w:val="20"/>
          <w:szCs w:val="20"/>
        </w:rPr>
      </w:pPr>
      <w:r w:rsidRPr="002F625A">
        <w:rPr>
          <w:rStyle w:val="Refdenotaalpie"/>
          <w:sz w:val="20"/>
          <w:szCs w:val="20"/>
        </w:rPr>
        <w:footnoteRef/>
      </w:r>
      <w:r w:rsidRPr="002F625A">
        <w:rPr>
          <w:sz w:val="20"/>
          <w:szCs w:val="20"/>
        </w:rPr>
        <w:t xml:space="preserve"> Basterra, Marcela I., Entre el derecho a la intimidad y los deberes del Estado. Principio de autonomía personal versus derecho a la verdad objetiva, Lexis Nº 0003/014786,02/12/2009, p. 6.</w:t>
      </w:r>
    </w:p>
  </w:footnote>
  <w:footnote w:id="5">
    <w:p w14:paraId="753369A6" w14:textId="0BE3DC3D" w:rsidR="00E95247" w:rsidRPr="002F625A" w:rsidRDefault="00E95247" w:rsidP="00B81DD0">
      <w:pPr>
        <w:jc w:val="both"/>
        <w:rPr>
          <w:sz w:val="20"/>
          <w:szCs w:val="20"/>
        </w:rPr>
      </w:pPr>
      <w:r w:rsidRPr="002F625A">
        <w:rPr>
          <w:rStyle w:val="Refdenotaalpie"/>
          <w:sz w:val="20"/>
          <w:szCs w:val="20"/>
        </w:rPr>
        <w:footnoteRef/>
      </w:r>
      <w:r w:rsidRPr="002F625A">
        <w:rPr>
          <w:sz w:val="20"/>
          <w:szCs w:val="20"/>
        </w:rPr>
        <w:t xml:space="preserve"> Faliero, Johanna C.</w:t>
      </w:r>
      <w:r w:rsidR="00D46D3E" w:rsidRPr="002F625A">
        <w:rPr>
          <w:sz w:val="20"/>
          <w:szCs w:val="20"/>
        </w:rPr>
        <w:t xml:space="preserve"> </w:t>
      </w:r>
      <w:r w:rsidRPr="002F625A">
        <w:rPr>
          <w:sz w:val="20"/>
          <w:szCs w:val="20"/>
        </w:rPr>
        <w:t>“El futuro de la regulación en protección de datos personales en la Argentina en Abdelnabe Vila, Carolina y otros, #LegalTech: El Derecho ante la Tecnología, Ciudad Autónoma de Buenos Aires, Thomson Reuters La Ley, 2018, p. 62.</w:t>
      </w:r>
    </w:p>
  </w:footnote>
  <w:footnote w:id="6">
    <w:p w14:paraId="435EC488" w14:textId="7D093AE0" w:rsidR="00E95247" w:rsidRPr="002F625A" w:rsidRDefault="00E95247" w:rsidP="0076206A">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La Declaración Americana de Derechos y Deberes del Hombre (Aprobada en la IX Conferencia Internacional Americana, en Bogotá, Colombia, 1948) dispone en el artículo V “</w:t>
      </w:r>
      <w:r w:rsidRPr="002F625A">
        <w:rPr>
          <w:rFonts w:ascii="Times New Roman" w:hAnsi="Times New Roman" w:cs="Times New Roman"/>
          <w:i/>
          <w:iCs/>
        </w:rPr>
        <w:t>Toda persona tiene derecho a la protección de la ley contra los ataques abusivos a su honra, a su reputación y a su vida privada y familiar</w:t>
      </w:r>
      <w:r w:rsidRPr="002F625A">
        <w:rPr>
          <w:rFonts w:ascii="Times New Roman" w:hAnsi="Times New Roman" w:cs="Times New Roman"/>
        </w:rPr>
        <w:t>”.</w:t>
      </w:r>
    </w:p>
  </w:footnote>
  <w:footnote w:id="7">
    <w:p w14:paraId="44B107A6" w14:textId="0E722D7C" w:rsidR="00E95247" w:rsidRPr="002F625A" w:rsidRDefault="00E95247" w:rsidP="0076206A">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La Declaración Universal de Derechos Humanos (proclamada por la Asamblea General de las Naciones Unidas en París, el 10 de diciembre de 1948) determina “</w:t>
      </w:r>
      <w:r w:rsidRPr="002F625A">
        <w:rPr>
          <w:rFonts w:ascii="Times New Roman" w:hAnsi="Times New Roman" w:cs="Times New Roman"/>
          <w:i/>
          <w:iCs/>
        </w:rPr>
        <w:t>Artículo 12 Nadie será objeto de injerencias arbitrarias en su vida privada, su familia, su domicilio o su correspondencia, ni de ataques a su honra o a su reputación. Toda persona tiene derecho a la protección de la ley contra tales injerencias o ataques”.</w:t>
      </w:r>
    </w:p>
  </w:footnote>
  <w:footnote w:id="8">
    <w:p w14:paraId="156B452D" w14:textId="63A85201" w:rsidR="00E95247" w:rsidRPr="002F625A" w:rsidRDefault="00E95247" w:rsidP="00EA5AD9">
      <w:pPr>
        <w:jc w:val="both"/>
        <w:rPr>
          <w:sz w:val="20"/>
          <w:szCs w:val="20"/>
        </w:rPr>
      </w:pPr>
      <w:r w:rsidRPr="002F625A">
        <w:rPr>
          <w:rStyle w:val="Refdenotaalpie"/>
          <w:sz w:val="20"/>
          <w:szCs w:val="20"/>
        </w:rPr>
        <w:footnoteRef/>
      </w:r>
      <w:r w:rsidRPr="002F625A">
        <w:rPr>
          <w:sz w:val="20"/>
          <w:szCs w:val="20"/>
        </w:rPr>
        <w:t xml:space="preserve"> El Pacto Internacional de Derechos Civiles y Político (aprobado el 16/12/1966) prescribe en el artículo 17 “</w:t>
      </w:r>
      <w:r w:rsidRPr="002F625A">
        <w:rPr>
          <w:i/>
          <w:iCs/>
          <w:sz w:val="20"/>
          <w:szCs w:val="20"/>
        </w:rPr>
        <w:t>1. Nadie será objeto de injerencias arbitrarias o ilegales en su vida privada, su familia, su domicilio o su correspondencia, ni de ataques ilegales a su honra y reputación. 2. Toda persona tiene derecho a la protección de la ley contra esas injerencias o esos ataques</w:t>
      </w:r>
      <w:r w:rsidRPr="002F625A">
        <w:rPr>
          <w:sz w:val="20"/>
          <w:szCs w:val="20"/>
        </w:rPr>
        <w:t>”</w:t>
      </w:r>
      <w:r w:rsidR="00D46D3E" w:rsidRPr="002F625A">
        <w:rPr>
          <w:sz w:val="20"/>
          <w:szCs w:val="20"/>
        </w:rPr>
        <w:t>.</w:t>
      </w:r>
    </w:p>
  </w:footnote>
  <w:footnote w:id="9">
    <w:p w14:paraId="4C300F78" w14:textId="72261334" w:rsidR="00F33EB0" w:rsidRPr="002F625A" w:rsidRDefault="00F33EB0" w:rsidP="00F33EB0">
      <w:pPr>
        <w:jc w:val="both"/>
        <w:rPr>
          <w:sz w:val="20"/>
          <w:szCs w:val="20"/>
        </w:rPr>
      </w:pPr>
      <w:r w:rsidRPr="002F625A">
        <w:rPr>
          <w:rStyle w:val="Refdenotaalpie"/>
          <w:sz w:val="20"/>
          <w:szCs w:val="20"/>
        </w:rPr>
        <w:footnoteRef/>
      </w:r>
      <w:r w:rsidRPr="002F625A">
        <w:rPr>
          <w:sz w:val="20"/>
          <w:szCs w:val="20"/>
        </w:rPr>
        <w:t xml:space="preserve"> Basterra, Marcela I., </w:t>
      </w:r>
      <w:r w:rsidR="00CF6104" w:rsidRPr="002F625A">
        <w:rPr>
          <w:sz w:val="20"/>
          <w:szCs w:val="20"/>
        </w:rPr>
        <w:t>“</w:t>
      </w:r>
      <w:r w:rsidRPr="002F625A">
        <w:rPr>
          <w:sz w:val="20"/>
          <w:szCs w:val="20"/>
        </w:rPr>
        <w:t>Derechos humanos y justicia constitucional: intimidad y autonomía personal</w:t>
      </w:r>
      <w:r w:rsidR="00CF6104" w:rsidRPr="002F625A">
        <w:rPr>
          <w:sz w:val="20"/>
          <w:szCs w:val="20"/>
        </w:rPr>
        <w:t>”</w:t>
      </w:r>
      <w:r w:rsidR="00D46D3E" w:rsidRPr="002F625A">
        <w:rPr>
          <w:sz w:val="20"/>
          <w:szCs w:val="20"/>
        </w:rPr>
        <w:t xml:space="preserve"> en Bidart Campos, Germán J. y Risso, Guido (Coords) </w:t>
      </w:r>
      <w:r w:rsidRPr="002F625A">
        <w:rPr>
          <w:i/>
          <w:iCs/>
          <w:sz w:val="20"/>
          <w:szCs w:val="20"/>
        </w:rPr>
        <w:t>AA.VV Los Derechos Humanos del Siglo XXI. La revolución inconclusa</w:t>
      </w:r>
      <w:r w:rsidRPr="002F625A">
        <w:rPr>
          <w:sz w:val="20"/>
          <w:szCs w:val="20"/>
        </w:rPr>
        <w:t>. Editorial Ediar, Ciudad Autónoma de Aires, 2005, p. 57.</w:t>
      </w:r>
    </w:p>
  </w:footnote>
  <w:footnote w:id="10">
    <w:p w14:paraId="17F7393F" w14:textId="3F1B2AF0" w:rsidR="00B3313D" w:rsidRPr="002F625A" w:rsidRDefault="00B3313D" w:rsidP="00B3313D">
      <w:pPr>
        <w:pStyle w:val="Textonotapie"/>
        <w:spacing w:line="276" w:lineRule="auto"/>
        <w:contextualSpacing/>
        <w:jc w:val="both"/>
        <w:rPr>
          <w:rFonts w:ascii="Times New Roman" w:hAnsi="Times New Roman" w:cs="Times New Roman"/>
        </w:rPr>
      </w:pPr>
      <w:r w:rsidRPr="002F625A">
        <w:rPr>
          <w:rStyle w:val="Refdenotaalpie"/>
          <w:rFonts w:ascii="Times New Roman" w:hAnsi="Times New Roman" w:cs="Times New Roman"/>
          <w:color w:val="000000" w:themeColor="text1"/>
        </w:rPr>
        <w:footnoteRef/>
      </w:r>
      <w:r w:rsidRPr="002F625A">
        <w:rPr>
          <w:rFonts w:ascii="Times New Roman" w:hAnsi="Times New Roman" w:cs="Times New Roman"/>
          <w:color w:val="000000" w:themeColor="text1"/>
        </w:rPr>
        <w:t xml:space="preserve"> Ley </w:t>
      </w:r>
      <w:r w:rsidR="00206373" w:rsidRPr="002F625A">
        <w:rPr>
          <w:rFonts w:ascii="Times New Roman" w:hAnsi="Times New Roman" w:cs="Times New Roman"/>
          <w:color w:val="000000" w:themeColor="text1"/>
        </w:rPr>
        <w:t>Nº</w:t>
      </w:r>
      <w:r w:rsidR="00D46D3E" w:rsidRPr="002F625A">
        <w:rPr>
          <w:rFonts w:ascii="Times New Roman" w:hAnsi="Times New Roman" w:cs="Times New Roman"/>
          <w:color w:val="000000" w:themeColor="text1"/>
        </w:rPr>
        <w:t xml:space="preserve"> </w:t>
      </w:r>
      <w:r w:rsidRPr="002F625A">
        <w:rPr>
          <w:rFonts w:ascii="Times New Roman" w:hAnsi="Times New Roman" w:cs="Times New Roman"/>
          <w:color w:val="000000" w:themeColor="text1"/>
        </w:rPr>
        <w:t xml:space="preserve">25.326 publicada </w:t>
      </w:r>
      <w:r w:rsidRPr="002F625A">
        <w:rPr>
          <w:rFonts w:ascii="Times New Roman" w:hAnsi="Times New Roman" w:cs="Times New Roman"/>
        </w:rPr>
        <w:t>en el B.O. el 02/11/2000.</w:t>
      </w:r>
    </w:p>
  </w:footnote>
  <w:footnote w:id="11">
    <w:p w14:paraId="025BD8D8" w14:textId="77777777" w:rsidR="00B3313D" w:rsidRPr="002F625A" w:rsidRDefault="00B3313D" w:rsidP="00B3313D">
      <w:pPr>
        <w:pStyle w:val="Textonotapie"/>
        <w:spacing w:line="276" w:lineRule="auto"/>
        <w:contextualSpacing/>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Decreto 1558/2001, publicado en el B.O. el 29/11/2001.</w:t>
      </w:r>
    </w:p>
  </w:footnote>
  <w:footnote w:id="12">
    <w:p w14:paraId="06B6758E" w14:textId="39CE6C3D" w:rsidR="00206373" w:rsidRPr="002F625A" w:rsidRDefault="00206373">
      <w:pPr>
        <w:pStyle w:val="Textonotapie"/>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w:t>
      </w:r>
      <w:r w:rsidRPr="002F625A">
        <w:rPr>
          <w:rFonts w:ascii="Times New Roman" w:hAnsi="Times New Roman" w:cs="Times New Roman"/>
          <w:color w:val="000000" w:themeColor="text1"/>
        </w:rPr>
        <w:t>Ley Nº</w:t>
      </w:r>
      <w:r w:rsidR="00D46D3E" w:rsidRPr="002F625A">
        <w:rPr>
          <w:rFonts w:ascii="Times New Roman" w:hAnsi="Times New Roman" w:cs="Times New Roman"/>
          <w:color w:val="000000" w:themeColor="text1"/>
        </w:rPr>
        <w:t xml:space="preserve"> </w:t>
      </w:r>
      <w:r w:rsidRPr="002F625A">
        <w:rPr>
          <w:rFonts w:ascii="Times New Roman" w:hAnsi="Times New Roman" w:cs="Times New Roman"/>
          <w:color w:val="000000" w:themeColor="text1"/>
        </w:rPr>
        <w:t>25.326, artículo 1º.</w:t>
      </w:r>
    </w:p>
  </w:footnote>
  <w:footnote w:id="13">
    <w:p w14:paraId="3740E2BD" w14:textId="5372B18B" w:rsidR="00E95247" w:rsidRPr="002F625A" w:rsidRDefault="00E95247" w:rsidP="00D46D3E">
      <w:pPr>
        <w:contextualSpacing/>
        <w:jc w:val="both"/>
        <w:rPr>
          <w:sz w:val="20"/>
          <w:szCs w:val="20"/>
        </w:rPr>
      </w:pPr>
      <w:r w:rsidRPr="002F625A">
        <w:rPr>
          <w:rStyle w:val="Refdenotaalpie"/>
          <w:sz w:val="20"/>
          <w:szCs w:val="20"/>
        </w:rPr>
        <w:footnoteRef/>
      </w:r>
      <w:r w:rsidRPr="002F625A">
        <w:rPr>
          <w:sz w:val="20"/>
          <w:szCs w:val="20"/>
        </w:rPr>
        <w:t xml:space="preserve"> </w:t>
      </w:r>
      <w:r w:rsidRPr="002F625A">
        <w:rPr>
          <w:rFonts w:eastAsiaTheme="minorHAnsi"/>
          <w:sz w:val="20"/>
          <w:szCs w:val="20"/>
          <w:lang w:eastAsia="en-US"/>
        </w:rPr>
        <w:t>Tribunal Constitucional Federal alemán, BVerfGE 120, 274-350 (</w:t>
      </w:r>
      <w:r w:rsidRPr="002F625A">
        <w:rPr>
          <w:rFonts w:eastAsiaTheme="minorHAnsi"/>
          <w:i/>
          <w:iCs/>
          <w:sz w:val="20"/>
          <w:szCs w:val="20"/>
          <w:lang w:eastAsia="en-US"/>
        </w:rPr>
        <w:t>Online-Durchsuchungen</w:t>
      </w:r>
      <w:r w:rsidRPr="002F625A">
        <w:rPr>
          <w:sz w:val="20"/>
          <w:szCs w:val="20"/>
        </w:rPr>
        <w:t>), sentencia del 15</w:t>
      </w:r>
      <w:r w:rsidR="00D46D3E" w:rsidRPr="002F625A">
        <w:rPr>
          <w:sz w:val="20"/>
          <w:szCs w:val="20"/>
        </w:rPr>
        <w:t>/12/</w:t>
      </w:r>
      <w:r w:rsidRPr="002F625A">
        <w:rPr>
          <w:sz w:val="20"/>
          <w:szCs w:val="20"/>
        </w:rPr>
        <w:t xml:space="preserve">1983, Traducción de la Secretaría de la Corte Interamericana. Disponible en: </w:t>
      </w:r>
      <w:hyperlink r:id="rId1" w:history="1">
        <w:r w:rsidRPr="002F625A">
          <w:rPr>
            <w:rStyle w:val="Hipervnculo"/>
            <w:color w:val="000000" w:themeColor="text1"/>
            <w:sz w:val="20"/>
            <w:szCs w:val="20"/>
            <w:u w:val="none"/>
          </w:rPr>
          <w:t>https://www.bundesverfassungsgericht.de/SharedDocs/Entscheidungen/EN/1983/12/rs19831215_1bvr020983en.html</w:t>
        </w:r>
      </w:hyperlink>
      <w:r w:rsidRPr="002F625A">
        <w:rPr>
          <w:color w:val="000000" w:themeColor="text1"/>
          <w:sz w:val="20"/>
          <w:szCs w:val="20"/>
        </w:rPr>
        <w:t xml:space="preserve"> </w:t>
      </w:r>
    </w:p>
  </w:footnote>
  <w:footnote w:id="14">
    <w:p w14:paraId="1581EEDB" w14:textId="33435A80" w:rsidR="00E95247" w:rsidRPr="00873693" w:rsidRDefault="00E95247" w:rsidP="00F16032">
      <w:pPr>
        <w:pStyle w:val="Textonotapie"/>
        <w:jc w:val="both"/>
        <w:rPr>
          <w:rFonts w:ascii="Times New Roman" w:hAnsi="Times New Roman" w:cs="Times New Roman"/>
          <w:lang w:val="en-US"/>
        </w:rPr>
      </w:pPr>
      <w:r w:rsidRPr="002F625A">
        <w:rPr>
          <w:rStyle w:val="Refdenotaalpie"/>
          <w:rFonts w:ascii="Times New Roman" w:hAnsi="Times New Roman" w:cs="Times New Roman"/>
        </w:rPr>
        <w:footnoteRef/>
      </w:r>
      <w:r w:rsidRPr="00873693">
        <w:rPr>
          <w:rFonts w:ascii="Times New Roman" w:hAnsi="Times New Roman" w:cs="Times New Roman"/>
          <w:lang w:val="en-US"/>
        </w:rPr>
        <w:t xml:space="preserve"> Warren, Samuel D. y Brandeis, Louis D., </w:t>
      </w:r>
      <w:r w:rsidRPr="00873693">
        <w:rPr>
          <w:rFonts w:ascii="Times New Roman" w:hAnsi="Times New Roman" w:cs="Times New Roman"/>
          <w:i/>
          <w:iCs/>
          <w:lang w:val="en-US"/>
        </w:rPr>
        <w:t xml:space="preserve">The right to privacy, </w:t>
      </w:r>
      <w:r w:rsidRPr="00873693">
        <w:rPr>
          <w:rFonts w:ascii="Times New Roman" w:hAnsi="Times New Roman" w:cs="Times New Roman"/>
          <w:lang w:val="en-US"/>
        </w:rPr>
        <w:t>Harvard Law Review, Boston, 1890.</w:t>
      </w:r>
    </w:p>
  </w:footnote>
  <w:footnote w:id="15">
    <w:p w14:paraId="77C681B4" w14:textId="15DFAC2A" w:rsidR="00E95247" w:rsidRPr="002F625A" w:rsidRDefault="00E95247" w:rsidP="00F16032">
      <w:pPr>
        <w:pStyle w:val="NormalWeb"/>
        <w:spacing w:before="0" w:beforeAutospacing="0" w:after="0" w:afterAutospacing="0"/>
        <w:contextualSpacing/>
        <w:jc w:val="both"/>
        <w:rPr>
          <w:sz w:val="20"/>
          <w:szCs w:val="20"/>
        </w:rPr>
      </w:pPr>
      <w:r w:rsidRPr="002F625A">
        <w:rPr>
          <w:rStyle w:val="Refdenotaalpie"/>
          <w:sz w:val="20"/>
          <w:szCs w:val="20"/>
        </w:rPr>
        <w:footnoteRef/>
      </w:r>
      <w:r w:rsidRPr="002F625A">
        <w:rPr>
          <w:sz w:val="20"/>
          <w:szCs w:val="20"/>
        </w:rPr>
        <w:t xml:space="preserve"> Corte IDH, “</w:t>
      </w:r>
      <w:r w:rsidRPr="002F625A">
        <w:rPr>
          <w:i/>
          <w:iCs/>
          <w:sz w:val="20"/>
          <w:szCs w:val="20"/>
        </w:rPr>
        <w:t>Caso Miembros de la Corporación Colectivo de Abogados ‘José Alvear Restrepo’ vs. Colombia</w:t>
      </w:r>
      <w:r w:rsidRPr="002F625A">
        <w:rPr>
          <w:sz w:val="20"/>
          <w:szCs w:val="20"/>
        </w:rPr>
        <w:t>”, sentencia del 18/10/2023, voto concurrente del Juez Rodrigo Mudrovitsch,</w:t>
      </w:r>
      <w:r w:rsidR="00296102">
        <w:rPr>
          <w:sz w:val="20"/>
          <w:szCs w:val="20"/>
        </w:rPr>
        <w:t xml:space="preserve"> </w:t>
      </w:r>
      <w:r w:rsidRPr="002F625A">
        <w:rPr>
          <w:sz w:val="20"/>
          <w:szCs w:val="20"/>
        </w:rPr>
        <w:t>párrs 86-89.</w:t>
      </w:r>
      <w:r w:rsidRPr="002F625A">
        <w:rPr>
          <w:b/>
          <w:bCs/>
          <w:sz w:val="20"/>
          <w:szCs w:val="20"/>
        </w:rPr>
        <w:t xml:space="preserve"> </w:t>
      </w:r>
    </w:p>
  </w:footnote>
  <w:footnote w:id="16">
    <w:p w14:paraId="619CCC29" w14:textId="357F73F4" w:rsidR="00E95247" w:rsidRPr="002F625A" w:rsidRDefault="00E95247" w:rsidP="00D46D3E">
      <w:pPr>
        <w:jc w:val="both"/>
        <w:rPr>
          <w:sz w:val="20"/>
          <w:szCs w:val="20"/>
        </w:rPr>
      </w:pPr>
      <w:r w:rsidRPr="002F625A">
        <w:rPr>
          <w:rStyle w:val="Refdenotaalpie"/>
          <w:sz w:val="20"/>
          <w:szCs w:val="20"/>
        </w:rPr>
        <w:footnoteRef/>
      </w:r>
      <w:r w:rsidRPr="00873693">
        <w:rPr>
          <w:sz w:val="20"/>
          <w:szCs w:val="20"/>
          <w:lang w:val="en-US"/>
        </w:rPr>
        <w:t xml:space="preserve"> Roosendaal, Arnold, Digital personae and profiles in law. </w:t>
      </w:r>
      <w:r w:rsidRPr="002F625A">
        <w:rPr>
          <w:sz w:val="20"/>
          <w:szCs w:val="20"/>
        </w:rPr>
        <w:t>Wolf Legal Publishers, 2013, p. 41.</w:t>
      </w:r>
    </w:p>
  </w:footnote>
  <w:footnote w:id="17">
    <w:p w14:paraId="22FED04E" w14:textId="33D33AE1" w:rsidR="00E95247" w:rsidRPr="002F625A" w:rsidRDefault="00E95247" w:rsidP="00D46D3E">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Basterra, Marcela I. Protección de Datos Personales. Ley 25.326 y Dto. 1558/01 Comentados Derecho Constitucional Provincial Iberoamérica y México. México, EDIAR, 2008, p, 27.</w:t>
      </w:r>
    </w:p>
  </w:footnote>
  <w:footnote w:id="18">
    <w:p w14:paraId="00A4FD9A" w14:textId="77777777" w:rsidR="00E95247" w:rsidRPr="002F625A" w:rsidRDefault="00E95247" w:rsidP="00524B3E">
      <w:pPr>
        <w:pStyle w:val="Textonotapie"/>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w:t>
      </w:r>
      <w:r w:rsidRPr="002F625A">
        <w:rPr>
          <w:rFonts w:ascii="Times New Roman" w:eastAsia="Times New Roman" w:hAnsi="Times New Roman" w:cs="Times New Roman"/>
          <w:lang w:eastAsia="es-MX"/>
        </w:rPr>
        <w:t>Véase “</w:t>
      </w:r>
      <w:r w:rsidRPr="002F625A">
        <w:rPr>
          <w:rFonts w:ascii="Times New Roman" w:eastAsia="Times New Roman" w:hAnsi="Times New Roman" w:cs="Times New Roman"/>
          <w:i/>
          <w:iCs/>
          <w:lang w:eastAsia="es-MX"/>
        </w:rPr>
        <w:t>Cambridge Analytica: la multa récord que deberá pagar Facebook por la forma en que manejó los datos de 87 millones de usuarios</w:t>
      </w:r>
      <w:r w:rsidRPr="002F625A">
        <w:rPr>
          <w:rFonts w:ascii="Times New Roman" w:eastAsia="Times New Roman" w:hAnsi="Times New Roman" w:cs="Times New Roman"/>
          <w:lang w:eastAsia="es-MX"/>
        </w:rPr>
        <w:t>” disponible en https://www.bbc.com/mundo/noticias-49093124</w:t>
      </w:r>
    </w:p>
  </w:footnote>
  <w:footnote w:id="19">
    <w:p w14:paraId="410118DC" w14:textId="4C1EC35F" w:rsidR="00E95247" w:rsidRPr="002F625A" w:rsidRDefault="00E95247" w:rsidP="00524B3E">
      <w:pPr>
        <w:jc w:val="both"/>
        <w:rPr>
          <w:sz w:val="20"/>
          <w:szCs w:val="20"/>
        </w:rPr>
      </w:pPr>
      <w:r w:rsidRPr="002F625A">
        <w:rPr>
          <w:rStyle w:val="Refdenotaalpie"/>
          <w:sz w:val="20"/>
          <w:szCs w:val="20"/>
        </w:rPr>
        <w:footnoteRef/>
      </w:r>
      <w:r w:rsidRPr="002F625A">
        <w:rPr>
          <w:sz w:val="20"/>
          <w:szCs w:val="20"/>
        </w:rPr>
        <w:t xml:space="preserve"> Basterra, Marcela I., Datos personales para fines publicitarios. A propósito de la Disposición 4/2009 de la Dirección Nacional de Protección de Datos Personales, La Ley, 2009, p. 1037. Cita Online: AR/DOC/1357/2009</w:t>
      </w:r>
    </w:p>
  </w:footnote>
  <w:footnote w:id="20">
    <w:p w14:paraId="7C240F4B" w14:textId="16AD1220" w:rsidR="00E95247" w:rsidRPr="002F625A" w:rsidRDefault="00E95247" w:rsidP="00A52DEE">
      <w:pPr>
        <w:rPr>
          <w:sz w:val="20"/>
          <w:szCs w:val="20"/>
        </w:rPr>
      </w:pPr>
      <w:r w:rsidRPr="002F625A">
        <w:rPr>
          <w:rStyle w:val="Refdenotaalpie"/>
          <w:sz w:val="20"/>
          <w:szCs w:val="20"/>
        </w:rPr>
        <w:footnoteRef/>
      </w:r>
      <w:r w:rsidRPr="002F625A">
        <w:rPr>
          <w:sz w:val="20"/>
          <w:szCs w:val="20"/>
        </w:rPr>
        <w:t xml:space="preserve"> Reglamento (UE) 2016/679 del Parlamento Europeo y del Consejo de 27/4/2016 relativo a la protección de las personas físicas en lo que respecta al tratamiento de datos personales y a la libre circulación de estos datos, </w:t>
      </w:r>
      <w:r w:rsidR="00D46D3E" w:rsidRPr="002F625A">
        <w:rPr>
          <w:sz w:val="20"/>
          <w:szCs w:val="20"/>
        </w:rPr>
        <w:t xml:space="preserve">que </w:t>
      </w:r>
      <w:r w:rsidRPr="002F625A">
        <w:rPr>
          <w:sz w:val="20"/>
          <w:szCs w:val="20"/>
        </w:rPr>
        <w:t>deroga la Directiva 95/46/CE</w:t>
      </w:r>
      <w:r w:rsidR="00D46D3E" w:rsidRPr="002F625A">
        <w:rPr>
          <w:sz w:val="20"/>
          <w:szCs w:val="20"/>
        </w:rPr>
        <w:t>.</w:t>
      </w:r>
    </w:p>
  </w:footnote>
  <w:footnote w:id="21">
    <w:p w14:paraId="0E6BB89E" w14:textId="77777777" w:rsidR="00E95247" w:rsidRPr="002F625A" w:rsidRDefault="00E95247" w:rsidP="00D46D3E">
      <w:pPr>
        <w:jc w:val="both"/>
        <w:rPr>
          <w:sz w:val="20"/>
          <w:szCs w:val="20"/>
        </w:rPr>
      </w:pPr>
      <w:r w:rsidRPr="002F625A">
        <w:rPr>
          <w:rStyle w:val="Refdenotaalpie"/>
          <w:sz w:val="20"/>
          <w:szCs w:val="20"/>
        </w:rPr>
        <w:footnoteRef/>
      </w:r>
      <w:r w:rsidRPr="002F625A">
        <w:rPr>
          <w:sz w:val="20"/>
          <w:szCs w:val="20"/>
        </w:rPr>
        <w:t>Aprobada el 18/12/2013 destaca la obligación de los Estados de respetar y proteger el derecho a la privacidad en el contexto de las comunicaciones digitales, de conformidad con el derecho internacional de los derechos humanos.</w:t>
      </w:r>
    </w:p>
  </w:footnote>
  <w:footnote w:id="22">
    <w:p w14:paraId="55964F5A" w14:textId="4314F3F4" w:rsidR="00E95247" w:rsidRPr="002F625A" w:rsidRDefault="00E95247" w:rsidP="00D46D3E">
      <w:pPr>
        <w:jc w:val="both"/>
        <w:rPr>
          <w:sz w:val="20"/>
          <w:szCs w:val="20"/>
        </w:rPr>
      </w:pPr>
      <w:r w:rsidRPr="002F625A">
        <w:rPr>
          <w:rStyle w:val="Refdenotaalpie"/>
          <w:sz w:val="20"/>
          <w:szCs w:val="20"/>
        </w:rPr>
        <w:footnoteRef/>
      </w:r>
      <w:r w:rsidRPr="002F625A">
        <w:rPr>
          <w:sz w:val="20"/>
          <w:szCs w:val="20"/>
        </w:rPr>
        <w:t xml:space="preserve"> Basterra, Marcela I.</w:t>
      </w:r>
      <w:r w:rsidR="00D46D3E" w:rsidRPr="002F625A">
        <w:rPr>
          <w:sz w:val="20"/>
          <w:szCs w:val="20"/>
        </w:rPr>
        <w:t>, “</w:t>
      </w:r>
      <w:r w:rsidRPr="002F625A">
        <w:rPr>
          <w:sz w:val="20"/>
          <w:szCs w:val="20"/>
        </w:rPr>
        <w:t>El caso “Denegri”: una oportunidad para que la Corte Suprema de Justicia recepte el derecho al olvido</w:t>
      </w:r>
      <w:r w:rsidR="00D46D3E" w:rsidRPr="002F625A">
        <w:rPr>
          <w:sz w:val="20"/>
          <w:szCs w:val="20"/>
        </w:rPr>
        <w:t>”</w:t>
      </w:r>
      <w:r w:rsidRPr="002F625A">
        <w:rPr>
          <w:sz w:val="20"/>
          <w:szCs w:val="20"/>
        </w:rPr>
        <w:t>,</w:t>
      </w:r>
      <w:r w:rsidR="00D46D3E" w:rsidRPr="002F625A">
        <w:rPr>
          <w:sz w:val="20"/>
          <w:szCs w:val="20"/>
        </w:rPr>
        <w:t xml:space="preserve"> El Derecho al Olvido ante la Corte Suprema. Suplemento Especial, </w:t>
      </w:r>
      <w:r w:rsidR="00D46D3E" w:rsidRPr="002F625A">
        <w:rPr>
          <w:color w:val="000000" w:themeColor="text1"/>
          <w:sz w:val="20"/>
          <w:szCs w:val="20"/>
        </w:rPr>
        <w:t xml:space="preserve">Revista El Derecho, ps 5/10, 15 de marzo de 2022.  </w:t>
      </w:r>
    </w:p>
  </w:footnote>
  <w:footnote w:id="23">
    <w:p w14:paraId="64ED62C3" w14:textId="06F48C4A" w:rsidR="00E95247" w:rsidRPr="002F625A" w:rsidRDefault="00E95247" w:rsidP="000658F8">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Corte IDH, “</w:t>
      </w:r>
      <w:r w:rsidRPr="002F625A">
        <w:rPr>
          <w:rFonts w:ascii="Times New Roman" w:hAnsi="Times New Roman" w:cs="Times New Roman"/>
          <w:i/>
          <w:iCs/>
        </w:rPr>
        <w:t>Caso Miembros de la Corporación Colectivo de Abogados “José Alvear Restrepo” vs. Colombia</w:t>
      </w:r>
      <w:r w:rsidRPr="002F625A">
        <w:rPr>
          <w:rFonts w:ascii="Times New Roman" w:hAnsi="Times New Roman" w:cs="Times New Roman"/>
        </w:rPr>
        <w:t>”, op. cit.</w:t>
      </w:r>
    </w:p>
  </w:footnote>
  <w:footnote w:id="24">
    <w:p w14:paraId="1D151EB1" w14:textId="1C13DF85" w:rsidR="00E95247" w:rsidRPr="002F625A" w:rsidRDefault="00E95247" w:rsidP="001901BE">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Ibídem, párr 582.</w:t>
      </w:r>
    </w:p>
  </w:footnote>
  <w:footnote w:id="25">
    <w:p w14:paraId="72E9C187" w14:textId="7CDADF46" w:rsidR="00E95247" w:rsidRPr="002F625A" w:rsidRDefault="00E95247" w:rsidP="005E1F33">
      <w:pPr>
        <w:pStyle w:val="NormalWeb"/>
        <w:spacing w:before="0" w:beforeAutospacing="0" w:after="0" w:afterAutospacing="0"/>
        <w:contextualSpacing/>
        <w:jc w:val="both"/>
        <w:rPr>
          <w:sz w:val="20"/>
          <w:szCs w:val="20"/>
        </w:rPr>
      </w:pPr>
      <w:r w:rsidRPr="002F625A">
        <w:rPr>
          <w:rStyle w:val="Refdenotaalpie"/>
          <w:sz w:val="20"/>
          <w:szCs w:val="20"/>
        </w:rPr>
        <w:footnoteRef/>
      </w:r>
      <w:r w:rsidRPr="002F625A">
        <w:rPr>
          <w:sz w:val="20"/>
          <w:szCs w:val="20"/>
        </w:rPr>
        <w:t xml:space="preserve"> Directiva (UE) 2016/680 del Parlamento Europeo y Consejo de la Unión </w:t>
      </w:r>
      <w:proofErr w:type="gramStart"/>
      <w:r w:rsidRPr="002F625A">
        <w:rPr>
          <w:sz w:val="20"/>
          <w:szCs w:val="20"/>
        </w:rPr>
        <w:t>Europea</w:t>
      </w:r>
      <w:proofErr w:type="gramEnd"/>
      <w:r w:rsidRPr="002F625A">
        <w:rPr>
          <w:sz w:val="20"/>
          <w:szCs w:val="20"/>
        </w:rPr>
        <w:t xml:space="preserve"> relativa a la protección de las personas físicas en lo que respecta al tratamiento de datos personales por parte de las autoridades competentes para fines de prevención, investigación, detección o enjuiciamiento de infracciones penales o de ejecución de sanciones penales, y a la libre circulación de dichos datos,</w:t>
      </w:r>
      <w:r w:rsidR="00307A09" w:rsidRPr="002F625A">
        <w:rPr>
          <w:sz w:val="20"/>
          <w:szCs w:val="20"/>
        </w:rPr>
        <w:t xml:space="preserve"> </w:t>
      </w:r>
      <w:r w:rsidRPr="002F625A">
        <w:rPr>
          <w:sz w:val="20"/>
          <w:szCs w:val="20"/>
        </w:rPr>
        <w:t>aprobada el 27 de abril de 2016. Por ejemplo en Brasil, se creó una Comisión de Juristas de la Cámara de Diputados para elaborar un proyecto de ley sobre procesamiento de datos en el contexto de procesos penales, cuyas recomendaciones, en principio, atienden a los estándares internacionales en materia de procesamiento de datos, especialmente los derivados de la Directiva (UE) 2016/680, artículos 14, 24 y 25.</w:t>
      </w:r>
    </w:p>
  </w:footnote>
  <w:footnote w:id="26">
    <w:p w14:paraId="18016A94" w14:textId="68644B1C" w:rsidR="00E95247" w:rsidRPr="002F625A" w:rsidRDefault="00E95247" w:rsidP="00C01B05">
      <w:pPr>
        <w:pStyle w:val="NormalWeb"/>
        <w:spacing w:before="0" w:beforeAutospacing="0" w:after="0" w:afterAutospacing="0"/>
        <w:contextualSpacing/>
        <w:jc w:val="both"/>
        <w:rPr>
          <w:sz w:val="20"/>
          <w:szCs w:val="20"/>
        </w:rPr>
      </w:pPr>
      <w:r w:rsidRPr="002F625A">
        <w:rPr>
          <w:rStyle w:val="Refdenotaalpie"/>
          <w:sz w:val="20"/>
          <w:szCs w:val="20"/>
        </w:rPr>
        <w:footnoteRef/>
      </w:r>
      <w:r w:rsidRPr="002F625A">
        <w:rPr>
          <w:sz w:val="20"/>
          <w:szCs w:val="20"/>
        </w:rPr>
        <w:t xml:space="preserve"> Consejo de Derechos Humanos de la Asamblea General, Buenas prácticas para garantizar los derechos humanos por los servicios de inteligencia, 17/05/2010, practica 26.</w:t>
      </w:r>
    </w:p>
  </w:footnote>
  <w:footnote w:id="27">
    <w:p w14:paraId="3D819BE5" w14:textId="556DC840" w:rsidR="00E95247" w:rsidRPr="002F625A" w:rsidRDefault="00E95247" w:rsidP="00C01B05">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Comité Jurídico Interamericano, Principios Actualizados sobre la Privacidad y la Protección de Datos Personales, con anotaciones, Washington DC, </w:t>
      </w:r>
      <w:r w:rsidR="00D0695A" w:rsidRPr="002F625A">
        <w:rPr>
          <w:rFonts w:ascii="Times New Roman" w:hAnsi="Times New Roman" w:cs="Times New Roman"/>
        </w:rPr>
        <w:t>aprobados el 0</w:t>
      </w:r>
      <w:r w:rsidRPr="002F625A">
        <w:rPr>
          <w:rFonts w:ascii="Times New Roman" w:hAnsi="Times New Roman" w:cs="Times New Roman"/>
        </w:rPr>
        <w:t>3</w:t>
      </w:r>
      <w:r w:rsidR="00D0695A" w:rsidRPr="002F625A">
        <w:rPr>
          <w:rFonts w:ascii="Times New Roman" w:hAnsi="Times New Roman" w:cs="Times New Roman"/>
        </w:rPr>
        <w:t>/01/</w:t>
      </w:r>
      <w:r w:rsidRPr="002F625A">
        <w:rPr>
          <w:rFonts w:ascii="Times New Roman" w:hAnsi="Times New Roman" w:cs="Times New Roman"/>
        </w:rPr>
        <w:t xml:space="preserve">2022, principio 8. </w:t>
      </w:r>
    </w:p>
  </w:footnote>
  <w:footnote w:id="28">
    <w:p w14:paraId="5E255267" w14:textId="2D90289F" w:rsidR="00E95247" w:rsidRPr="002F625A" w:rsidRDefault="00E95247" w:rsidP="00C01B05">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Corte IDH, “</w:t>
      </w:r>
      <w:r w:rsidRPr="002F625A">
        <w:rPr>
          <w:rFonts w:ascii="Times New Roman" w:hAnsi="Times New Roman" w:cs="Times New Roman"/>
          <w:i/>
          <w:iCs/>
        </w:rPr>
        <w:t>Caso Miembros de la Corporación Colectivo de Abogados “José Alvear Restrepo” vs. Colombia</w:t>
      </w:r>
      <w:r w:rsidRPr="002F625A">
        <w:rPr>
          <w:rFonts w:ascii="Times New Roman" w:hAnsi="Times New Roman" w:cs="Times New Roman"/>
        </w:rPr>
        <w:t>”, op, cit., párr. 586.</w:t>
      </w:r>
    </w:p>
  </w:footnote>
  <w:footnote w:id="29">
    <w:p w14:paraId="108D182D" w14:textId="4A3343CB" w:rsidR="00296102" w:rsidRPr="00285737" w:rsidRDefault="00296102">
      <w:pPr>
        <w:pStyle w:val="Textonotapie"/>
        <w:rPr>
          <w:rFonts w:ascii="Times New Roman" w:hAnsi="Times New Roman" w:cs="Times New Roman"/>
          <w:lang w:val="es-ES"/>
        </w:rPr>
      </w:pPr>
      <w:r w:rsidRPr="00285737">
        <w:rPr>
          <w:rStyle w:val="Refdenotaalpie"/>
          <w:rFonts w:ascii="Times New Roman" w:hAnsi="Times New Roman" w:cs="Times New Roman"/>
        </w:rPr>
        <w:footnoteRef/>
      </w:r>
      <w:r w:rsidRPr="00285737">
        <w:rPr>
          <w:rFonts w:ascii="Times New Roman" w:hAnsi="Times New Roman" w:cs="Times New Roman"/>
        </w:rPr>
        <w:t xml:space="preserve"> </w:t>
      </w:r>
      <w:r w:rsidR="00285737">
        <w:rPr>
          <w:rFonts w:ascii="Times New Roman" w:hAnsi="Times New Roman" w:cs="Times New Roman"/>
          <w:lang w:val="es-ES"/>
        </w:rPr>
        <w:t xml:space="preserve">CSJN </w:t>
      </w:r>
      <w:r w:rsidR="00285737" w:rsidRPr="00285737">
        <w:rPr>
          <w:rFonts w:ascii="Times New Roman" w:hAnsi="Times New Roman" w:cs="Times New Roman"/>
          <w:i/>
          <w:iCs/>
          <w:lang w:val="es-ES"/>
        </w:rPr>
        <w:t>“Martínez, Matilde Susana c/ Organización Veraz S.A”,</w:t>
      </w:r>
      <w:r w:rsidR="00285737">
        <w:rPr>
          <w:rFonts w:ascii="Times New Roman" w:hAnsi="Times New Roman" w:cs="Times New Roman"/>
          <w:lang w:val="es-ES"/>
        </w:rPr>
        <w:t xml:space="preserve"> sentencia del 05/04/2005 </w:t>
      </w:r>
    </w:p>
  </w:footnote>
  <w:footnote w:id="30">
    <w:p w14:paraId="648AFE7C" w14:textId="3FBD5483" w:rsidR="00E95247" w:rsidRPr="002F625A" w:rsidRDefault="00E95247" w:rsidP="00061151">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Ibídem, pie de página 743.</w:t>
      </w:r>
    </w:p>
  </w:footnote>
  <w:footnote w:id="31">
    <w:p w14:paraId="25623EBD" w14:textId="06604CB9" w:rsidR="00E95247" w:rsidRPr="002F625A" w:rsidRDefault="00E95247" w:rsidP="00061151">
      <w:pPr>
        <w:tabs>
          <w:tab w:val="left" w:pos="426"/>
        </w:tabs>
        <w:contextualSpacing/>
        <w:jc w:val="both"/>
        <w:rPr>
          <w:sz w:val="20"/>
          <w:szCs w:val="20"/>
        </w:rPr>
      </w:pPr>
      <w:r w:rsidRPr="002F625A">
        <w:rPr>
          <w:rStyle w:val="Refdenotaalpie"/>
          <w:sz w:val="20"/>
          <w:szCs w:val="20"/>
        </w:rPr>
        <w:footnoteRef/>
      </w:r>
      <w:r w:rsidRPr="002F625A">
        <w:rPr>
          <w:sz w:val="20"/>
          <w:szCs w:val="20"/>
        </w:rPr>
        <w:t xml:space="preserve"> Corte IDH, “</w:t>
      </w:r>
      <w:r w:rsidRPr="002F625A">
        <w:rPr>
          <w:i/>
          <w:iCs/>
          <w:sz w:val="20"/>
          <w:szCs w:val="20"/>
        </w:rPr>
        <w:t xml:space="preserve">Caso Claude Reyes y otros Vs. Chile”, </w:t>
      </w:r>
      <w:r w:rsidRPr="002F625A">
        <w:rPr>
          <w:sz w:val="20"/>
          <w:szCs w:val="20"/>
        </w:rPr>
        <w:t>sentencia del 19/09/2006.</w:t>
      </w:r>
    </w:p>
  </w:footnote>
  <w:footnote w:id="32">
    <w:p w14:paraId="1A1AE847" w14:textId="77D70E40" w:rsidR="00E95247" w:rsidRPr="002F625A" w:rsidRDefault="00E95247" w:rsidP="007863E1">
      <w:pPr>
        <w:jc w:val="both"/>
        <w:rPr>
          <w:sz w:val="20"/>
          <w:szCs w:val="20"/>
        </w:rPr>
      </w:pPr>
      <w:r w:rsidRPr="002F625A">
        <w:rPr>
          <w:rStyle w:val="Refdenotaalpie"/>
          <w:sz w:val="20"/>
          <w:szCs w:val="20"/>
        </w:rPr>
        <w:footnoteRef/>
      </w:r>
      <w:r w:rsidRPr="002F625A">
        <w:rPr>
          <w:sz w:val="20"/>
          <w:szCs w:val="20"/>
        </w:rPr>
        <w:t xml:space="preserve"> Corte IDH, “</w:t>
      </w:r>
      <w:r w:rsidRPr="002F625A">
        <w:rPr>
          <w:i/>
          <w:iCs/>
          <w:sz w:val="20"/>
          <w:szCs w:val="20"/>
        </w:rPr>
        <w:t>Caso Flores Bedregal y otras Vs. Bolivia”</w:t>
      </w:r>
      <w:r w:rsidRPr="002F625A">
        <w:rPr>
          <w:sz w:val="20"/>
          <w:szCs w:val="20"/>
        </w:rPr>
        <w:t xml:space="preserve">, sentencia del 17/10/2022. </w:t>
      </w:r>
    </w:p>
  </w:footnote>
  <w:footnote w:id="33">
    <w:p w14:paraId="56BBDBED" w14:textId="104AA211" w:rsidR="00E95247" w:rsidRPr="002F625A" w:rsidRDefault="00E95247" w:rsidP="00061151">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Corte IDH, “</w:t>
      </w:r>
      <w:r w:rsidRPr="002F625A">
        <w:rPr>
          <w:rFonts w:ascii="Times New Roman" w:hAnsi="Times New Roman" w:cs="Times New Roman"/>
          <w:i/>
          <w:iCs/>
        </w:rPr>
        <w:t>Caso Miembros de la Corporación Colectivo de Abogados “José Alvear Restrepo” vs. Colombia</w:t>
      </w:r>
      <w:r w:rsidRPr="002F625A">
        <w:rPr>
          <w:rFonts w:ascii="Times New Roman" w:hAnsi="Times New Roman" w:cs="Times New Roman"/>
        </w:rPr>
        <w:t>”, op, cit., párr. 600.</w:t>
      </w:r>
    </w:p>
  </w:footnote>
  <w:footnote w:id="34">
    <w:p w14:paraId="23C4C949" w14:textId="0F991F47" w:rsidR="00E95247" w:rsidRPr="002F625A" w:rsidRDefault="00E95247" w:rsidP="00061151">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CSJN, “</w:t>
      </w:r>
      <w:r w:rsidRPr="002F625A">
        <w:rPr>
          <w:rFonts w:ascii="Times New Roman" w:hAnsi="Times New Roman" w:cs="Times New Roman"/>
          <w:i/>
          <w:iCs/>
        </w:rPr>
        <w:t>Urteaga, Facundo Raúl c/ Estado Nacional - Estado Mayor Conjunto de las FF.AA..- s/ amparo Ley 16.986)</w:t>
      </w:r>
      <w:r w:rsidRPr="002F625A">
        <w:rPr>
          <w:rFonts w:ascii="Times New Roman" w:hAnsi="Times New Roman" w:cs="Times New Roman"/>
        </w:rPr>
        <w:t xml:space="preserve">”, sentencia del 15/10/1998. </w:t>
      </w:r>
    </w:p>
  </w:footnote>
  <w:footnote w:id="35">
    <w:p w14:paraId="4210DC77" w14:textId="1BAFEF7A" w:rsidR="00E95247" w:rsidRPr="002F625A" w:rsidRDefault="00E95247" w:rsidP="007863E1">
      <w:pPr>
        <w:pStyle w:val="NormalWeb"/>
        <w:spacing w:before="0" w:beforeAutospacing="0" w:after="0" w:afterAutospacing="0"/>
        <w:contextualSpacing/>
        <w:jc w:val="both"/>
        <w:rPr>
          <w:sz w:val="20"/>
          <w:szCs w:val="20"/>
        </w:rPr>
      </w:pPr>
      <w:r w:rsidRPr="002F625A">
        <w:rPr>
          <w:rStyle w:val="Refdenotaalpie"/>
          <w:sz w:val="20"/>
          <w:szCs w:val="20"/>
        </w:rPr>
        <w:footnoteRef/>
      </w:r>
      <w:r w:rsidR="005352BE" w:rsidRPr="002F625A">
        <w:rPr>
          <w:sz w:val="20"/>
          <w:szCs w:val="20"/>
        </w:rPr>
        <w:t xml:space="preserve"> </w:t>
      </w:r>
      <w:r w:rsidRPr="002F625A">
        <w:rPr>
          <w:sz w:val="20"/>
          <w:szCs w:val="20"/>
        </w:rPr>
        <w:t>Supremo Tribunal Federal de Brasil, resolución ADI 6387 MC-Ref, del 07/05/2020.</w:t>
      </w:r>
    </w:p>
  </w:footnote>
  <w:footnote w:id="36">
    <w:p w14:paraId="56E1CFFA" w14:textId="68E5E0D9" w:rsidR="00E95247" w:rsidRPr="002F625A" w:rsidRDefault="00E95247" w:rsidP="007863E1">
      <w:pPr>
        <w:pStyle w:val="NormalWeb"/>
        <w:spacing w:before="0" w:beforeAutospacing="0" w:after="0" w:afterAutospacing="0"/>
        <w:contextualSpacing/>
        <w:jc w:val="both"/>
        <w:rPr>
          <w:sz w:val="20"/>
          <w:szCs w:val="20"/>
        </w:rPr>
      </w:pPr>
      <w:r w:rsidRPr="002F625A">
        <w:rPr>
          <w:rStyle w:val="Refdenotaalpie"/>
          <w:sz w:val="20"/>
          <w:szCs w:val="20"/>
        </w:rPr>
        <w:footnoteRef/>
      </w:r>
      <w:r w:rsidRPr="002F625A">
        <w:rPr>
          <w:sz w:val="20"/>
          <w:szCs w:val="20"/>
        </w:rPr>
        <w:t xml:space="preserve"> Tribunal Constitucional de Chile, sentencia Rol 1049-10-CDS del 21/06/2011. </w:t>
      </w:r>
    </w:p>
  </w:footnote>
  <w:footnote w:id="37">
    <w:p w14:paraId="672F14B2" w14:textId="5405A986" w:rsidR="00E95247" w:rsidRPr="002F625A" w:rsidRDefault="00E95247" w:rsidP="007863E1">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Corte IDH, “Caso Miembros de la Corporación Colectivo de Abogados “José Alvear Restrepo” vs. Colombia”, op, cit., párrs. 644-666.</w:t>
      </w:r>
    </w:p>
  </w:footnote>
  <w:footnote w:id="38">
    <w:p w14:paraId="28B42FC5" w14:textId="10FC155A" w:rsidR="00E95247" w:rsidRPr="002F625A" w:rsidRDefault="00E95247" w:rsidP="007863E1">
      <w:pPr>
        <w:jc w:val="both"/>
        <w:rPr>
          <w:sz w:val="20"/>
          <w:szCs w:val="20"/>
        </w:rPr>
      </w:pPr>
      <w:r w:rsidRPr="002F625A">
        <w:rPr>
          <w:rStyle w:val="Refdenotaalpie"/>
          <w:sz w:val="20"/>
          <w:szCs w:val="20"/>
        </w:rPr>
        <w:footnoteRef/>
      </w:r>
      <w:r w:rsidRPr="002F625A">
        <w:rPr>
          <w:sz w:val="20"/>
          <w:szCs w:val="20"/>
        </w:rPr>
        <w:t xml:space="preserve"> CNCiv., Sala J, “</w:t>
      </w:r>
      <w:r w:rsidRPr="002F625A">
        <w:rPr>
          <w:i/>
          <w:iCs/>
          <w:sz w:val="20"/>
          <w:szCs w:val="20"/>
        </w:rPr>
        <w:t>K., A. P. c. Yahoo de Argentina SRL y otro s/ daños y perjuicios</w:t>
      </w:r>
      <w:r w:rsidRPr="002F625A">
        <w:rPr>
          <w:sz w:val="20"/>
          <w:szCs w:val="20"/>
        </w:rPr>
        <w:t>”, sentencia del 31/08/2012.</w:t>
      </w:r>
    </w:p>
  </w:footnote>
  <w:footnote w:id="39">
    <w:p w14:paraId="356447DC" w14:textId="7FD17B9E" w:rsidR="00E95247" w:rsidRPr="002F625A" w:rsidRDefault="00E95247" w:rsidP="00A52DEE">
      <w:pPr>
        <w:rPr>
          <w:sz w:val="20"/>
          <w:szCs w:val="20"/>
        </w:rPr>
      </w:pPr>
      <w:r w:rsidRPr="002F625A">
        <w:rPr>
          <w:rStyle w:val="Refdenotaalpie"/>
          <w:sz w:val="20"/>
          <w:szCs w:val="20"/>
        </w:rPr>
        <w:footnoteRef/>
      </w:r>
      <w:r w:rsidRPr="002F625A">
        <w:rPr>
          <w:sz w:val="20"/>
          <w:szCs w:val="20"/>
        </w:rPr>
        <w:t xml:space="preserve"> CSJN, "</w:t>
      </w:r>
      <w:r w:rsidRPr="002F625A">
        <w:rPr>
          <w:i/>
          <w:iCs/>
          <w:sz w:val="20"/>
          <w:szCs w:val="20"/>
        </w:rPr>
        <w:t>Rodríguez, María Belén c. Google Inc. s/ daños y perjuicios</w:t>
      </w:r>
      <w:r w:rsidRPr="002F625A">
        <w:rPr>
          <w:sz w:val="20"/>
          <w:szCs w:val="20"/>
        </w:rPr>
        <w:t>", sentencia del 28/10/2014.</w:t>
      </w:r>
    </w:p>
  </w:footnote>
  <w:footnote w:id="40">
    <w:p w14:paraId="744D8DE6" w14:textId="7AA4DECA" w:rsidR="00E95247" w:rsidRPr="002F625A" w:rsidRDefault="00E95247" w:rsidP="00A9489D">
      <w:pPr>
        <w:jc w:val="both"/>
        <w:rPr>
          <w:sz w:val="20"/>
          <w:szCs w:val="20"/>
        </w:rPr>
      </w:pPr>
      <w:r w:rsidRPr="002F625A">
        <w:rPr>
          <w:rStyle w:val="Refdenotaalpie"/>
          <w:sz w:val="20"/>
          <w:szCs w:val="20"/>
        </w:rPr>
        <w:footnoteRef/>
      </w:r>
      <w:r w:rsidRPr="002F625A">
        <w:rPr>
          <w:sz w:val="20"/>
          <w:szCs w:val="20"/>
        </w:rPr>
        <w:t xml:space="preserve"> B</w:t>
      </w:r>
      <w:r w:rsidR="001671B8" w:rsidRPr="002F625A">
        <w:rPr>
          <w:sz w:val="20"/>
          <w:szCs w:val="20"/>
        </w:rPr>
        <w:t>asterra</w:t>
      </w:r>
      <w:r w:rsidRPr="002F625A">
        <w:rPr>
          <w:sz w:val="20"/>
          <w:szCs w:val="20"/>
        </w:rPr>
        <w:t>, Marcela I., “La responsabilidad de los motores de búsqueda de Internet en el centro del debate jurídico”, L</w:t>
      </w:r>
      <w:r w:rsidR="00DE2F41" w:rsidRPr="002F625A">
        <w:rPr>
          <w:sz w:val="20"/>
          <w:szCs w:val="20"/>
        </w:rPr>
        <w:t>a</w:t>
      </w:r>
      <w:r w:rsidRPr="002F625A">
        <w:rPr>
          <w:sz w:val="20"/>
          <w:szCs w:val="20"/>
        </w:rPr>
        <w:t xml:space="preserve"> L</w:t>
      </w:r>
      <w:r w:rsidR="00DE2F41" w:rsidRPr="002F625A">
        <w:rPr>
          <w:sz w:val="20"/>
          <w:szCs w:val="20"/>
        </w:rPr>
        <w:t>ey</w:t>
      </w:r>
      <w:r w:rsidRPr="002F625A">
        <w:rPr>
          <w:sz w:val="20"/>
          <w:szCs w:val="20"/>
        </w:rPr>
        <w:t>, 2014-F, 145.</w:t>
      </w:r>
    </w:p>
  </w:footnote>
  <w:footnote w:id="41">
    <w:p w14:paraId="7388B601" w14:textId="77777777" w:rsidR="00C527D7" w:rsidRPr="002F625A" w:rsidRDefault="00C527D7" w:rsidP="00C527D7">
      <w:pPr>
        <w:jc w:val="both"/>
        <w:rPr>
          <w:sz w:val="20"/>
          <w:szCs w:val="20"/>
        </w:rPr>
      </w:pPr>
      <w:r w:rsidRPr="002F625A">
        <w:rPr>
          <w:rStyle w:val="Refdenotaalpie"/>
          <w:sz w:val="20"/>
          <w:szCs w:val="20"/>
        </w:rPr>
        <w:footnoteRef/>
      </w:r>
      <w:r w:rsidRPr="002F625A">
        <w:rPr>
          <w:sz w:val="20"/>
          <w:szCs w:val="20"/>
        </w:rPr>
        <w:t xml:space="preserve"> Palazzi, Pablo A., “Responsabilidad de buscadores de Internet. Notice &amp; take down con sabor argentino”, La Ley 2014-F, 175; AR/DOC/4086/2014.</w:t>
      </w:r>
    </w:p>
  </w:footnote>
  <w:footnote w:id="42">
    <w:p w14:paraId="3EAE42B6" w14:textId="6F1C465A" w:rsidR="00E95247" w:rsidRPr="002F625A" w:rsidRDefault="00E95247" w:rsidP="002642CD">
      <w:pPr>
        <w:jc w:val="both"/>
        <w:rPr>
          <w:sz w:val="20"/>
          <w:szCs w:val="20"/>
        </w:rPr>
      </w:pPr>
      <w:r w:rsidRPr="002F625A">
        <w:rPr>
          <w:rStyle w:val="Refdenotaalpie"/>
          <w:sz w:val="20"/>
          <w:szCs w:val="20"/>
        </w:rPr>
        <w:footnoteRef/>
      </w:r>
      <w:r w:rsidRPr="002F625A">
        <w:rPr>
          <w:sz w:val="20"/>
          <w:szCs w:val="20"/>
        </w:rPr>
        <w:t xml:space="preserve"> Borda, Guillermo J., Pereirea, Carlos R. (h.), “El fallo de la Corte Suprema sobre la información por Internet y libertad de expresión”, </w:t>
      </w:r>
      <w:r w:rsidR="00DE2F41" w:rsidRPr="002F625A">
        <w:rPr>
          <w:sz w:val="20"/>
          <w:szCs w:val="20"/>
        </w:rPr>
        <w:t>La Ley</w:t>
      </w:r>
      <w:r w:rsidRPr="002F625A">
        <w:rPr>
          <w:sz w:val="20"/>
          <w:szCs w:val="20"/>
        </w:rPr>
        <w:t>, 2014-F, 158.</w:t>
      </w:r>
    </w:p>
  </w:footnote>
  <w:footnote w:id="43">
    <w:p w14:paraId="07FB8850" w14:textId="29C1EA26" w:rsidR="00E95247" w:rsidRPr="002F625A" w:rsidRDefault="00E95247" w:rsidP="002642CD">
      <w:pPr>
        <w:jc w:val="both"/>
        <w:rPr>
          <w:sz w:val="20"/>
          <w:szCs w:val="20"/>
        </w:rPr>
      </w:pPr>
      <w:r w:rsidRPr="002F625A">
        <w:rPr>
          <w:rStyle w:val="Refdenotaalpie"/>
          <w:sz w:val="20"/>
          <w:szCs w:val="20"/>
        </w:rPr>
        <w:footnoteRef/>
      </w:r>
      <w:r w:rsidRPr="002F625A">
        <w:rPr>
          <w:sz w:val="20"/>
          <w:szCs w:val="20"/>
        </w:rPr>
        <w:t xml:space="preserve"> Palazzi, Pablo A., “Responsabilidad de buscadores de Internet. Notice &amp; take down con sabor argentino”, op. cit., p. 175.</w:t>
      </w:r>
    </w:p>
  </w:footnote>
  <w:footnote w:id="44">
    <w:p w14:paraId="38184F5F" w14:textId="11C25950" w:rsidR="00E95247" w:rsidRPr="002F625A" w:rsidRDefault="00E95247" w:rsidP="002642CD">
      <w:pPr>
        <w:jc w:val="both"/>
        <w:rPr>
          <w:sz w:val="20"/>
          <w:szCs w:val="20"/>
        </w:rPr>
      </w:pPr>
      <w:r w:rsidRPr="002F625A">
        <w:rPr>
          <w:rStyle w:val="Refdenotaalpie"/>
          <w:sz w:val="20"/>
          <w:szCs w:val="20"/>
        </w:rPr>
        <w:footnoteRef/>
      </w:r>
      <w:r w:rsidRPr="002F625A">
        <w:rPr>
          <w:sz w:val="20"/>
          <w:szCs w:val="20"/>
        </w:rPr>
        <w:t xml:space="preserve"> Zabale, Ezequiel M., “Un fallo esclarecedor sobre la responsabilidad de los buscadores de Internet”, </w:t>
      </w:r>
      <w:r w:rsidR="001671B8" w:rsidRPr="002F625A">
        <w:rPr>
          <w:sz w:val="20"/>
          <w:szCs w:val="20"/>
        </w:rPr>
        <w:t>La Ley,</w:t>
      </w:r>
      <w:r w:rsidRPr="002F625A">
        <w:rPr>
          <w:sz w:val="20"/>
          <w:szCs w:val="20"/>
        </w:rPr>
        <w:t xml:space="preserve"> 2016-B, 505, p. 4; AR/DOC/1038/2016.</w:t>
      </w:r>
    </w:p>
  </w:footnote>
  <w:footnote w:id="45">
    <w:p w14:paraId="5BA3335B" w14:textId="19482558" w:rsidR="00E95247" w:rsidRPr="002F625A" w:rsidRDefault="00E95247" w:rsidP="00F67D97">
      <w:pPr>
        <w:jc w:val="both"/>
        <w:rPr>
          <w:sz w:val="20"/>
          <w:szCs w:val="20"/>
        </w:rPr>
      </w:pPr>
      <w:r w:rsidRPr="002F625A">
        <w:rPr>
          <w:rStyle w:val="Refdenotaalpie"/>
          <w:sz w:val="20"/>
          <w:szCs w:val="20"/>
        </w:rPr>
        <w:footnoteRef/>
      </w:r>
      <w:r w:rsidRPr="002F625A">
        <w:rPr>
          <w:sz w:val="20"/>
          <w:szCs w:val="20"/>
        </w:rPr>
        <w:t xml:space="preserve"> CNFed. Civ. y Com., sala I, “M., E. D. c. Yahoo de Argentina SRL y otros s/ medidas cautelares”, sentencia del 23/12/2008. </w:t>
      </w:r>
    </w:p>
  </w:footnote>
  <w:footnote w:id="46">
    <w:p w14:paraId="712C7366" w14:textId="08AB2EEC" w:rsidR="00E95247" w:rsidRPr="002F625A" w:rsidRDefault="00E95247" w:rsidP="0066097B">
      <w:pPr>
        <w:jc w:val="both"/>
        <w:rPr>
          <w:sz w:val="20"/>
          <w:szCs w:val="20"/>
        </w:rPr>
      </w:pPr>
      <w:r w:rsidRPr="002F625A">
        <w:rPr>
          <w:rStyle w:val="Refdenotaalpie"/>
          <w:sz w:val="20"/>
          <w:szCs w:val="20"/>
        </w:rPr>
        <w:footnoteRef/>
      </w:r>
      <w:r w:rsidRPr="002F625A">
        <w:rPr>
          <w:sz w:val="20"/>
          <w:szCs w:val="20"/>
        </w:rPr>
        <w:t xml:space="preserve"> Molina Quiroga, Eduardo, </w:t>
      </w:r>
      <w:r w:rsidR="004704E7" w:rsidRPr="002F625A">
        <w:rPr>
          <w:sz w:val="20"/>
          <w:szCs w:val="20"/>
        </w:rPr>
        <w:t>“</w:t>
      </w:r>
      <w:r w:rsidRPr="002F625A">
        <w:rPr>
          <w:sz w:val="20"/>
          <w:szCs w:val="20"/>
        </w:rPr>
        <w:t>Rechazo de una cautelar innovativa contra buscadores de Internet</w:t>
      </w:r>
      <w:r w:rsidR="004704E7" w:rsidRPr="002F625A">
        <w:rPr>
          <w:sz w:val="20"/>
          <w:szCs w:val="20"/>
        </w:rPr>
        <w:t>”</w:t>
      </w:r>
      <w:r w:rsidRPr="002F625A">
        <w:rPr>
          <w:sz w:val="20"/>
          <w:szCs w:val="20"/>
        </w:rPr>
        <w:t>, LA LEY, 2014-F, 454.</w:t>
      </w:r>
    </w:p>
  </w:footnote>
  <w:footnote w:id="47">
    <w:p w14:paraId="40669D6B" w14:textId="158CC291" w:rsidR="00E95247" w:rsidRPr="002F625A" w:rsidRDefault="00E95247" w:rsidP="0066097B">
      <w:pPr>
        <w:jc w:val="both"/>
        <w:rPr>
          <w:sz w:val="20"/>
          <w:szCs w:val="20"/>
        </w:rPr>
      </w:pPr>
      <w:r w:rsidRPr="002F625A">
        <w:rPr>
          <w:rStyle w:val="Refdenotaalpie"/>
          <w:sz w:val="20"/>
          <w:szCs w:val="20"/>
        </w:rPr>
        <w:footnoteRef/>
      </w:r>
      <w:r w:rsidRPr="002F625A">
        <w:rPr>
          <w:sz w:val="20"/>
          <w:szCs w:val="20"/>
        </w:rPr>
        <w:t xml:space="preserve"> Basterra, Marcela I. El derecho a la imagen y el alcance de la responsabilidad de los buscadores de internet. La necesidad de una legislación acorde, LA LEY 14/08/2018, Cita Online: AR/DOC/1383/2018.</w:t>
      </w:r>
    </w:p>
  </w:footnote>
  <w:footnote w:id="48">
    <w:p w14:paraId="71E7E231" w14:textId="651CFE26" w:rsidR="00E95247" w:rsidRPr="002F625A" w:rsidRDefault="00E95247" w:rsidP="0065392B">
      <w:pPr>
        <w:jc w:val="both"/>
        <w:rPr>
          <w:sz w:val="20"/>
          <w:szCs w:val="20"/>
        </w:rPr>
      </w:pPr>
      <w:r w:rsidRPr="002F625A">
        <w:rPr>
          <w:rStyle w:val="Refdenotaalpie"/>
          <w:sz w:val="20"/>
          <w:szCs w:val="20"/>
        </w:rPr>
        <w:footnoteRef/>
      </w:r>
      <w:r w:rsidRPr="002F625A">
        <w:rPr>
          <w:sz w:val="20"/>
          <w:szCs w:val="20"/>
        </w:rPr>
        <w:t xml:space="preserve"> TJUE, “</w:t>
      </w:r>
      <w:r w:rsidRPr="002F625A">
        <w:rPr>
          <w:i/>
          <w:iCs/>
          <w:sz w:val="20"/>
          <w:szCs w:val="20"/>
        </w:rPr>
        <w:t>Google Spain SL y Google Inc. vs. Agencia Española de Protección de Datos (AEPD) y Mario Costeja González</w:t>
      </w:r>
      <w:r w:rsidRPr="002F625A">
        <w:rPr>
          <w:sz w:val="20"/>
          <w:szCs w:val="20"/>
        </w:rPr>
        <w:t>”, sentencia del 13/5/2014.</w:t>
      </w:r>
    </w:p>
  </w:footnote>
  <w:footnote w:id="49">
    <w:p w14:paraId="22020D68" w14:textId="4D2FDC81" w:rsidR="00E95247" w:rsidRPr="00873693" w:rsidRDefault="00E95247" w:rsidP="0065392B">
      <w:pPr>
        <w:jc w:val="both"/>
        <w:rPr>
          <w:sz w:val="20"/>
          <w:szCs w:val="20"/>
          <w:lang w:val="en-US"/>
        </w:rPr>
      </w:pPr>
      <w:r w:rsidRPr="002F625A">
        <w:rPr>
          <w:rStyle w:val="Refdenotaalpie"/>
          <w:sz w:val="20"/>
          <w:szCs w:val="20"/>
        </w:rPr>
        <w:footnoteRef/>
      </w:r>
      <w:r w:rsidRPr="00873693">
        <w:rPr>
          <w:sz w:val="20"/>
          <w:szCs w:val="20"/>
          <w:lang w:val="en-US"/>
        </w:rPr>
        <w:t xml:space="preserve"> Pino, Giorgio, “The Right to Personal Identity en Italian Private Law: Constitutional Interpretation and Judge-Made Rights”, en Van Hoecke Mark y Ost, Francois (Eds.), The Harmonisation of European Private Law, Bruselas, Hart Publishing, 2000, p. 237.</w:t>
      </w:r>
    </w:p>
  </w:footnote>
  <w:footnote w:id="50">
    <w:p w14:paraId="44EEAB90" w14:textId="4FE0263E" w:rsidR="00E95247" w:rsidRPr="002F625A" w:rsidRDefault="00E95247" w:rsidP="0065392B">
      <w:pPr>
        <w:jc w:val="both"/>
        <w:rPr>
          <w:sz w:val="20"/>
          <w:szCs w:val="20"/>
        </w:rPr>
      </w:pPr>
      <w:r w:rsidRPr="002F625A">
        <w:rPr>
          <w:rStyle w:val="Refdenotaalpie"/>
          <w:sz w:val="20"/>
          <w:szCs w:val="20"/>
        </w:rPr>
        <w:footnoteRef/>
      </w:r>
      <w:r w:rsidRPr="002F625A">
        <w:rPr>
          <w:sz w:val="20"/>
          <w:szCs w:val="20"/>
        </w:rPr>
        <w:t xml:space="preserve"> Rodotà, Stefano, Riservatezza, VII Appendice , Enciclopedia Italiana, Italia, 2007, p.79.</w:t>
      </w:r>
    </w:p>
  </w:footnote>
  <w:footnote w:id="51">
    <w:p w14:paraId="1EE09F61" w14:textId="4C1322B8" w:rsidR="00E95247" w:rsidRPr="002F625A" w:rsidRDefault="00E95247" w:rsidP="0065392B">
      <w:pPr>
        <w:jc w:val="both"/>
        <w:rPr>
          <w:sz w:val="20"/>
          <w:szCs w:val="20"/>
        </w:rPr>
      </w:pPr>
      <w:r w:rsidRPr="002F625A">
        <w:rPr>
          <w:rStyle w:val="Refdenotaalpie"/>
          <w:sz w:val="20"/>
          <w:szCs w:val="20"/>
        </w:rPr>
        <w:footnoteRef/>
      </w:r>
      <w:r w:rsidRPr="002F625A">
        <w:rPr>
          <w:sz w:val="20"/>
          <w:szCs w:val="20"/>
        </w:rPr>
        <w:t xml:space="preserve"> Gozaíni, Osvaldo A., El derecho de amparo. Los nuevos derechos y garantías del artículo 43 de la Constitución Nacional, Buenos Aires, Editorial Depalma 1995, p. 40.</w:t>
      </w:r>
    </w:p>
  </w:footnote>
  <w:footnote w:id="52">
    <w:p w14:paraId="4122BE47" w14:textId="475DF4A2" w:rsidR="00E95247" w:rsidRPr="002F625A" w:rsidRDefault="00E95247" w:rsidP="00530310">
      <w:pPr>
        <w:jc w:val="both"/>
        <w:rPr>
          <w:sz w:val="20"/>
          <w:szCs w:val="20"/>
        </w:rPr>
      </w:pPr>
      <w:r w:rsidRPr="002F625A">
        <w:rPr>
          <w:rStyle w:val="Refdenotaalpie"/>
          <w:sz w:val="20"/>
          <w:szCs w:val="20"/>
        </w:rPr>
        <w:footnoteRef/>
      </w:r>
      <w:r w:rsidRPr="002F625A">
        <w:rPr>
          <w:sz w:val="20"/>
          <w:szCs w:val="20"/>
        </w:rPr>
        <w:t xml:space="preserve"> Cámara Nacional de Apelaciones en lo Civil de la Capital Federal, Sala H, “</w:t>
      </w:r>
      <w:r w:rsidRPr="002F625A">
        <w:rPr>
          <w:i/>
          <w:iCs/>
          <w:sz w:val="20"/>
          <w:szCs w:val="20"/>
        </w:rPr>
        <w:t>Denegri, Natalia Ruth c/ Google Inc. s/ Derechos Personalísimos</w:t>
      </w:r>
      <w:r w:rsidRPr="002F625A">
        <w:rPr>
          <w:sz w:val="20"/>
          <w:szCs w:val="20"/>
        </w:rPr>
        <w:t>” (expediente CIV 50016/2016), sentencia del 10/08/2020.</w:t>
      </w:r>
    </w:p>
  </w:footnote>
  <w:footnote w:id="53">
    <w:p w14:paraId="76DAF69D" w14:textId="61E8AC84" w:rsidR="00E95247" w:rsidRPr="002F625A" w:rsidRDefault="00E95247" w:rsidP="00530310">
      <w:pPr>
        <w:jc w:val="both"/>
        <w:rPr>
          <w:sz w:val="20"/>
          <w:szCs w:val="20"/>
        </w:rPr>
      </w:pPr>
      <w:r w:rsidRPr="002F625A">
        <w:rPr>
          <w:rStyle w:val="Refdenotaalpie"/>
          <w:sz w:val="20"/>
          <w:szCs w:val="20"/>
        </w:rPr>
        <w:footnoteRef/>
      </w:r>
      <w:r w:rsidRPr="002F625A">
        <w:rPr>
          <w:sz w:val="20"/>
          <w:szCs w:val="20"/>
        </w:rPr>
        <w:t xml:space="preserve"> CSJN,</w:t>
      </w:r>
      <w:r w:rsidR="00D55D2C" w:rsidRPr="002F625A">
        <w:rPr>
          <w:sz w:val="20"/>
          <w:szCs w:val="20"/>
        </w:rPr>
        <w:t xml:space="preserve"> “</w:t>
      </w:r>
      <w:r w:rsidR="00D55D2C" w:rsidRPr="002F625A">
        <w:rPr>
          <w:i/>
          <w:iCs/>
          <w:sz w:val="20"/>
          <w:szCs w:val="20"/>
        </w:rPr>
        <w:t>Gimbutas, Carolina Valeria c</w:t>
      </w:r>
      <w:r w:rsidR="00320E38" w:rsidRPr="002F625A">
        <w:rPr>
          <w:i/>
          <w:iCs/>
          <w:sz w:val="20"/>
          <w:szCs w:val="20"/>
        </w:rPr>
        <w:t xml:space="preserve">/ </w:t>
      </w:r>
      <w:r w:rsidR="00D55D2C" w:rsidRPr="002F625A">
        <w:rPr>
          <w:i/>
          <w:iCs/>
          <w:sz w:val="20"/>
          <w:szCs w:val="20"/>
        </w:rPr>
        <w:t>Google Inc. s</w:t>
      </w:r>
      <w:r w:rsidR="00320E38" w:rsidRPr="002F625A">
        <w:rPr>
          <w:i/>
          <w:iCs/>
          <w:sz w:val="20"/>
          <w:szCs w:val="20"/>
        </w:rPr>
        <w:t>/</w:t>
      </w:r>
      <w:r w:rsidR="00D55D2C" w:rsidRPr="002F625A">
        <w:rPr>
          <w:i/>
          <w:iCs/>
          <w:sz w:val="20"/>
          <w:szCs w:val="20"/>
        </w:rPr>
        <w:t xml:space="preserve"> daños y perjuicios</w:t>
      </w:r>
      <w:r w:rsidRPr="002F625A">
        <w:rPr>
          <w:sz w:val="20"/>
          <w:szCs w:val="20"/>
        </w:rPr>
        <w:t>”, sentencia del 12/09/2017.</w:t>
      </w:r>
    </w:p>
  </w:footnote>
  <w:footnote w:id="54">
    <w:p w14:paraId="7DFF62EA" w14:textId="38F4439D" w:rsidR="00E95247" w:rsidRPr="002F625A" w:rsidRDefault="00E95247" w:rsidP="00530310">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w:t>
      </w:r>
      <w:r w:rsidR="00530310" w:rsidRPr="002F625A">
        <w:rPr>
          <w:rFonts w:ascii="Times New Roman" w:hAnsi="Times New Roman" w:cs="Times New Roman"/>
        </w:rPr>
        <w:t>CSJN, “</w:t>
      </w:r>
      <w:r w:rsidR="00530310" w:rsidRPr="002F625A">
        <w:rPr>
          <w:rFonts w:ascii="Times New Roman" w:hAnsi="Times New Roman" w:cs="Times New Roman"/>
          <w:i/>
          <w:iCs/>
        </w:rPr>
        <w:t>Campillay, Julio César c/ La Razón y otros</w:t>
      </w:r>
      <w:r w:rsidR="00530310" w:rsidRPr="002F625A">
        <w:rPr>
          <w:rFonts w:ascii="Times New Roman" w:hAnsi="Times New Roman" w:cs="Times New Roman"/>
        </w:rPr>
        <w:t>” , sentencia del 15/05/1986.</w:t>
      </w:r>
    </w:p>
  </w:footnote>
  <w:footnote w:id="55">
    <w:p w14:paraId="7767D20B" w14:textId="65D582A4" w:rsidR="00D55D2C" w:rsidRPr="002F625A" w:rsidRDefault="00D55D2C" w:rsidP="00530310">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w:t>
      </w:r>
      <w:r w:rsidR="00530310" w:rsidRPr="002F625A">
        <w:rPr>
          <w:rFonts w:ascii="Times New Roman" w:hAnsi="Times New Roman" w:cs="Times New Roman"/>
        </w:rPr>
        <w:t>CSJN, “</w:t>
      </w:r>
      <w:r w:rsidR="00530310" w:rsidRPr="002F625A">
        <w:rPr>
          <w:rFonts w:ascii="Times New Roman" w:hAnsi="Times New Roman" w:cs="Times New Roman"/>
          <w:i/>
          <w:iCs/>
        </w:rPr>
        <w:t>Ponzetti de Balbín c/Editorial Atántida S.A</w:t>
      </w:r>
      <w:r w:rsidR="00530310" w:rsidRPr="002F625A">
        <w:rPr>
          <w:rFonts w:ascii="Times New Roman" w:hAnsi="Times New Roman" w:cs="Times New Roman"/>
        </w:rPr>
        <w:t>”, sentencia del 11/12/1984.</w:t>
      </w:r>
    </w:p>
  </w:footnote>
  <w:footnote w:id="56">
    <w:p w14:paraId="277EEECA" w14:textId="162F36AD" w:rsidR="00146952" w:rsidRPr="002F625A" w:rsidRDefault="00146952" w:rsidP="00530310">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00D55D2C" w:rsidRPr="002F625A">
        <w:rPr>
          <w:rFonts w:ascii="Times New Roman" w:hAnsi="Times New Roman" w:cs="Times New Roman"/>
        </w:rPr>
        <w:t xml:space="preserve"> </w:t>
      </w:r>
      <w:r w:rsidR="00530310" w:rsidRPr="002F625A">
        <w:rPr>
          <w:rFonts w:ascii="Times New Roman" w:hAnsi="Times New Roman" w:cs="Times New Roman"/>
        </w:rPr>
        <w:t xml:space="preserve">Ampliar de </w:t>
      </w:r>
      <w:r w:rsidRPr="002F625A">
        <w:rPr>
          <w:rFonts w:ascii="Times New Roman" w:hAnsi="Times New Roman" w:cs="Times New Roman"/>
        </w:rPr>
        <w:t>B</w:t>
      </w:r>
      <w:r w:rsidR="005E7682" w:rsidRPr="002F625A">
        <w:rPr>
          <w:rFonts w:ascii="Times New Roman" w:hAnsi="Times New Roman" w:cs="Times New Roman"/>
        </w:rPr>
        <w:t>asterra, Marcela I. Derecho a la información vs. Derecho a la intimidad, Rubinzal Culzoni, Santa Fe, 2012</w:t>
      </w:r>
      <w:r w:rsidRPr="002F625A">
        <w:rPr>
          <w:rFonts w:ascii="Times New Roman" w:hAnsi="Times New Roman" w:cs="Times New Roman"/>
        </w:rPr>
        <w:t xml:space="preserve">. </w:t>
      </w:r>
    </w:p>
  </w:footnote>
  <w:footnote w:id="57">
    <w:p w14:paraId="052D8985" w14:textId="51A2D07F" w:rsidR="003C2D77" w:rsidRPr="002F625A" w:rsidRDefault="003C2D77" w:rsidP="003C2D77">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CSJN, “</w:t>
      </w:r>
      <w:r w:rsidRPr="002F625A">
        <w:rPr>
          <w:rFonts w:ascii="Times New Roman" w:hAnsi="Times New Roman" w:cs="Times New Roman"/>
          <w:i/>
        </w:rPr>
        <w:t>Denegri, Natalia Ruth c/ Google Inc. s/ derechos personalísimos: Acciones relacionadas</w:t>
      </w:r>
      <w:r w:rsidRPr="002F625A">
        <w:rPr>
          <w:rFonts w:ascii="Times New Roman" w:hAnsi="Times New Roman" w:cs="Times New Roman"/>
        </w:rPr>
        <w:t>”</w:t>
      </w:r>
      <w:r w:rsidR="00D55D2C" w:rsidRPr="002F625A">
        <w:rPr>
          <w:rFonts w:ascii="Times New Roman" w:hAnsi="Times New Roman" w:cs="Times New Roman"/>
        </w:rPr>
        <w:t>, sentencia del</w:t>
      </w:r>
      <w:r w:rsidRPr="002F625A">
        <w:rPr>
          <w:rFonts w:ascii="Times New Roman" w:hAnsi="Times New Roman" w:cs="Times New Roman"/>
        </w:rPr>
        <w:t xml:space="preserve"> 28/06/2022, considerando 7º y siguientes.</w:t>
      </w:r>
    </w:p>
  </w:footnote>
  <w:footnote w:id="58">
    <w:p w14:paraId="70E67123" w14:textId="77777777" w:rsidR="006476D2" w:rsidRPr="002F625A" w:rsidRDefault="006476D2" w:rsidP="006476D2">
      <w:pPr>
        <w:pStyle w:val="Textonotapie"/>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Ibídem, considerandos 14 y 15. </w:t>
      </w:r>
    </w:p>
  </w:footnote>
  <w:footnote w:id="59">
    <w:p w14:paraId="6CA5752C" w14:textId="0C932EF2" w:rsidR="00697E33" w:rsidRPr="002F625A" w:rsidRDefault="00697E33" w:rsidP="005023DF">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Ibídem, considerando 17.</w:t>
      </w:r>
    </w:p>
  </w:footnote>
  <w:footnote w:id="60">
    <w:p w14:paraId="66EF1956" w14:textId="09EF2A38" w:rsidR="0061116D" w:rsidRPr="002F625A" w:rsidRDefault="0061116D" w:rsidP="005023DF">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w:t>
      </w:r>
      <w:r w:rsidR="005023DF" w:rsidRPr="002F625A">
        <w:rPr>
          <w:rFonts w:ascii="Times New Roman" w:hAnsi="Times New Roman" w:cs="Times New Roman"/>
        </w:rPr>
        <w:t>Ibídem, considerando 18.</w:t>
      </w:r>
    </w:p>
  </w:footnote>
  <w:footnote w:id="61">
    <w:p w14:paraId="2B9D367E" w14:textId="1D59EEE0" w:rsidR="005023DF" w:rsidRPr="002F625A" w:rsidRDefault="005023DF" w:rsidP="005023DF">
      <w:pPr>
        <w:pStyle w:val="Textonotapie"/>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Ibídem, considerando 19. </w:t>
      </w:r>
    </w:p>
  </w:footnote>
  <w:footnote w:id="62">
    <w:p w14:paraId="499DBAD3" w14:textId="77777777" w:rsidR="0047743B" w:rsidRPr="002F625A" w:rsidRDefault="0047743B" w:rsidP="0047743B">
      <w:pPr>
        <w:pStyle w:val="Textonotapie"/>
        <w:spacing w:line="276" w:lineRule="auto"/>
        <w:contextualSpacing/>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Reglamento (UE) 2016/679 del Parlamento Europeo y del Consejo relativo a la protección de las personas físicas en lo que respecta al tratamiento de datos personales y a la libre circulación de estos datos, sancionado el 27/04/2016.</w:t>
      </w:r>
    </w:p>
  </w:footnote>
  <w:footnote w:id="63">
    <w:p w14:paraId="11C784E0" w14:textId="46EA4F22" w:rsidR="0047743B" w:rsidRPr="002F625A" w:rsidRDefault="0047743B" w:rsidP="0047743B">
      <w:pPr>
        <w:pStyle w:val="Textonotapie"/>
        <w:spacing w:line="276" w:lineRule="auto"/>
        <w:jc w:val="both"/>
        <w:rPr>
          <w:rFonts w:ascii="Times New Roman" w:hAnsi="Times New Roman" w:cs="Times New Roman"/>
        </w:rPr>
      </w:pPr>
      <w:r w:rsidRPr="002F625A">
        <w:rPr>
          <w:rStyle w:val="Refdenotaalpie"/>
          <w:rFonts w:ascii="Times New Roman" w:hAnsi="Times New Roman" w:cs="Times New Roman"/>
        </w:rPr>
        <w:footnoteRef/>
      </w:r>
      <w:r w:rsidRPr="002F625A">
        <w:rPr>
          <w:rFonts w:ascii="Times New Roman" w:hAnsi="Times New Roman" w:cs="Times New Roman"/>
        </w:rPr>
        <w:t xml:space="preserve"> La </w:t>
      </w:r>
      <w:r w:rsidRPr="002F625A">
        <w:rPr>
          <w:rFonts w:ascii="Times New Roman" w:eastAsia="Times New Roman" w:hAnsi="Times New Roman" w:cs="Times New Roman"/>
          <w:i/>
        </w:rPr>
        <w:t>APEC Privacy Framework</w:t>
      </w:r>
      <w:r w:rsidRPr="002F625A">
        <w:rPr>
          <w:rFonts w:ascii="Times New Roman" w:hAnsi="Times New Roman" w:cs="Times New Roman"/>
        </w:rPr>
        <w:t xml:space="preserve"> tiene como objetivo promover al comercio electrónico en toda la región de Asia Pacífico, en concordancia con las Directrices de la Organización para la Cooperación y el Desarrollo Económicos (OCDE) sobre la protección de la privacidad y los flujos transfronterizos de datos personales. Fue publicada en agosto de 2017. Puede ser consultada </w:t>
      </w:r>
      <w:r w:rsidRPr="002F625A">
        <w:rPr>
          <w:rFonts w:ascii="Times New Roman" w:hAnsi="Times New Roman" w:cs="Times New Roman"/>
          <w:color w:val="000000" w:themeColor="text1"/>
        </w:rPr>
        <w:t>en https://www.apec.org/.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6021E6"/>
    <w:multiLevelType w:val="hybridMultilevel"/>
    <w:tmpl w:val="760872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0787444"/>
    <w:multiLevelType w:val="hybridMultilevel"/>
    <w:tmpl w:val="B0960D76"/>
    <w:lvl w:ilvl="0" w:tplc="40B602D2">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49947829"/>
    <w:multiLevelType w:val="hybridMultilevel"/>
    <w:tmpl w:val="B622B35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C3E2585"/>
    <w:multiLevelType w:val="hybridMultilevel"/>
    <w:tmpl w:val="5AA604E8"/>
    <w:lvl w:ilvl="0" w:tplc="D13692D4">
      <w:start w:val="1"/>
      <w:numFmt w:val="decimal"/>
      <w:lvlText w:val="%1."/>
      <w:lvlJc w:val="left"/>
      <w:pPr>
        <w:ind w:left="1060" w:hanging="360"/>
      </w:pPr>
      <w:rPr>
        <w:rFonts w:eastAsiaTheme="minorHAnsi" w:hint="default"/>
      </w:rPr>
    </w:lvl>
    <w:lvl w:ilvl="1" w:tplc="080A0019" w:tentative="1">
      <w:start w:val="1"/>
      <w:numFmt w:val="lowerLetter"/>
      <w:lvlText w:val="%2."/>
      <w:lvlJc w:val="left"/>
      <w:pPr>
        <w:ind w:left="1780" w:hanging="360"/>
      </w:pPr>
    </w:lvl>
    <w:lvl w:ilvl="2" w:tplc="080A001B" w:tentative="1">
      <w:start w:val="1"/>
      <w:numFmt w:val="lowerRoman"/>
      <w:lvlText w:val="%3."/>
      <w:lvlJc w:val="right"/>
      <w:pPr>
        <w:ind w:left="2500" w:hanging="180"/>
      </w:pPr>
    </w:lvl>
    <w:lvl w:ilvl="3" w:tplc="080A000F" w:tentative="1">
      <w:start w:val="1"/>
      <w:numFmt w:val="decimal"/>
      <w:lvlText w:val="%4."/>
      <w:lvlJc w:val="left"/>
      <w:pPr>
        <w:ind w:left="3220" w:hanging="360"/>
      </w:pPr>
    </w:lvl>
    <w:lvl w:ilvl="4" w:tplc="080A0019" w:tentative="1">
      <w:start w:val="1"/>
      <w:numFmt w:val="lowerLetter"/>
      <w:lvlText w:val="%5."/>
      <w:lvlJc w:val="left"/>
      <w:pPr>
        <w:ind w:left="3940" w:hanging="360"/>
      </w:pPr>
    </w:lvl>
    <w:lvl w:ilvl="5" w:tplc="080A001B" w:tentative="1">
      <w:start w:val="1"/>
      <w:numFmt w:val="lowerRoman"/>
      <w:lvlText w:val="%6."/>
      <w:lvlJc w:val="right"/>
      <w:pPr>
        <w:ind w:left="4660" w:hanging="180"/>
      </w:pPr>
    </w:lvl>
    <w:lvl w:ilvl="6" w:tplc="080A000F" w:tentative="1">
      <w:start w:val="1"/>
      <w:numFmt w:val="decimal"/>
      <w:lvlText w:val="%7."/>
      <w:lvlJc w:val="left"/>
      <w:pPr>
        <w:ind w:left="5380" w:hanging="360"/>
      </w:pPr>
    </w:lvl>
    <w:lvl w:ilvl="7" w:tplc="080A0019" w:tentative="1">
      <w:start w:val="1"/>
      <w:numFmt w:val="lowerLetter"/>
      <w:lvlText w:val="%8."/>
      <w:lvlJc w:val="left"/>
      <w:pPr>
        <w:ind w:left="6100" w:hanging="360"/>
      </w:pPr>
    </w:lvl>
    <w:lvl w:ilvl="8" w:tplc="080A001B" w:tentative="1">
      <w:start w:val="1"/>
      <w:numFmt w:val="lowerRoman"/>
      <w:lvlText w:val="%9."/>
      <w:lvlJc w:val="right"/>
      <w:pPr>
        <w:ind w:left="682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9"/>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D09"/>
    <w:rsid w:val="00011FF1"/>
    <w:rsid w:val="00014A05"/>
    <w:rsid w:val="00017E36"/>
    <w:rsid w:val="000206E4"/>
    <w:rsid w:val="000342F3"/>
    <w:rsid w:val="00042B14"/>
    <w:rsid w:val="00047F01"/>
    <w:rsid w:val="0005174D"/>
    <w:rsid w:val="000529B5"/>
    <w:rsid w:val="00061151"/>
    <w:rsid w:val="000658F8"/>
    <w:rsid w:val="00065B29"/>
    <w:rsid w:val="0007475C"/>
    <w:rsid w:val="00083F1A"/>
    <w:rsid w:val="00086D7E"/>
    <w:rsid w:val="000F1116"/>
    <w:rsid w:val="000F1563"/>
    <w:rsid w:val="00104E56"/>
    <w:rsid w:val="00145C04"/>
    <w:rsid w:val="00146952"/>
    <w:rsid w:val="00157897"/>
    <w:rsid w:val="001647F8"/>
    <w:rsid w:val="001671B8"/>
    <w:rsid w:val="00180A1B"/>
    <w:rsid w:val="001901BE"/>
    <w:rsid w:val="001938D0"/>
    <w:rsid w:val="001D3AD2"/>
    <w:rsid w:val="001F7733"/>
    <w:rsid w:val="002060F5"/>
    <w:rsid w:val="00206373"/>
    <w:rsid w:val="0021128A"/>
    <w:rsid w:val="0023154F"/>
    <w:rsid w:val="00237CDC"/>
    <w:rsid w:val="00250385"/>
    <w:rsid w:val="00264225"/>
    <w:rsid w:val="002642CD"/>
    <w:rsid w:val="002656F1"/>
    <w:rsid w:val="00285737"/>
    <w:rsid w:val="00291D3D"/>
    <w:rsid w:val="00296102"/>
    <w:rsid w:val="002A72A2"/>
    <w:rsid w:val="002B6616"/>
    <w:rsid w:val="002B76B1"/>
    <w:rsid w:val="002C0188"/>
    <w:rsid w:val="002C4019"/>
    <w:rsid w:val="002E4441"/>
    <w:rsid w:val="002F625A"/>
    <w:rsid w:val="00300D62"/>
    <w:rsid w:val="00307A09"/>
    <w:rsid w:val="00320E38"/>
    <w:rsid w:val="00337E5D"/>
    <w:rsid w:val="003548B5"/>
    <w:rsid w:val="00387E24"/>
    <w:rsid w:val="003B27AE"/>
    <w:rsid w:val="003C2D77"/>
    <w:rsid w:val="003C459B"/>
    <w:rsid w:val="003E70B6"/>
    <w:rsid w:val="00404899"/>
    <w:rsid w:val="004073AF"/>
    <w:rsid w:val="00417037"/>
    <w:rsid w:val="004260E5"/>
    <w:rsid w:val="004475DE"/>
    <w:rsid w:val="004566EE"/>
    <w:rsid w:val="004659C9"/>
    <w:rsid w:val="004704E7"/>
    <w:rsid w:val="0047743B"/>
    <w:rsid w:val="004A6F1F"/>
    <w:rsid w:val="004C4725"/>
    <w:rsid w:val="004D3343"/>
    <w:rsid w:val="004D66FF"/>
    <w:rsid w:val="005023DF"/>
    <w:rsid w:val="00524B3E"/>
    <w:rsid w:val="00530310"/>
    <w:rsid w:val="005320E9"/>
    <w:rsid w:val="0053409F"/>
    <w:rsid w:val="005352BE"/>
    <w:rsid w:val="005444A6"/>
    <w:rsid w:val="00550408"/>
    <w:rsid w:val="0055585B"/>
    <w:rsid w:val="0057392E"/>
    <w:rsid w:val="005762E1"/>
    <w:rsid w:val="0058668E"/>
    <w:rsid w:val="005B30AB"/>
    <w:rsid w:val="005B6CF7"/>
    <w:rsid w:val="005C0B3A"/>
    <w:rsid w:val="005C66A0"/>
    <w:rsid w:val="005D5E07"/>
    <w:rsid w:val="005E1F33"/>
    <w:rsid w:val="005E7682"/>
    <w:rsid w:val="0061116D"/>
    <w:rsid w:val="00617C48"/>
    <w:rsid w:val="006330FB"/>
    <w:rsid w:val="00646D0A"/>
    <w:rsid w:val="006476D2"/>
    <w:rsid w:val="00650047"/>
    <w:rsid w:val="0065392B"/>
    <w:rsid w:val="0066097B"/>
    <w:rsid w:val="00660C35"/>
    <w:rsid w:val="00666F27"/>
    <w:rsid w:val="00672D95"/>
    <w:rsid w:val="006764ED"/>
    <w:rsid w:val="00677A14"/>
    <w:rsid w:val="00683F52"/>
    <w:rsid w:val="0069050B"/>
    <w:rsid w:val="006960CC"/>
    <w:rsid w:val="0069661E"/>
    <w:rsid w:val="00697E33"/>
    <w:rsid w:val="006B3DFC"/>
    <w:rsid w:val="006C10F4"/>
    <w:rsid w:val="006C7E6A"/>
    <w:rsid w:val="006D1660"/>
    <w:rsid w:val="006F7EBB"/>
    <w:rsid w:val="00702488"/>
    <w:rsid w:val="00706D16"/>
    <w:rsid w:val="007422DC"/>
    <w:rsid w:val="0074272A"/>
    <w:rsid w:val="0076206A"/>
    <w:rsid w:val="00762166"/>
    <w:rsid w:val="00776167"/>
    <w:rsid w:val="007810CB"/>
    <w:rsid w:val="0078504B"/>
    <w:rsid w:val="007863E1"/>
    <w:rsid w:val="007A73DD"/>
    <w:rsid w:val="007B0B5C"/>
    <w:rsid w:val="007C08C0"/>
    <w:rsid w:val="007C352B"/>
    <w:rsid w:val="007F5644"/>
    <w:rsid w:val="00807FDF"/>
    <w:rsid w:val="0081096D"/>
    <w:rsid w:val="008312CC"/>
    <w:rsid w:val="0084654B"/>
    <w:rsid w:val="00873150"/>
    <w:rsid w:val="00873693"/>
    <w:rsid w:val="00882E68"/>
    <w:rsid w:val="008938F5"/>
    <w:rsid w:val="008A30FB"/>
    <w:rsid w:val="008C021C"/>
    <w:rsid w:val="008C288D"/>
    <w:rsid w:val="008C7467"/>
    <w:rsid w:val="008D5D3E"/>
    <w:rsid w:val="00902605"/>
    <w:rsid w:val="00930AF8"/>
    <w:rsid w:val="009360B8"/>
    <w:rsid w:val="0093797F"/>
    <w:rsid w:val="00957199"/>
    <w:rsid w:val="00960177"/>
    <w:rsid w:val="00965893"/>
    <w:rsid w:val="009705DE"/>
    <w:rsid w:val="00985CAB"/>
    <w:rsid w:val="00990014"/>
    <w:rsid w:val="009B51F0"/>
    <w:rsid w:val="009C2A33"/>
    <w:rsid w:val="009D0AC5"/>
    <w:rsid w:val="009D2A3E"/>
    <w:rsid w:val="009D7E58"/>
    <w:rsid w:val="009E5B0B"/>
    <w:rsid w:val="009E5D87"/>
    <w:rsid w:val="009F096A"/>
    <w:rsid w:val="00A2125B"/>
    <w:rsid w:val="00A21BEA"/>
    <w:rsid w:val="00A26125"/>
    <w:rsid w:val="00A265FC"/>
    <w:rsid w:val="00A3239E"/>
    <w:rsid w:val="00A44DF9"/>
    <w:rsid w:val="00A51667"/>
    <w:rsid w:val="00A52DEE"/>
    <w:rsid w:val="00A9489D"/>
    <w:rsid w:val="00A94E23"/>
    <w:rsid w:val="00AC34EA"/>
    <w:rsid w:val="00B072C1"/>
    <w:rsid w:val="00B178D4"/>
    <w:rsid w:val="00B24A12"/>
    <w:rsid w:val="00B3313D"/>
    <w:rsid w:val="00B81DD0"/>
    <w:rsid w:val="00B8638B"/>
    <w:rsid w:val="00B87108"/>
    <w:rsid w:val="00BA6013"/>
    <w:rsid w:val="00BC7670"/>
    <w:rsid w:val="00BC7789"/>
    <w:rsid w:val="00BD1839"/>
    <w:rsid w:val="00C01B05"/>
    <w:rsid w:val="00C47C84"/>
    <w:rsid w:val="00C527D7"/>
    <w:rsid w:val="00C53373"/>
    <w:rsid w:val="00C66507"/>
    <w:rsid w:val="00C82517"/>
    <w:rsid w:val="00C8685E"/>
    <w:rsid w:val="00C92125"/>
    <w:rsid w:val="00CA532F"/>
    <w:rsid w:val="00CB39F2"/>
    <w:rsid w:val="00CC2E4C"/>
    <w:rsid w:val="00CD5157"/>
    <w:rsid w:val="00CF6104"/>
    <w:rsid w:val="00D0695A"/>
    <w:rsid w:val="00D10367"/>
    <w:rsid w:val="00D46576"/>
    <w:rsid w:val="00D46D3E"/>
    <w:rsid w:val="00D55D2C"/>
    <w:rsid w:val="00D641B4"/>
    <w:rsid w:val="00D83FBE"/>
    <w:rsid w:val="00D95D0C"/>
    <w:rsid w:val="00D97092"/>
    <w:rsid w:val="00DA3CAF"/>
    <w:rsid w:val="00DB75FE"/>
    <w:rsid w:val="00DC4769"/>
    <w:rsid w:val="00DE2F41"/>
    <w:rsid w:val="00DF26DC"/>
    <w:rsid w:val="00E105D8"/>
    <w:rsid w:val="00E42BC9"/>
    <w:rsid w:val="00E551E3"/>
    <w:rsid w:val="00E647D8"/>
    <w:rsid w:val="00E6510A"/>
    <w:rsid w:val="00E74975"/>
    <w:rsid w:val="00E77104"/>
    <w:rsid w:val="00E80256"/>
    <w:rsid w:val="00E81DAB"/>
    <w:rsid w:val="00E94132"/>
    <w:rsid w:val="00E95247"/>
    <w:rsid w:val="00EA5AD9"/>
    <w:rsid w:val="00EC2820"/>
    <w:rsid w:val="00EC2D09"/>
    <w:rsid w:val="00EC3989"/>
    <w:rsid w:val="00EC61DE"/>
    <w:rsid w:val="00EC65B0"/>
    <w:rsid w:val="00F16032"/>
    <w:rsid w:val="00F33EB0"/>
    <w:rsid w:val="00F67D97"/>
    <w:rsid w:val="00F757D4"/>
    <w:rsid w:val="00F807B9"/>
    <w:rsid w:val="00FA7DED"/>
    <w:rsid w:val="00FA7E2A"/>
    <w:rsid w:val="00FB1F85"/>
    <w:rsid w:val="00FB3BB5"/>
    <w:rsid w:val="00FB41CA"/>
    <w:rsid w:val="00FB5B4E"/>
    <w:rsid w:val="00FF021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B3D92EA"/>
  <w15:chartTrackingRefBased/>
  <w15:docId w15:val="{2103B909-E206-3043-9AB3-05EB2EA92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A3E"/>
    <w:rPr>
      <w:rFonts w:ascii="Times New Roman" w:eastAsia="Times New Roman" w:hAnsi="Times New Roman" w:cs="Times New Roman"/>
      <w:lang w:val="es-ES_tradnl"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A44DF9"/>
    <w:pPr>
      <w:tabs>
        <w:tab w:val="center" w:pos="4419"/>
        <w:tab w:val="right" w:pos="8838"/>
      </w:tabs>
    </w:pPr>
    <w:rPr>
      <w:rFonts w:asciiTheme="minorHAnsi" w:eastAsiaTheme="minorHAnsi" w:hAnsiTheme="minorHAnsi" w:cstheme="minorBidi"/>
      <w:lang w:eastAsia="en-US"/>
    </w:rPr>
  </w:style>
  <w:style w:type="character" w:customStyle="1" w:styleId="PiedepginaCar">
    <w:name w:val="Pie de página Car"/>
    <w:basedOn w:val="Fuentedeprrafopredeter"/>
    <w:link w:val="Piedepgina"/>
    <w:uiPriority w:val="99"/>
    <w:rsid w:val="00A44DF9"/>
    <w:rPr>
      <w:lang w:val="es-ES_tradnl"/>
    </w:rPr>
  </w:style>
  <w:style w:type="character" w:styleId="Nmerodepgina">
    <w:name w:val="page number"/>
    <w:basedOn w:val="Fuentedeprrafopredeter"/>
    <w:uiPriority w:val="99"/>
    <w:semiHidden/>
    <w:unhideWhenUsed/>
    <w:rsid w:val="00A44DF9"/>
  </w:style>
  <w:style w:type="paragraph" w:styleId="Prrafodelista">
    <w:name w:val="List Paragraph"/>
    <w:basedOn w:val="Normal"/>
    <w:uiPriority w:val="34"/>
    <w:qFormat/>
    <w:rsid w:val="00FA7DED"/>
    <w:pPr>
      <w:ind w:left="720"/>
      <w:contextualSpacing/>
    </w:pPr>
    <w:rPr>
      <w:rFonts w:asciiTheme="minorHAnsi" w:eastAsiaTheme="minorHAnsi" w:hAnsiTheme="minorHAnsi" w:cstheme="minorBidi"/>
      <w:lang w:eastAsia="en-US"/>
    </w:rPr>
  </w:style>
  <w:style w:type="paragraph" w:styleId="Textonotapie">
    <w:name w:val="footnote text"/>
    <w:aliases w:val="Car Car,Footnote reference,FA Fu,Footnote Text Char Char Char Char Char,Footnote Text Char Char Char Char,Footnote Text Char Char Char, Car Car"/>
    <w:basedOn w:val="Normal"/>
    <w:link w:val="TextonotapieCar"/>
    <w:uiPriority w:val="99"/>
    <w:unhideWhenUsed/>
    <w:rsid w:val="008D5D3E"/>
    <w:rPr>
      <w:rFonts w:asciiTheme="minorHAnsi" w:eastAsiaTheme="minorHAnsi" w:hAnsiTheme="minorHAnsi" w:cstheme="minorBidi"/>
      <w:sz w:val="20"/>
      <w:szCs w:val="20"/>
      <w:lang w:eastAsia="en-US"/>
    </w:rPr>
  </w:style>
  <w:style w:type="character" w:customStyle="1" w:styleId="TextonotapieCar">
    <w:name w:val="Texto nota pie Car"/>
    <w:aliases w:val="Car Car Car,Footnote reference Car,FA Fu Car,Footnote Text Char Char Char Char Char Car,Footnote Text Char Char Char Char Car,Footnote Text Char Char Char Car, Car Car Car"/>
    <w:basedOn w:val="Fuentedeprrafopredeter"/>
    <w:link w:val="Textonotapie"/>
    <w:uiPriority w:val="99"/>
    <w:rsid w:val="008D5D3E"/>
    <w:rPr>
      <w:sz w:val="20"/>
      <w:szCs w:val="20"/>
      <w:lang w:val="es-ES_tradnl"/>
    </w:rPr>
  </w:style>
  <w:style w:type="character" w:styleId="Refdenotaalpie">
    <w:name w:val="footnote reference"/>
    <w:aliases w:val="Texto de nota al pie"/>
    <w:basedOn w:val="Fuentedeprrafopredeter"/>
    <w:uiPriority w:val="99"/>
    <w:semiHidden/>
    <w:unhideWhenUsed/>
    <w:rsid w:val="008D5D3E"/>
    <w:rPr>
      <w:vertAlign w:val="superscript"/>
    </w:rPr>
  </w:style>
  <w:style w:type="paragraph" w:styleId="NormalWeb">
    <w:name w:val="Normal (Web)"/>
    <w:basedOn w:val="Normal"/>
    <w:uiPriority w:val="99"/>
    <w:unhideWhenUsed/>
    <w:rsid w:val="00C82517"/>
    <w:pPr>
      <w:spacing w:before="100" w:beforeAutospacing="1" w:after="100" w:afterAutospacing="1"/>
    </w:pPr>
  </w:style>
  <w:style w:type="character" w:styleId="Hipervnculo">
    <w:name w:val="Hyperlink"/>
    <w:basedOn w:val="Fuentedeprrafopredeter"/>
    <w:uiPriority w:val="99"/>
    <w:unhideWhenUsed/>
    <w:rsid w:val="00930AF8"/>
    <w:rPr>
      <w:color w:val="0563C1" w:themeColor="hyperlink"/>
      <w:u w:val="single"/>
    </w:rPr>
  </w:style>
  <w:style w:type="character" w:styleId="Mencinsinresolver">
    <w:name w:val="Unresolved Mention"/>
    <w:basedOn w:val="Fuentedeprrafopredeter"/>
    <w:uiPriority w:val="99"/>
    <w:semiHidden/>
    <w:unhideWhenUsed/>
    <w:rsid w:val="00930AF8"/>
    <w:rPr>
      <w:color w:val="605E5C"/>
      <w:shd w:val="clear" w:color="auto" w:fill="E1DFDD"/>
    </w:rPr>
  </w:style>
  <w:style w:type="paragraph" w:styleId="Textonotaalfinal">
    <w:name w:val="endnote text"/>
    <w:basedOn w:val="Normal"/>
    <w:link w:val="TextonotaalfinalCar"/>
    <w:uiPriority w:val="99"/>
    <w:semiHidden/>
    <w:unhideWhenUsed/>
    <w:rsid w:val="00DA3CAF"/>
    <w:rPr>
      <w:sz w:val="20"/>
      <w:szCs w:val="20"/>
    </w:rPr>
  </w:style>
  <w:style w:type="character" w:customStyle="1" w:styleId="TextonotaalfinalCar">
    <w:name w:val="Texto nota al final Car"/>
    <w:basedOn w:val="Fuentedeprrafopredeter"/>
    <w:link w:val="Textonotaalfinal"/>
    <w:uiPriority w:val="99"/>
    <w:semiHidden/>
    <w:rsid w:val="00DA3CAF"/>
    <w:rPr>
      <w:rFonts w:ascii="Times New Roman" w:eastAsia="Times New Roman" w:hAnsi="Times New Roman" w:cs="Times New Roman"/>
      <w:sz w:val="20"/>
      <w:szCs w:val="20"/>
      <w:lang w:eastAsia="es-MX"/>
    </w:rPr>
  </w:style>
  <w:style w:type="character" w:styleId="Refdenotaalfinal">
    <w:name w:val="endnote reference"/>
    <w:basedOn w:val="Fuentedeprrafopredeter"/>
    <w:uiPriority w:val="99"/>
    <w:semiHidden/>
    <w:unhideWhenUsed/>
    <w:rsid w:val="00DA3CAF"/>
    <w:rPr>
      <w:vertAlign w:val="superscript"/>
    </w:rPr>
  </w:style>
  <w:style w:type="paragraph" w:styleId="Encabezado">
    <w:name w:val="header"/>
    <w:basedOn w:val="Normal"/>
    <w:link w:val="EncabezadoCar"/>
    <w:uiPriority w:val="99"/>
    <w:unhideWhenUsed/>
    <w:rsid w:val="00650047"/>
    <w:pPr>
      <w:tabs>
        <w:tab w:val="center" w:pos="4419"/>
        <w:tab w:val="right" w:pos="8838"/>
      </w:tabs>
    </w:pPr>
  </w:style>
  <w:style w:type="character" w:customStyle="1" w:styleId="EncabezadoCar">
    <w:name w:val="Encabezado Car"/>
    <w:basedOn w:val="Fuentedeprrafopredeter"/>
    <w:link w:val="Encabezado"/>
    <w:uiPriority w:val="99"/>
    <w:rsid w:val="00650047"/>
    <w:rPr>
      <w:rFonts w:ascii="Times New Roman" w:eastAsia="Times New Roman" w:hAnsi="Times New Roman" w:cs="Times New Roman"/>
      <w:lang w:val="es-ES_tradnl"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84037">
      <w:bodyDiv w:val="1"/>
      <w:marLeft w:val="0"/>
      <w:marRight w:val="0"/>
      <w:marTop w:val="0"/>
      <w:marBottom w:val="0"/>
      <w:divBdr>
        <w:top w:val="none" w:sz="0" w:space="0" w:color="auto"/>
        <w:left w:val="none" w:sz="0" w:space="0" w:color="auto"/>
        <w:bottom w:val="none" w:sz="0" w:space="0" w:color="auto"/>
        <w:right w:val="none" w:sz="0" w:space="0" w:color="auto"/>
      </w:divBdr>
    </w:div>
    <w:div w:id="11883554">
      <w:bodyDiv w:val="1"/>
      <w:marLeft w:val="0"/>
      <w:marRight w:val="0"/>
      <w:marTop w:val="0"/>
      <w:marBottom w:val="0"/>
      <w:divBdr>
        <w:top w:val="none" w:sz="0" w:space="0" w:color="auto"/>
        <w:left w:val="none" w:sz="0" w:space="0" w:color="auto"/>
        <w:bottom w:val="none" w:sz="0" w:space="0" w:color="auto"/>
        <w:right w:val="none" w:sz="0" w:space="0" w:color="auto"/>
      </w:divBdr>
      <w:divsChild>
        <w:div w:id="259532152">
          <w:marLeft w:val="0"/>
          <w:marRight w:val="0"/>
          <w:marTop w:val="0"/>
          <w:marBottom w:val="0"/>
          <w:divBdr>
            <w:top w:val="none" w:sz="0" w:space="0" w:color="auto"/>
            <w:left w:val="none" w:sz="0" w:space="0" w:color="auto"/>
            <w:bottom w:val="none" w:sz="0" w:space="0" w:color="auto"/>
            <w:right w:val="none" w:sz="0" w:space="0" w:color="auto"/>
          </w:divBdr>
          <w:divsChild>
            <w:div w:id="963735383">
              <w:marLeft w:val="0"/>
              <w:marRight w:val="0"/>
              <w:marTop w:val="0"/>
              <w:marBottom w:val="0"/>
              <w:divBdr>
                <w:top w:val="none" w:sz="0" w:space="0" w:color="auto"/>
                <w:left w:val="none" w:sz="0" w:space="0" w:color="auto"/>
                <w:bottom w:val="none" w:sz="0" w:space="0" w:color="auto"/>
                <w:right w:val="none" w:sz="0" w:space="0" w:color="auto"/>
              </w:divBdr>
              <w:divsChild>
                <w:div w:id="103180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87739">
      <w:bodyDiv w:val="1"/>
      <w:marLeft w:val="0"/>
      <w:marRight w:val="0"/>
      <w:marTop w:val="0"/>
      <w:marBottom w:val="0"/>
      <w:divBdr>
        <w:top w:val="none" w:sz="0" w:space="0" w:color="auto"/>
        <w:left w:val="none" w:sz="0" w:space="0" w:color="auto"/>
        <w:bottom w:val="none" w:sz="0" w:space="0" w:color="auto"/>
        <w:right w:val="none" w:sz="0" w:space="0" w:color="auto"/>
      </w:divBdr>
    </w:div>
    <w:div w:id="52192616">
      <w:bodyDiv w:val="1"/>
      <w:marLeft w:val="0"/>
      <w:marRight w:val="0"/>
      <w:marTop w:val="0"/>
      <w:marBottom w:val="0"/>
      <w:divBdr>
        <w:top w:val="none" w:sz="0" w:space="0" w:color="auto"/>
        <w:left w:val="none" w:sz="0" w:space="0" w:color="auto"/>
        <w:bottom w:val="none" w:sz="0" w:space="0" w:color="auto"/>
        <w:right w:val="none" w:sz="0" w:space="0" w:color="auto"/>
      </w:divBdr>
    </w:div>
    <w:div w:id="57554648">
      <w:bodyDiv w:val="1"/>
      <w:marLeft w:val="0"/>
      <w:marRight w:val="0"/>
      <w:marTop w:val="0"/>
      <w:marBottom w:val="0"/>
      <w:divBdr>
        <w:top w:val="none" w:sz="0" w:space="0" w:color="auto"/>
        <w:left w:val="none" w:sz="0" w:space="0" w:color="auto"/>
        <w:bottom w:val="none" w:sz="0" w:space="0" w:color="auto"/>
        <w:right w:val="none" w:sz="0" w:space="0" w:color="auto"/>
      </w:divBdr>
    </w:div>
    <w:div w:id="87311386">
      <w:bodyDiv w:val="1"/>
      <w:marLeft w:val="0"/>
      <w:marRight w:val="0"/>
      <w:marTop w:val="0"/>
      <w:marBottom w:val="0"/>
      <w:divBdr>
        <w:top w:val="none" w:sz="0" w:space="0" w:color="auto"/>
        <w:left w:val="none" w:sz="0" w:space="0" w:color="auto"/>
        <w:bottom w:val="none" w:sz="0" w:space="0" w:color="auto"/>
        <w:right w:val="none" w:sz="0" w:space="0" w:color="auto"/>
      </w:divBdr>
    </w:div>
    <w:div w:id="124324486">
      <w:bodyDiv w:val="1"/>
      <w:marLeft w:val="0"/>
      <w:marRight w:val="0"/>
      <w:marTop w:val="0"/>
      <w:marBottom w:val="0"/>
      <w:divBdr>
        <w:top w:val="none" w:sz="0" w:space="0" w:color="auto"/>
        <w:left w:val="none" w:sz="0" w:space="0" w:color="auto"/>
        <w:bottom w:val="none" w:sz="0" w:space="0" w:color="auto"/>
        <w:right w:val="none" w:sz="0" w:space="0" w:color="auto"/>
      </w:divBdr>
    </w:div>
    <w:div w:id="131099951">
      <w:bodyDiv w:val="1"/>
      <w:marLeft w:val="0"/>
      <w:marRight w:val="0"/>
      <w:marTop w:val="0"/>
      <w:marBottom w:val="0"/>
      <w:divBdr>
        <w:top w:val="none" w:sz="0" w:space="0" w:color="auto"/>
        <w:left w:val="none" w:sz="0" w:space="0" w:color="auto"/>
        <w:bottom w:val="none" w:sz="0" w:space="0" w:color="auto"/>
        <w:right w:val="none" w:sz="0" w:space="0" w:color="auto"/>
      </w:divBdr>
    </w:div>
    <w:div w:id="143397399">
      <w:bodyDiv w:val="1"/>
      <w:marLeft w:val="0"/>
      <w:marRight w:val="0"/>
      <w:marTop w:val="0"/>
      <w:marBottom w:val="0"/>
      <w:divBdr>
        <w:top w:val="none" w:sz="0" w:space="0" w:color="auto"/>
        <w:left w:val="none" w:sz="0" w:space="0" w:color="auto"/>
        <w:bottom w:val="none" w:sz="0" w:space="0" w:color="auto"/>
        <w:right w:val="none" w:sz="0" w:space="0" w:color="auto"/>
      </w:divBdr>
      <w:divsChild>
        <w:div w:id="1558322959">
          <w:marLeft w:val="0"/>
          <w:marRight w:val="0"/>
          <w:marTop w:val="0"/>
          <w:marBottom w:val="0"/>
          <w:divBdr>
            <w:top w:val="none" w:sz="0" w:space="0" w:color="auto"/>
            <w:left w:val="none" w:sz="0" w:space="0" w:color="auto"/>
            <w:bottom w:val="none" w:sz="0" w:space="0" w:color="auto"/>
            <w:right w:val="none" w:sz="0" w:space="0" w:color="auto"/>
          </w:divBdr>
          <w:divsChild>
            <w:div w:id="2081555826">
              <w:marLeft w:val="0"/>
              <w:marRight w:val="0"/>
              <w:marTop w:val="0"/>
              <w:marBottom w:val="0"/>
              <w:divBdr>
                <w:top w:val="none" w:sz="0" w:space="0" w:color="auto"/>
                <w:left w:val="none" w:sz="0" w:space="0" w:color="auto"/>
                <w:bottom w:val="none" w:sz="0" w:space="0" w:color="auto"/>
                <w:right w:val="none" w:sz="0" w:space="0" w:color="auto"/>
              </w:divBdr>
              <w:divsChild>
                <w:div w:id="146842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57576">
      <w:bodyDiv w:val="1"/>
      <w:marLeft w:val="0"/>
      <w:marRight w:val="0"/>
      <w:marTop w:val="0"/>
      <w:marBottom w:val="0"/>
      <w:divBdr>
        <w:top w:val="none" w:sz="0" w:space="0" w:color="auto"/>
        <w:left w:val="none" w:sz="0" w:space="0" w:color="auto"/>
        <w:bottom w:val="none" w:sz="0" w:space="0" w:color="auto"/>
        <w:right w:val="none" w:sz="0" w:space="0" w:color="auto"/>
      </w:divBdr>
      <w:divsChild>
        <w:div w:id="1611860773">
          <w:marLeft w:val="0"/>
          <w:marRight w:val="0"/>
          <w:marTop w:val="0"/>
          <w:marBottom w:val="0"/>
          <w:divBdr>
            <w:top w:val="none" w:sz="0" w:space="0" w:color="auto"/>
            <w:left w:val="none" w:sz="0" w:space="0" w:color="auto"/>
            <w:bottom w:val="none" w:sz="0" w:space="0" w:color="auto"/>
            <w:right w:val="none" w:sz="0" w:space="0" w:color="auto"/>
          </w:divBdr>
          <w:divsChild>
            <w:div w:id="1278022016">
              <w:marLeft w:val="0"/>
              <w:marRight w:val="0"/>
              <w:marTop w:val="0"/>
              <w:marBottom w:val="0"/>
              <w:divBdr>
                <w:top w:val="none" w:sz="0" w:space="0" w:color="auto"/>
                <w:left w:val="none" w:sz="0" w:space="0" w:color="auto"/>
                <w:bottom w:val="none" w:sz="0" w:space="0" w:color="auto"/>
                <w:right w:val="none" w:sz="0" w:space="0" w:color="auto"/>
              </w:divBdr>
              <w:divsChild>
                <w:div w:id="166142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37382">
      <w:bodyDiv w:val="1"/>
      <w:marLeft w:val="0"/>
      <w:marRight w:val="0"/>
      <w:marTop w:val="0"/>
      <w:marBottom w:val="0"/>
      <w:divBdr>
        <w:top w:val="none" w:sz="0" w:space="0" w:color="auto"/>
        <w:left w:val="none" w:sz="0" w:space="0" w:color="auto"/>
        <w:bottom w:val="none" w:sz="0" w:space="0" w:color="auto"/>
        <w:right w:val="none" w:sz="0" w:space="0" w:color="auto"/>
      </w:divBdr>
    </w:div>
    <w:div w:id="208491352">
      <w:bodyDiv w:val="1"/>
      <w:marLeft w:val="0"/>
      <w:marRight w:val="0"/>
      <w:marTop w:val="0"/>
      <w:marBottom w:val="0"/>
      <w:divBdr>
        <w:top w:val="none" w:sz="0" w:space="0" w:color="auto"/>
        <w:left w:val="none" w:sz="0" w:space="0" w:color="auto"/>
        <w:bottom w:val="none" w:sz="0" w:space="0" w:color="auto"/>
        <w:right w:val="none" w:sz="0" w:space="0" w:color="auto"/>
      </w:divBdr>
    </w:div>
    <w:div w:id="235820531">
      <w:bodyDiv w:val="1"/>
      <w:marLeft w:val="0"/>
      <w:marRight w:val="0"/>
      <w:marTop w:val="0"/>
      <w:marBottom w:val="0"/>
      <w:divBdr>
        <w:top w:val="none" w:sz="0" w:space="0" w:color="auto"/>
        <w:left w:val="none" w:sz="0" w:space="0" w:color="auto"/>
        <w:bottom w:val="none" w:sz="0" w:space="0" w:color="auto"/>
        <w:right w:val="none" w:sz="0" w:space="0" w:color="auto"/>
      </w:divBdr>
    </w:div>
    <w:div w:id="243956274">
      <w:bodyDiv w:val="1"/>
      <w:marLeft w:val="0"/>
      <w:marRight w:val="0"/>
      <w:marTop w:val="0"/>
      <w:marBottom w:val="0"/>
      <w:divBdr>
        <w:top w:val="none" w:sz="0" w:space="0" w:color="auto"/>
        <w:left w:val="none" w:sz="0" w:space="0" w:color="auto"/>
        <w:bottom w:val="none" w:sz="0" w:space="0" w:color="auto"/>
        <w:right w:val="none" w:sz="0" w:space="0" w:color="auto"/>
      </w:divBdr>
      <w:divsChild>
        <w:div w:id="373701329">
          <w:marLeft w:val="0"/>
          <w:marRight w:val="0"/>
          <w:marTop w:val="0"/>
          <w:marBottom w:val="0"/>
          <w:divBdr>
            <w:top w:val="none" w:sz="0" w:space="0" w:color="auto"/>
            <w:left w:val="none" w:sz="0" w:space="0" w:color="auto"/>
            <w:bottom w:val="none" w:sz="0" w:space="0" w:color="auto"/>
            <w:right w:val="none" w:sz="0" w:space="0" w:color="auto"/>
          </w:divBdr>
          <w:divsChild>
            <w:div w:id="1403137925">
              <w:marLeft w:val="0"/>
              <w:marRight w:val="0"/>
              <w:marTop w:val="0"/>
              <w:marBottom w:val="0"/>
              <w:divBdr>
                <w:top w:val="none" w:sz="0" w:space="0" w:color="auto"/>
                <w:left w:val="none" w:sz="0" w:space="0" w:color="auto"/>
                <w:bottom w:val="none" w:sz="0" w:space="0" w:color="auto"/>
                <w:right w:val="none" w:sz="0" w:space="0" w:color="auto"/>
              </w:divBdr>
              <w:divsChild>
                <w:div w:id="98782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163256">
      <w:bodyDiv w:val="1"/>
      <w:marLeft w:val="0"/>
      <w:marRight w:val="0"/>
      <w:marTop w:val="0"/>
      <w:marBottom w:val="0"/>
      <w:divBdr>
        <w:top w:val="none" w:sz="0" w:space="0" w:color="auto"/>
        <w:left w:val="none" w:sz="0" w:space="0" w:color="auto"/>
        <w:bottom w:val="none" w:sz="0" w:space="0" w:color="auto"/>
        <w:right w:val="none" w:sz="0" w:space="0" w:color="auto"/>
      </w:divBdr>
    </w:div>
    <w:div w:id="260846533">
      <w:bodyDiv w:val="1"/>
      <w:marLeft w:val="0"/>
      <w:marRight w:val="0"/>
      <w:marTop w:val="0"/>
      <w:marBottom w:val="0"/>
      <w:divBdr>
        <w:top w:val="none" w:sz="0" w:space="0" w:color="auto"/>
        <w:left w:val="none" w:sz="0" w:space="0" w:color="auto"/>
        <w:bottom w:val="none" w:sz="0" w:space="0" w:color="auto"/>
        <w:right w:val="none" w:sz="0" w:space="0" w:color="auto"/>
      </w:divBdr>
    </w:div>
    <w:div w:id="266353365">
      <w:bodyDiv w:val="1"/>
      <w:marLeft w:val="0"/>
      <w:marRight w:val="0"/>
      <w:marTop w:val="0"/>
      <w:marBottom w:val="0"/>
      <w:divBdr>
        <w:top w:val="none" w:sz="0" w:space="0" w:color="auto"/>
        <w:left w:val="none" w:sz="0" w:space="0" w:color="auto"/>
        <w:bottom w:val="none" w:sz="0" w:space="0" w:color="auto"/>
        <w:right w:val="none" w:sz="0" w:space="0" w:color="auto"/>
      </w:divBdr>
    </w:div>
    <w:div w:id="298537266">
      <w:bodyDiv w:val="1"/>
      <w:marLeft w:val="0"/>
      <w:marRight w:val="0"/>
      <w:marTop w:val="0"/>
      <w:marBottom w:val="0"/>
      <w:divBdr>
        <w:top w:val="none" w:sz="0" w:space="0" w:color="auto"/>
        <w:left w:val="none" w:sz="0" w:space="0" w:color="auto"/>
        <w:bottom w:val="none" w:sz="0" w:space="0" w:color="auto"/>
        <w:right w:val="none" w:sz="0" w:space="0" w:color="auto"/>
      </w:divBdr>
    </w:div>
    <w:div w:id="330721229">
      <w:bodyDiv w:val="1"/>
      <w:marLeft w:val="0"/>
      <w:marRight w:val="0"/>
      <w:marTop w:val="0"/>
      <w:marBottom w:val="0"/>
      <w:divBdr>
        <w:top w:val="none" w:sz="0" w:space="0" w:color="auto"/>
        <w:left w:val="none" w:sz="0" w:space="0" w:color="auto"/>
        <w:bottom w:val="none" w:sz="0" w:space="0" w:color="auto"/>
        <w:right w:val="none" w:sz="0" w:space="0" w:color="auto"/>
      </w:divBdr>
    </w:div>
    <w:div w:id="337732921">
      <w:bodyDiv w:val="1"/>
      <w:marLeft w:val="0"/>
      <w:marRight w:val="0"/>
      <w:marTop w:val="0"/>
      <w:marBottom w:val="0"/>
      <w:divBdr>
        <w:top w:val="none" w:sz="0" w:space="0" w:color="auto"/>
        <w:left w:val="none" w:sz="0" w:space="0" w:color="auto"/>
        <w:bottom w:val="none" w:sz="0" w:space="0" w:color="auto"/>
        <w:right w:val="none" w:sz="0" w:space="0" w:color="auto"/>
      </w:divBdr>
    </w:div>
    <w:div w:id="341782133">
      <w:bodyDiv w:val="1"/>
      <w:marLeft w:val="0"/>
      <w:marRight w:val="0"/>
      <w:marTop w:val="0"/>
      <w:marBottom w:val="0"/>
      <w:divBdr>
        <w:top w:val="none" w:sz="0" w:space="0" w:color="auto"/>
        <w:left w:val="none" w:sz="0" w:space="0" w:color="auto"/>
        <w:bottom w:val="none" w:sz="0" w:space="0" w:color="auto"/>
        <w:right w:val="none" w:sz="0" w:space="0" w:color="auto"/>
      </w:divBdr>
    </w:div>
    <w:div w:id="353382536">
      <w:bodyDiv w:val="1"/>
      <w:marLeft w:val="0"/>
      <w:marRight w:val="0"/>
      <w:marTop w:val="0"/>
      <w:marBottom w:val="0"/>
      <w:divBdr>
        <w:top w:val="none" w:sz="0" w:space="0" w:color="auto"/>
        <w:left w:val="none" w:sz="0" w:space="0" w:color="auto"/>
        <w:bottom w:val="none" w:sz="0" w:space="0" w:color="auto"/>
        <w:right w:val="none" w:sz="0" w:space="0" w:color="auto"/>
      </w:divBdr>
    </w:div>
    <w:div w:id="368720814">
      <w:bodyDiv w:val="1"/>
      <w:marLeft w:val="0"/>
      <w:marRight w:val="0"/>
      <w:marTop w:val="0"/>
      <w:marBottom w:val="0"/>
      <w:divBdr>
        <w:top w:val="none" w:sz="0" w:space="0" w:color="auto"/>
        <w:left w:val="none" w:sz="0" w:space="0" w:color="auto"/>
        <w:bottom w:val="none" w:sz="0" w:space="0" w:color="auto"/>
        <w:right w:val="none" w:sz="0" w:space="0" w:color="auto"/>
      </w:divBdr>
    </w:div>
    <w:div w:id="394789099">
      <w:bodyDiv w:val="1"/>
      <w:marLeft w:val="0"/>
      <w:marRight w:val="0"/>
      <w:marTop w:val="0"/>
      <w:marBottom w:val="0"/>
      <w:divBdr>
        <w:top w:val="none" w:sz="0" w:space="0" w:color="auto"/>
        <w:left w:val="none" w:sz="0" w:space="0" w:color="auto"/>
        <w:bottom w:val="none" w:sz="0" w:space="0" w:color="auto"/>
        <w:right w:val="none" w:sz="0" w:space="0" w:color="auto"/>
      </w:divBdr>
    </w:div>
    <w:div w:id="406414622">
      <w:bodyDiv w:val="1"/>
      <w:marLeft w:val="0"/>
      <w:marRight w:val="0"/>
      <w:marTop w:val="0"/>
      <w:marBottom w:val="0"/>
      <w:divBdr>
        <w:top w:val="none" w:sz="0" w:space="0" w:color="auto"/>
        <w:left w:val="none" w:sz="0" w:space="0" w:color="auto"/>
        <w:bottom w:val="none" w:sz="0" w:space="0" w:color="auto"/>
        <w:right w:val="none" w:sz="0" w:space="0" w:color="auto"/>
      </w:divBdr>
      <w:divsChild>
        <w:div w:id="485515815">
          <w:marLeft w:val="0"/>
          <w:marRight w:val="0"/>
          <w:marTop w:val="0"/>
          <w:marBottom w:val="0"/>
          <w:divBdr>
            <w:top w:val="none" w:sz="0" w:space="0" w:color="auto"/>
            <w:left w:val="none" w:sz="0" w:space="0" w:color="auto"/>
            <w:bottom w:val="none" w:sz="0" w:space="0" w:color="auto"/>
            <w:right w:val="none" w:sz="0" w:space="0" w:color="auto"/>
          </w:divBdr>
          <w:divsChild>
            <w:div w:id="1729766813">
              <w:marLeft w:val="0"/>
              <w:marRight w:val="0"/>
              <w:marTop w:val="0"/>
              <w:marBottom w:val="0"/>
              <w:divBdr>
                <w:top w:val="none" w:sz="0" w:space="0" w:color="auto"/>
                <w:left w:val="none" w:sz="0" w:space="0" w:color="auto"/>
                <w:bottom w:val="none" w:sz="0" w:space="0" w:color="auto"/>
                <w:right w:val="none" w:sz="0" w:space="0" w:color="auto"/>
              </w:divBdr>
              <w:divsChild>
                <w:div w:id="109197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489856">
      <w:bodyDiv w:val="1"/>
      <w:marLeft w:val="0"/>
      <w:marRight w:val="0"/>
      <w:marTop w:val="0"/>
      <w:marBottom w:val="0"/>
      <w:divBdr>
        <w:top w:val="none" w:sz="0" w:space="0" w:color="auto"/>
        <w:left w:val="none" w:sz="0" w:space="0" w:color="auto"/>
        <w:bottom w:val="none" w:sz="0" w:space="0" w:color="auto"/>
        <w:right w:val="none" w:sz="0" w:space="0" w:color="auto"/>
      </w:divBdr>
      <w:divsChild>
        <w:div w:id="2017223407">
          <w:marLeft w:val="0"/>
          <w:marRight w:val="0"/>
          <w:marTop w:val="0"/>
          <w:marBottom w:val="0"/>
          <w:divBdr>
            <w:top w:val="none" w:sz="0" w:space="0" w:color="auto"/>
            <w:left w:val="none" w:sz="0" w:space="0" w:color="auto"/>
            <w:bottom w:val="none" w:sz="0" w:space="0" w:color="auto"/>
            <w:right w:val="none" w:sz="0" w:space="0" w:color="auto"/>
          </w:divBdr>
          <w:divsChild>
            <w:div w:id="1958903176">
              <w:marLeft w:val="0"/>
              <w:marRight w:val="0"/>
              <w:marTop w:val="0"/>
              <w:marBottom w:val="0"/>
              <w:divBdr>
                <w:top w:val="none" w:sz="0" w:space="0" w:color="auto"/>
                <w:left w:val="none" w:sz="0" w:space="0" w:color="auto"/>
                <w:bottom w:val="none" w:sz="0" w:space="0" w:color="auto"/>
                <w:right w:val="none" w:sz="0" w:space="0" w:color="auto"/>
              </w:divBdr>
              <w:divsChild>
                <w:div w:id="121792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031510">
      <w:bodyDiv w:val="1"/>
      <w:marLeft w:val="0"/>
      <w:marRight w:val="0"/>
      <w:marTop w:val="0"/>
      <w:marBottom w:val="0"/>
      <w:divBdr>
        <w:top w:val="none" w:sz="0" w:space="0" w:color="auto"/>
        <w:left w:val="none" w:sz="0" w:space="0" w:color="auto"/>
        <w:bottom w:val="none" w:sz="0" w:space="0" w:color="auto"/>
        <w:right w:val="none" w:sz="0" w:space="0" w:color="auto"/>
      </w:divBdr>
    </w:div>
    <w:div w:id="484712570">
      <w:bodyDiv w:val="1"/>
      <w:marLeft w:val="0"/>
      <w:marRight w:val="0"/>
      <w:marTop w:val="0"/>
      <w:marBottom w:val="0"/>
      <w:divBdr>
        <w:top w:val="none" w:sz="0" w:space="0" w:color="auto"/>
        <w:left w:val="none" w:sz="0" w:space="0" w:color="auto"/>
        <w:bottom w:val="none" w:sz="0" w:space="0" w:color="auto"/>
        <w:right w:val="none" w:sz="0" w:space="0" w:color="auto"/>
      </w:divBdr>
      <w:divsChild>
        <w:div w:id="2032297415">
          <w:marLeft w:val="0"/>
          <w:marRight w:val="0"/>
          <w:marTop w:val="0"/>
          <w:marBottom w:val="0"/>
          <w:divBdr>
            <w:top w:val="none" w:sz="0" w:space="0" w:color="auto"/>
            <w:left w:val="none" w:sz="0" w:space="0" w:color="auto"/>
            <w:bottom w:val="none" w:sz="0" w:space="0" w:color="auto"/>
            <w:right w:val="none" w:sz="0" w:space="0" w:color="auto"/>
          </w:divBdr>
          <w:divsChild>
            <w:div w:id="599140281">
              <w:marLeft w:val="0"/>
              <w:marRight w:val="0"/>
              <w:marTop w:val="0"/>
              <w:marBottom w:val="0"/>
              <w:divBdr>
                <w:top w:val="none" w:sz="0" w:space="0" w:color="auto"/>
                <w:left w:val="none" w:sz="0" w:space="0" w:color="auto"/>
                <w:bottom w:val="none" w:sz="0" w:space="0" w:color="auto"/>
                <w:right w:val="none" w:sz="0" w:space="0" w:color="auto"/>
              </w:divBdr>
              <w:divsChild>
                <w:div w:id="209127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551927">
      <w:bodyDiv w:val="1"/>
      <w:marLeft w:val="0"/>
      <w:marRight w:val="0"/>
      <w:marTop w:val="0"/>
      <w:marBottom w:val="0"/>
      <w:divBdr>
        <w:top w:val="none" w:sz="0" w:space="0" w:color="auto"/>
        <w:left w:val="none" w:sz="0" w:space="0" w:color="auto"/>
        <w:bottom w:val="none" w:sz="0" w:space="0" w:color="auto"/>
        <w:right w:val="none" w:sz="0" w:space="0" w:color="auto"/>
      </w:divBdr>
    </w:div>
    <w:div w:id="517932308">
      <w:bodyDiv w:val="1"/>
      <w:marLeft w:val="0"/>
      <w:marRight w:val="0"/>
      <w:marTop w:val="0"/>
      <w:marBottom w:val="0"/>
      <w:divBdr>
        <w:top w:val="none" w:sz="0" w:space="0" w:color="auto"/>
        <w:left w:val="none" w:sz="0" w:space="0" w:color="auto"/>
        <w:bottom w:val="none" w:sz="0" w:space="0" w:color="auto"/>
        <w:right w:val="none" w:sz="0" w:space="0" w:color="auto"/>
      </w:divBdr>
      <w:divsChild>
        <w:div w:id="242645552">
          <w:marLeft w:val="0"/>
          <w:marRight w:val="0"/>
          <w:marTop w:val="0"/>
          <w:marBottom w:val="0"/>
          <w:divBdr>
            <w:top w:val="none" w:sz="0" w:space="0" w:color="auto"/>
            <w:left w:val="none" w:sz="0" w:space="0" w:color="auto"/>
            <w:bottom w:val="none" w:sz="0" w:space="0" w:color="auto"/>
            <w:right w:val="none" w:sz="0" w:space="0" w:color="auto"/>
          </w:divBdr>
          <w:divsChild>
            <w:div w:id="801389019">
              <w:marLeft w:val="0"/>
              <w:marRight w:val="0"/>
              <w:marTop w:val="0"/>
              <w:marBottom w:val="0"/>
              <w:divBdr>
                <w:top w:val="none" w:sz="0" w:space="0" w:color="auto"/>
                <w:left w:val="none" w:sz="0" w:space="0" w:color="auto"/>
                <w:bottom w:val="none" w:sz="0" w:space="0" w:color="auto"/>
                <w:right w:val="none" w:sz="0" w:space="0" w:color="auto"/>
              </w:divBdr>
              <w:divsChild>
                <w:div w:id="20354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870756">
      <w:bodyDiv w:val="1"/>
      <w:marLeft w:val="0"/>
      <w:marRight w:val="0"/>
      <w:marTop w:val="0"/>
      <w:marBottom w:val="0"/>
      <w:divBdr>
        <w:top w:val="none" w:sz="0" w:space="0" w:color="auto"/>
        <w:left w:val="none" w:sz="0" w:space="0" w:color="auto"/>
        <w:bottom w:val="none" w:sz="0" w:space="0" w:color="auto"/>
        <w:right w:val="none" w:sz="0" w:space="0" w:color="auto"/>
      </w:divBdr>
    </w:div>
    <w:div w:id="529807163">
      <w:bodyDiv w:val="1"/>
      <w:marLeft w:val="0"/>
      <w:marRight w:val="0"/>
      <w:marTop w:val="0"/>
      <w:marBottom w:val="0"/>
      <w:divBdr>
        <w:top w:val="none" w:sz="0" w:space="0" w:color="auto"/>
        <w:left w:val="none" w:sz="0" w:space="0" w:color="auto"/>
        <w:bottom w:val="none" w:sz="0" w:space="0" w:color="auto"/>
        <w:right w:val="none" w:sz="0" w:space="0" w:color="auto"/>
      </w:divBdr>
    </w:div>
    <w:div w:id="535002607">
      <w:bodyDiv w:val="1"/>
      <w:marLeft w:val="0"/>
      <w:marRight w:val="0"/>
      <w:marTop w:val="0"/>
      <w:marBottom w:val="0"/>
      <w:divBdr>
        <w:top w:val="none" w:sz="0" w:space="0" w:color="auto"/>
        <w:left w:val="none" w:sz="0" w:space="0" w:color="auto"/>
        <w:bottom w:val="none" w:sz="0" w:space="0" w:color="auto"/>
        <w:right w:val="none" w:sz="0" w:space="0" w:color="auto"/>
      </w:divBdr>
      <w:divsChild>
        <w:div w:id="1389961993">
          <w:marLeft w:val="0"/>
          <w:marRight w:val="0"/>
          <w:marTop w:val="0"/>
          <w:marBottom w:val="0"/>
          <w:divBdr>
            <w:top w:val="none" w:sz="0" w:space="0" w:color="auto"/>
            <w:left w:val="none" w:sz="0" w:space="0" w:color="auto"/>
            <w:bottom w:val="none" w:sz="0" w:space="0" w:color="auto"/>
            <w:right w:val="none" w:sz="0" w:space="0" w:color="auto"/>
          </w:divBdr>
          <w:divsChild>
            <w:div w:id="1884830946">
              <w:marLeft w:val="0"/>
              <w:marRight w:val="0"/>
              <w:marTop w:val="0"/>
              <w:marBottom w:val="0"/>
              <w:divBdr>
                <w:top w:val="none" w:sz="0" w:space="0" w:color="auto"/>
                <w:left w:val="none" w:sz="0" w:space="0" w:color="auto"/>
                <w:bottom w:val="none" w:sz="0" w:space="0" w:color="auto"/>
                <w:right w:val="none" w:sz="0" w:space="0" w:color="auto"/>
              </w:divBdr>
              <w:divsChild>
                <w:div w:id="10539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573630">
      <w:bodyDiv w:val="1"/>
      <w:marLeft w:val="0"/>
      <w:marRight w:val="0"/>
      <w:marTop w:val="0"/>
      <w:marBottom w:val="0"/>
      <w:divBdr>
        <w:top w:val="none" w:sz="0" w:space="0" w:color="auto"/>
        <w:left w:val="none" w:sz="0" w:space="0" w:color="auto"/>
        <w:bottom w:val="none" w:sz="0" w:space="0" w:color="auto"/>
        <w:right w:val="none" w:sz="0" w:space="0" w:color="auto"/>
      </w:divBdr>
    </w:div>
    <w:div w:id="574433464">
      <w:bodyDiv w:val="1"/>
      <w:marLeft w:val="0"/>
      <w:marRight w:val="0"/>
      <w:marTop w:val="0"/>
      <w:marBottom w:val="0"/>
      <w:divBdr>
        <w:top w:val="none" w:sz="0" w:space="0" w:color="auto"/>
        <w:left w:val="none" w:sz="0" w:space="0" w:color="auto"/>
        <w:bottom w:val="none" w:sz="0" w:space="0" w:color="auto"/>
        <w:right w:val="none" w:sz="0" w:space="0" w:color="auto"/>
      </w:divBdr>
      <w:divsChild>
        <w:div w:id="126435603">
          <w:marLeft w:val="0"/>
          <w:marRight w:val="0"/>
          <w:marTop w:val="0"/>
          <w:marBottom w:val="0"/>
          <w:divBdr>
            <w:top w:val="none" w:sz="0" w:space="0" w:color="auto"/>
            <w:left w:val="none" w:sz="0" w:space="0" w:color="auto"/>
            <w:bottom w:val="none" w:sz="0" w:space="0" w:color="auto"/>
            <w:right w:val="none" w:sz="0" w:space="0" w:color="auto"/>
          </w:divBdr>
          <w:divsChild>
            <w:div w:id="79837105">
              <w:marLeft w:val="0"/>
              <w:marRight w:val="0"/>
              <w:marTop w:val="0"/>
              <w:marBottom w:val="0"/>
              <w:divBdr>
                <w:top w:val="none" w:sz="0" w:space="0" w:color="auto"/>
                <w:left w:val="none" w:sz="0" w:space="0" w:color="auto"/>
                <w:bottom w:val="none" w:sz="0" w:space="0" w:color="auto"/>
                <w:right w:val="none" w:sz="0" w:space="0" w:color="auto"/>
              </w:divBdr>
              <w:divsChild>
                <w:div w:id="88329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323117">
      <w:bodyDiv w:val="1"/>
      <w:marLeft w:val="0"/>
      <w:marRight w:val="0"/>
      <w:marTop w:val="0"/>
      <w:marBottom w:val="0"/>
      <w:divBdr>
        <w:top w:val="none" w:sz="0" w:space="0" w:color="auto"/>
        <w:left w:val="none" w:sz="0" w:space="0" w:color="auto"/>
        <w:bottom w:val="none" w:sz="0" w:space="0" w:color="auto"/>
        <w:right w:val="none" w:sz="0" w:space="0" w:color="auto"/>
      </w:divBdr>
    </w:div>
    <w:div w:id="636372695">
      <w:bodyDiv w:val="1"/>
      <w:marLeft w:val="0"/>
      <w:marRight w:val="0"/>
      <w:marTop w:val="0"/>
      <w:marBottom w:val="0"/>
      <w:divBdr>
        <w:top w:val="none" w:sz="0" w:space="0" w:color="auto"/>
        <w:left w:val="none" w:sz="0" w:space="0" w:color="auto"/>
        <w:bottom w:val="none" w:sz="0" w:space="0" w:color="auto"/>
        <w:right w:val="none" w:sz="0" w:space="0" w:color="auto"/>
      </w:divBdr>
    </w:div>
    <w:div w:id="669791295">
      <w:bodyDiv w:val="1"/>
      <w:marLeft w:val="0"/>
      <w:marRight w:val="0"/>
      <w:marTop w:val="0"/>
      <w:marBottom w:val="0"/>
      <w:divBdr>
        <w:top w:val="none" w:sz="0" w:space="0" w:color="auto"/>
        <w:left w:val="none" w:sz="0" w:space="0" w:color="auto"/>
        <w:bottom w:val="none" w:sz="0" w:space="0" w:color="auto"/>
        <w:right w:val="none" w:sz="0" w:space="0" w:color="auto"/>
      </w:divBdr>
    </w:div>
    <w:div w:id="687874068">
      <w:bodyDiv w:val="1"/>
      <w:marLeft w:val="0"/>
      <w:marRight w:val="0"/>
      <w:marTop w:val="0"/>
      <w:marBottom w:val="0"/>
      <w:divBdr>
        <w:top w:val="none" w:sz="0" w:space="0" w:color="auto"/>
        <w:left w:val="none" w:sz="0" w:space="0" w:color="auto"/>
        <w:bottom w:val="none" w:sz="0" w:space="0" w:color="auto"/>
        <w:right w:val="none" w:sz="0" w:space="0" w:color="auto"/>
      </w:divBdr>
    </w:div>
    <w:div w:id="726221761">
      <w:bodyDiv w:val="1"/>
      <w:marLeft w:val="0"/>
      <w:marRight w:val="0"/>
      <w:marTop w:val="0"/>
      <w:marBottom w:val="0"/>
      <w:divBdr>
        <w:top w:val="none" w:sz="0" w:space="0" w:color="auto"/>
        <w:left w:val="none" w:sz="0" w:space="0" w:color="auto"/>
        <w:bottom w:val="none" w:sz="0" w:space="0" w:color="auto"/>
        <w:right w:val="none" w:sz="0" w:space="0" w:color="auto"/>
      </w:divBdr>
    </w:div>
    <w:div w:id="728959690">
      <w:bodyDiv w:val="1"/>
      <w:marLeft w:val="0"/>
      <w:marRight w:val="0"/>
      <w:marTop w:val="0"/>
      <w:marBottom w:val="0"/>
      <w:divBdr>
        <w:top w:val="none" w:sz="0" w:space="0" w:color="auto"/>
        <w:left w:val="none" w:sz="0" w:space="0" w:color="auto"/>
        <w:bottom w:val="none" w:sz="0" w:space="0" w:color="auto"/>
        <w:right w:val="none" w:sz="0" w:space="0" w:color="auto"/>
      </w:divBdr>
      <w:divsChild>
        <w:div w:id="231157127">
          <w:marLeft w:val="0"/>
          <w:marRight w:val="0"/>
          <w:marTop w:val="0"/>
          <w:marBottom w:val="0"/>
          <w:divBdr>
            <w:top w:val="none" w:sz="0" w:space="0" w:color="auto"/>
            <w:left w:val="none" w:sz="0" w:space="0" w:color="auto"/>
            <w:bottom w:val="none" w:sz="0" w:space="0" w:color="auto"/>
            <w:right w:val="none" w:sz="0" w:space="0" w:color="auto"/>
          </w:divBdr>
          <w:divsChild>
            <w:div w:id="1808475012">
              <w:marLeft w:val="0"/>
              <w:marRight w:val="0"/>
              <w:marTop w:val="0"/>
              <w:marBottom w:val="0"/>
              <w:divBdr>
                <w:top w:val="none" w:sz="0" w:space="0" w:color="auto"/>
                <w:left w:val="none" w:sz="0" w:space="0" w:color="auto"/>
                <w:bottom w:val="none" w:sz="0" w:space="0" w:color="auto"/>
                <w:right w:val="none" w:sz="0" w:space="0" w:color="auto"/>
              </w:divBdr>
              <w:divsChild>
                <w:div w:id="155191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663855">
      <w:bodyDiv w:val="1"/>
      <w:marLeft w:val="0"/>
      <w:marRight w:val="0"/>
      <w:marTop w:val="0"/>
      <w:marBottom w:val="0"/>
      <w:divBdr>
        <w:top w:val="none" w:sz="0" w:space="0" w:color="auto"/>
        <w:left w:val="none" w:sz="0" w:space="0" w:color="auto"/>
        <w:bottom w:val="none" w:sz="0" w:space="0" w:color="auto"/>
        <w:right w:val="none" w:sz="0" w:space="0" w:color="auto"/>
      </w:divBdr>
    </w:div>
    <w:div w:id="734357417">
      <w:bodyDiv w:val="1"/>
      <w:marLeft w:val="0"/>
      <w:marRight w:val="0"/>
      <w:marTop w:val="0"/>
      <w:marBottom w:val="0"/>
      <w:divBdr>
        <w:top w:val="none" w:sz="0" w:space="0" w:color="auto"/>
        <w:left w:val="none" w:sz="0" w:space="0" w:color="auto"/>
        <w:bottom w:val="none" w:sz="0" w:space="0" w:color="auto"/>
        <w:right w:val="none" w:sz="0" w:space="0" w:color="auto"/>
      </w:divBdr>
    </w:div>
    <w:div w:id="758792401">
      <w:bodyDiv w:val="1"/>
      <w:marLeft w:val="0"/>
      <w:marRight w:val="0"/>
      <w:marTop w:val="0"/>
      <w:marBottom w:val="0"/>
      <w:divBdr>
        <w:top w:val="none" w:sz="0" w:space="0" w:color="auto"/>
        <w:left w:val="none" w:sz="0" w:space="0" w:color="auto"/>
        <w:bottom w:val="none" w:sz="0" w:space="0" w:color="auto"/>
        <w:right w:val="none" w:sz="0" w:space="0" w:color="auto"/>
      </w:divBdr>
    </w:div>
    <w:div w:id="772021061">
      <w:bodyDiv w:val="1"/>
      <w:marLeft w:val="0"/>
      <w:marRight w:val="0"/>
      <w:marTop w:val="0"/>
      <w:marBottom w:val="0"/>
      <w:divBdr>
        <w:top w:val="none" w:sz="0" w:space="0" w:color="auto"/>
        <w:left w:val="none" w:sz="0" w:space="0" w:color="auto"/>
        <w:bottom w:val="none" w:sz="0" w:space="0" w:color="auto"/>
        <w:right w:val="none" w:sz="0" w:space="0" w:color="auto"/>
      </w:divBdr>
      <w:divsChild>
        <w:div w:id="1715695985">
          <w:marLeft w:val="0"/>
          <w:marRight w:val="0"/>
          <w:marTop w:val="0"/>
          <w:marBottom w:val="0"/>
          <w:divBdr>
            <w:top w:val="none" w:sz="0" w:space="0" w:color="auto"/>
            <w:left w:val="none" w:sz="0" w:space="0" w:color="auto"/>
            <w:bottom w:val="none" w:sz="0" w:space="0" w:color="auto"/>
            <w:right w:val="none" w:sz="0" w:space="0" w:color="auto"/>
          </w:divBdr>
          <w:divsChild>
            <w:div w:id="2018577328">
              <w:marLeft w:val="0"/>
              <w:marRight w:val="0"/>
              <w:marTop w:val="0"/>
              <w:marBottom w:val="0"/>
              <w:divBdr>
                <w:top w:val="none" w:sz="0" w:space="0" w:color="auto"/>
                <w:left w:val="none" w:sz="0" w:space="0" w:color="auto"/>
                <w:bottom w:val="none" w:sz="0" w:space="0" w:color="auto"/>
                <w:right w:val="none" w:sz="0" w:space="0" w:color="auto"/>
              </w:divBdr>
              <w:divsChild>
                <w:div w:id="144488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506997">
      <w:bodyDiv w:val="1"/>
      <w:marLeft w:val="0"/>
      <w:marRight w:val="0"/>
      <w:marTop w:val="0"/>
      <w:marBottom w:val="0"/>
      <w:divBdr>
        <w:top w:val="none" w:sz="0" w:space="0" w:color="auto"/>
        <w:left w:val="none" w:sz="0" w:space="0" w:color="auto"/>
        <w:bottom w:val="none" w:sz="0" w:space="0" w:color="auto"/>
        <w:right w:val="none" w:sz="0" w:space="0" w:color="auto"/>
      </w:divBdr>
    </w:div>
    <w:div w:id="788007972">
      <w:bodyDiv w:val="1"/>
      <w:marLeft w:val="0"/>
      <w:marRight w:val="0"/>
      <w:marTop w:val="0"/>
      <w:marBottom w:val="0"/>
      <w:divBdr>
        <w:top w:val="none" w:sz="0" w:space="0" w:color="auto"/>
        <w:left w:val="none" w:sz="0" w:space="0" w:color="auto"/>
        <w:bottom w:val="none" w:sz="0" w:space="0" w:color="auto"/>
        <w:right w:val="none" w:sz="0" w:space="0" w:color="auto"/>
      </w:divBdr>
      <w:divsChild>
        <w:div w:id="1358001562">
          <w:marLeft w:val="0"/>
          <w:marRight w:val="0"/>
          <w:marTop w:val="0"/>
          <w:marBottom w:val="0"/>
          <w:divBdr>
            <w:top w:val="none" w:sz="0" w:space="0" w:color="auto"/>
            <w:left w:val="none" w:sz="0" w:space="0" w:color="auto"/>
            <w:bottom w:val="none" w:sz="0" w:space="0" w:color="auto"/>
            <w:right w:val="none" w:sz="0" w:space="0" w:color="auto"/>
          </w:divBdr>
          <w:divsChild>
            <w:div w:id="321548188">
              <w:marLeft w:val="0"/>
              <w:marRight w:val="0"/>
              <w:marTop w:val="0"/>
              <w:marBottom w:val="0"/>
              <w:divBdr>
                <w:top w:val="none" w:sz="0" w:space="0" w:color="auto"/>
                <w:left w:val="none" w:sz="0" w:space="0" w:color="auto"/>
                <w:bottom w:val="none" w:sz="0" w:space="0" w:color="auto"/>
                <w:right w:val="none" w:sz="0" w:space="0" w:color="auto"/>
              </w:divBdr>
              <w:divsChild>
                <w:div w:id="122113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934356">
      <w:bodyDiv w:val="1"/>
      <w:marLeft w:val="0"/>
      <w:marRight w:val="0"/>
      <w:marTop w:val="0"/>
      <w:marBottom w:val="0"/>
      <w:divBdr>
        <w:top w:val="none" w:sz="0" w:space="0" w:color="auto"/>
        <w:left w:val="none" w:sz="0" w:space="0" w:color="auto"/>
        <w:bottom w:val="none" w:sz="0" w:space="0" w:color="auto"/>
        <w:right w:val="none" w:sz="0" w:space="0" w:color="auto"/>
      </w:divBdr>
    </w:div>
    <w:div w:id="808857912">
      <w:bodyDiv w:val="1"/>
      <w:marLeft w:val="0"/>
      <w:marRight w:val="0"/>
      <w:marTop w:val="0"/>
      <w:marBottom w:val="0"/>
      <w:divBdr>
        <w:top w:val="none" w:sz="0" w:space="0" w:color="auto"/>
        <w:left w:val="none" w:sz="0" w:space="0" w:color="auto"/>
        <w:bottom w:val="none" w:sz="0" w:space="0" w:color="auto"/>
        <w:right w:val="none" w:sz="0" w:space="0" w:color="auto"/>
      </w:divBdr>
    </w:div>
    <w:div w:id="819618447">
      <w:bodyDiv w:val="1"/>
      <w:marLeft w:val="0"/>
      <w:marRight w:val="0"/>
      <w:marTop w:val="0"/>
      <w:marBottom w:val="0"/>
      <w:divBdr>
        <w:top w:val="none" w:sz="0" w:space="0" w:color="auto"/>
        <w:left w:val="none" w:sz="0" w:space="0" w:color="auto"/>
        <w:bottom w:val="none" w:sz="0" w:space="0" w:color="auto"/>
        <w:right w:val="none" w:sz="0" w:space="0" w:color="auto"/>
      </w:divBdr>
    </w:div>
    <w:div w:id="833761662">
      <w:bodyDiv w:val="1"/>
      <w:marLeft w:val="0"/>
      <w:marRight w:val="0"/>
      <w:marTop w:val="0"/>
      <w:marBottom w:val="0"/>
      <w:divBdr>
        <w:top w:val="none" w:sz="0" w:space="0" w:color="auto"/>
        <w:left w:val="none" w:sz="0" w:space="0" w:color="auto"/>
        <w:bottom w:val="none" w:sz="0" w:space="0" w:color="auto"/>
        <w:right w:val="none" w:sz="0" w:space="0" w:color="auto"/>
      </w:divBdr>
    </w:div>
    <w:div w:id="836726436">
      <w:bodyDiv w:val="1"/>
      <w:marLeft w:val="0"/>
      <w:marRight w:val="0"/>
      <w:marTop w:val="0"/>
      <w:marBottom w:val="0"/>
      <w:divBdr>
        <w:top w:val="none" w:sz="0" w:space="0" w:color="auto"/>
        <w:left w:val="none" w:sz="0" w:space="0" w:color="auto"/>
        <w:bottom w:val="none" w:sz="0" w:space="0" w:color="auto"/>
        <w:right w:val="none" w:sz="0" w:space="0" w:color="auto"/>
      </w:divBdr>
    </w:div>
    <w:div w:id="841089272">
      <w:bodyDiv w:val="1"/>
      <w:marLeft w:val="0"/>
      <w:marRight w:val="0"/>
      <w:marTop w:val="0"/>
      <w:marBottom w:val="0"/>
      <w:divBdr>
        <w:top w:val="none" w:sz="0" w:space="0" w:color="auto"/>
        <w:left w:val="none" w:sz="0" w:space="0" w:color="auto"/>
        <w:bottom w:val="none" w:sz="0" w:space="0" w:color="auto"/>
        <w:right w:val="none" w:sz="0" w:space="0" w:color="auto"/>
      </w:divBdr>
      <w:divsChild>
        <w:div w:id="181474994">
          <w:marLeft w:val="0"/>
          <w:marRight w:val="0"/>
          <w:marTop w:val="0"/>
          <w:marBottom w:val="0"/>
          <w:divBdr>
            <w:top w:val="none" w:sz="0" w:space="0" w:color="auto"/>
            <w:left w:val="none" w:sz="0" w:space="0" w:color="auto"/>
            <w:bottom w:val="none" w:sz="0" w:space="0" w:color="auto"/>
            <w:right w:val="none" w:sz="0" w:space="0" w:color="auto"/>
          </w:divBdr>
          <w:divsChild>
            <w:div w:id="265580345">
              <w:marLeft w:val="0"/>
              <w:marRight w:val="0"/>
              <w:marTop w:val="0"/>
              <w:marBottom w:val="0"/>
              <w:divBdr>
                <w:top w:val="none" w:sz="0" w:space="0" w:color="auto"/>
                <w:left w:val="none" w:sz="0" w:space="0" w:color="auto"/>
                <w:bottom w:val="none" w:sz="0" w:space="0" w:color="auto"/>
                <w:right w:val="none" w:sz="0" w:space="0" w:color="auto"/>
              </w:divBdr>
              <w:divsChild>
                <w:div w:id="63066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22736">
      <w:bodyDiv w:val="1"/>
      <w:marLeft w:val="0"/>
      <w:marRight w:val="0"/>
      <w:marTop w:val="0"/>
      <w:marBottom w:val="0"/>
      <w:divBdr>
        <w:top w:val="none" w:sz="0" w:space="0" w:color="auto"/>
        <w:left w:val="none" w:sz="0" w:space="0" w:color="auto"/>
        <w:bottom w:val="none" w:sz="0" w:space="0" w:color="auto"/>
        <w:right w:val="none" w:sz="0" w:space="0" w:color="auto"/>
      </w:divBdr>
    </w:div>
    <w:div w:id="849682639">
      <w:bodyDiv w:val="1"/>
      <w:marLeft w:val="0"/>
      <w:marRight w:val="0"/>
      <w:marTop w:val="0"/>
      <w:marBottom w:val="0"/>
      <w:divBdr>
        <w:top w:val="none" w:sz="0" w:space="0" w:color="auto"/>
        <w:left w:val="none" w:sz="0" w:space="0" w:color="auto"/>
        <w:bottom w:val="none" w:sz="0" w:space="0" w:color="auto"/>
        <w:right w:val="none" w:sz="0" w:space="0" w:color="auto"/>
      </w:divBdr>
    </w:div>
    <w:div w:id="905410499">
      <w:bodyDiv w:val="1"/>
      <w:marLeft w:val="0"/>
      <w:marRight w:val="0"/>
      <w:marTop w:val="0"/>
      <w:marBottom w:val="0"/>
      <w:divBdr>
        <w:top w:val="none" w:sz="0" w:space="0" w:color="auto"/>
        <w:left w:val="none" w:sz="0" w:space="0" w:color="auto"/>
        <w:bottom w:val="none" w:sz="0" w:space="0" w:color="auto"/>
        <w:right w:val="none" w:sz="0" w:space="0" w:color="auto"/>
      </w:divBdr>
    </w:div>
    <w:div w:id="917522275">
      <w:bodyDiv w:val="1"/>
      <w:marLeft w:val="0"/>
      <w:marRight w:val="0"/>
      <w:marTop w:val="0"/>
      <w:marBottom w:val="0"/>
      <w:divBdr>
        <w:top w:val="none" w:sz="0" w:space="0" w:color="auto"/>
        <w:left w:val="none" w:sz="0" w:space="0" w:color="auto"/>
        <w:bottom w:val="none" w:sz="0" w:space="0" w:color="auto"/>
        <w:right w:val="none" w:sz="0" w:space="0" w:color="auto"/>
      </w:divBdr>
    </w:div>
    <w:div w:id="925385585">
      <w:bodyDiv w:val="1"/>
      <w:marLeft w:val="0"/>
      <w:marRight w:val="0"/>
      <w:marTop w:val="0"/>
      <w:marBottom w:val="0"/>
      <w:divBdr>
        <w:top w:val="none" w:sz="0" w:space="0" w:color="auto"/>
        <w:left w:val="none" w:sz="0" w:space="0" w:color="auto"/>
        <w:bottom w:val="none" w:sz="0" w:space="0" w:color="auto"/>
        <w:right w:val="none" w:sz="0" w:space="0" w:color="auto"/>
      </w:divBdr>
    </w:div>
    <w:div w:id="927153737">
      <w:bodyDiv w:val="1"/>
      <w:marLeft w:val="0"/>
      <w:marRight w:val="0"/>
      <w:marTop w:val="0"/>
      <w:marBottom w:val="0"/>
      <w:divBdr>
        <w:top w:val="none" w:sz="0" w:space="0" w:color="auto"/>
        <w:left w:val="none" w:sz="0" w:space="0" w:color="auto"/>
        <w:bottom w:val="none" w:sz="0" w:space="0" w:color="auto"/>
        <w:right w:val="none" w:sz="0" w:space="0" w:color="auto"/>
      </w:divBdr>
      <w:divsChild>
        <w:div w:id="821656916">
          <w:marLeft w:val="0"/>
          <w:marRight w:val="0"/>
          <w:marTop w:val="0"/>
          <w:marBottom w:val="0"/>
          <w:divBdr>
            <w:top w:val="none" w:sz="0" w:space="0" w:color="auto"/>
            <w:left w:val="none" w:sz="0" w:space="0" w:color="auto"/>
            <w:bottom w:val="none" w:sz="0" w:space="0" w:color="auto"/>
            <w:right w:val="none" w:sz="0" w:space="0" w:color="auto"/>
          </w:divBdr>
          <w:divsChild>
            <w:div w:id="1242059036">
              <w:marLeft w:val="0"/>
              <w:marRight w:val="0"/>
              <w:marTop w:val="0"/>
              <w:marBottom w:val="0"/>
              <w:divBdr>
                <w:top w:val="none" w:sz="0" w:space="0" w:color="auto"/>
                <w:left w:val="none" w:sz="0" w:space="0" w:color="auto"/>
                <w:bottom w:val="none" w:sz="0" w:space="0" w:color="auto"/>
                <w:right w:val="none" w:sz="0" w:space="0" w:color="auto"/>
              </w:divBdr>
              <w:divsChild>
                <w:div w:id="65144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09003">
      <w:bodyDiv w:val="1"/>
      <w:marLeft w:val="0"/>
      <w:marRight w:val="0"/>
      <w:marTop w:val="0"/>
      <w:marBottom w:val="0"/>
      <w:divBdr>
        <w:top w:val="none" w:sz="0" w:space="0" w:color="auto"/>
        <w:left w:val="none" w:sz="0" w:space="0" w:color="auto"/>
        <w:bottom w:val="none" w:sz="0" w:space="0" w:color="auto"/>
        <w:right w:val="none" w:sz="0" w:space="0" w:color="auto"/>
      </w:divBdr>
    </w:div>
    <w:div w:id="975260506">
      <w:bodyDiv w:val="1"/>
      <w:marLeft w:val="0"/>
      <w:marRight w:val="0"/>
      <w:marTop w:val="0"/>
      <w:marBottom w:val="0"/>
      <w:divBdr>
        <w:top w:val="none" w:sz="0" w:space="0" w:color="auto"/>
        <w:left w:val="none" w:sz="0" w:space="0" w:color="auto"/>
        <w:bottom w:val="none" w:sz="0" w:space="0" w:color="auto"/>
        <w:right w:val="none" w:sz="0" w:space="0" w:color="auto"/>
      </w:divBdr>
    </w:div>
    <w:div w:id="1045835411">
      <w:bodyDiv w:val="1"/>
      <w:marLeft w:val="0"/>
      <w:marRight w:val="0"/>
      <w:marTop w:val="0"/>
      <w:marBottom w:val="0"/>
      <w:divBdr>
        <w:top w:val="none" w:sz="0" w:space="0" w:color="auto"/>
        <w:left w:val="none" w:sz="0" w:space="0" w:color="auto"/>
        <w:bottom w:val="none" w:sz="0" w:space="0" w:color="auto"/>
        <w:right w:val="none" w:sz="0" w:space="0" w:color="auto"/>
      </w:divBdr>
    </w:div>
    <w:div w:id="1062019300">
      <w:bodyDiv w:val="1"/>
      <w:marLeft w:val="0"/>
      <w:marRight w:val="0"/>
      <w:marTop w:val="0"/>
      <w:marBottom w:val="0"/>
      <w:divBdr>
        <w:top w:val="none" w:sz="0" w:space="0" w:color="auto"/>
        <w:left w:val="none" w:sz="0" w:space="0" w:color="auto"/>
        <w:bottom w:val="none" w:sz="0" w:space="0" w:color="auto"/>
        <w:right w:val="none" w:sz="0" w:space="0" w:color="auto"/>
      </w:divBdr>
    </w:div>
    <w:div w:id="1066488072">
      <w:bodyDiv w:val="1"/>
      <w:marLeft w:val="0"/>
      <w:marRight w:val="0"/>
      <w:marTop w:val="0"/>
      <w:marBottom w:val="0"/>
      <w:divBdr>
        <w:top w:val="none" w:sz="0" w:space="0" w:color="auto"/>
        <w:left w:val="none" w:sz="0" w:space="0" w:color="auto"/>
        <w:bottom w:val="none" w:sz="0" w:space="0" w:color="auto"/>
        <w:right w:val="none" w:sz="0" w:space="0" w:color="auto"/>
      </w:divBdr>
    </w:div>
    <w:div w:id="1114901682">
      <w:bodyDiv w:val="1"/>
      <w:marLeft w:val="0"/>
      <w:marRight w:val="0"/>
      <w:marTop w:val="0"/>
      <w:marBottom w:val="0"/>
      <w:divBdr>
        <w:top w:val="none" w:sz="0" w:space="0" w:color="auto"/>
        <w:left w:val="none" w:sz="0" w:space="0" w:color="auto"/>
        <w:bottom w:val="none" w:sz="0" w:space="0" w:color="auto"/>
        <w:right w:val="none" w:sz="0" w:space="0" w:color="auto"/>
      </w:divBdr>
      <w:divsChild>
        <w:div w:id="854459921">
          <w:marLeft w:val="0"/>
          <w:marRight w:val="0"/>
          <w:marTop w:val="0"/>
          <w:marBottom w:val="0"/>
          <w:divBdr>
            <w:top w:val="none" w:sz="0" w:space="0" w:color="auto"/>
            <w:left w:val="none" w:sz="0" w:space="0" w:color="auto"/>
            <w:bottom w:val="none" w:sz="0" w:space="0" w:color="auto"/>
            <w:right w:val="none" w:sz="0" w:space="0" w:color="auto"/>
          </w:divBdr>
          <w:divsChild>
            <w:div w:id="1564635419">
              <w:marLeft w:val="0"/>
              <w:marRight w:val="0"/>
              <w:marTop w:val="0"/>
              <w:marBottom w:val="0"/>
              <w:divBdr>
                <w:top w:val="none" w:sz="0" w:space="0" w:color="auto"/>
                <w:left w:val="none" w:sz="0" w:space="0" w:color="auto"/>
                <w:bottom w:val="none" w:sz="0" w:space="0" w:color="auto"/>
                <w:right w:val="none" w:sz="0" w:space="0" w:color="auto"/>
              </w:divBdr>
              <w:divsChild>
                <w:div w:id="101360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944374">
      <w:bodyDiv w:val="1"/>
      <w:marLeft w:val="0"/>
      <w:marRight w:val="0"/>
      <w:marTop w:val="0"/>
      <w:marBottom w:val="0"/>
      <w:divBdr>
        <w:top w:val="none" w:sz="0" w:space="0" w:color="auto"/>
        <w:left w:val="none" w:sz="0" w:space="0" w:color="auto"/>
        <w:bottom w:val="none" w:sz="0" w:space="0" w:color="auto"/>
        <w:right w:val="none" w:sz="0" w:space="0" w:color="auto"/>
      </w:divBdr>
      <w:divsChild>
        <w:div w:id="173809401">
          <w:marLeft w:val="0"/>
          <w:marRight w:val="0"/>
          <w:marTop w:val="0"/>
          <w:marBottom w:val="0"/>
          <w:divBdr>
            <w:top w:val="none" w:sz="0" w:space="0" w:color="auto"/>
            <w:left w:val="none" w:sz="0" w:space="0" w:color="auto"/>
            <w:bottom w:val="none" w:sz="0" w:space="0" w:color="auto"/>
            <w:right w:val="none" w:sz="0" w:space="0" w:color="auto"/>
          </w:divBdr>
          <w:divsChild>
            <w:div w:id="65349762">
              <w:marLeft w:val="0"/>
              <w:marRight w:val="0"/>
              <w:marTop w:val="0"/>
              <w:marBottom w:val="0"/>
              <w:divBdr>
                <w:top w:val="none" w:sz="0" w:space="0" w:color="auto"/>
                <w:left w:val="none" w:sz="0" w:space="0" w:color="auto"/>
                <w:bottom w:val="none" w:sz="0" w:space="0" w:color="auto"/>
                <w:right w:val="none" w:sz="0" w:space="0" w:color="auto"/>
              </w:divBdr>
              <w:divsChild>
                <w:div w:id="38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374343">
      <w:bodyDiv w:val="1"/>
      <w:marLeft w:val="0"/>
      <w:marRight w:val="0"/>
      <w:marTop w:val="0"/>
      <w:marBottom w:val="0"/>
      <w:divBdr>
        <w:top w:val="none" w:sz="0" w:space="0" w:color="auto"/>
        <w:left w:val="none" w:sz="0" w:space="0" w:color="auto"/>
        <w:bottom w:val="none" w:sz="0" w:space="0" w:color="auto"/>
        <w:right w:val="none" w:sz="0" w:space="0" w:color="auto"/>
      </w:divBdr>
    </w:div>
    <w:div w:id="1127771487">
      <w:bodyDiv w:val="1"/>
      <w:marLeft w:val="0"/>
      <w:marRight w:val="0"/>
      <w:marTop w:val="0"/>
      <w:marBottom w:val="0"/>
      <w:divBdr>
        <w:top w:val="none" w:sz="0" w:space="0" w:color="auto"/>
        <w:left w:val="none" w:sz="0" w:space="0" w:color="auto"/>
        <w:bottom w:val="none" w:sz="0" w:space="0" w:color="auto"/>
        <w:right w:val="none" w:sz="0" w:space="0" w:color="auto"/>
      </w:divBdr>
    </w:div>
    <w:div w:id="1169754339">
      <w:bodyDiv w:val="1"/>
      <w:marLeft w:val="0"/>
      <w:marRight w:val="0"/>
      <w:marTop w:val="0"/>
      <w:marBottom w:val="0"/>
      <w:divBdr>
        <w:top w:val="none" w:sz="0" w:space="0" w:color="auto"/>
        <w:left w:val="none" w:sz="0" w:space="0" w:color="auto"/>
        <w:bottom w:val="none" w:sz="0" w:space="0" w:color="auto"/>
        <w:right w:val="none" w:sz="0" w:space="0" w:color="auto"/>
      </w:divBdr>
    </w:div>
    <w:div w:id="1205944999">
      <w:bodyDiv w:val="1"/>
      <w:marLeft w:val="0"/>
      <w:marRight w:val="0"/>
      <w:marTop w:val="0"/>
      <w:marBottom w:val="0"/>
      <w:divBdr>
        <w:top w:val="none" w:sz="0" w:space="0" w:color="auto"/>
        <w:left w:val="none" w:sz="0" w:space="0" w:color="auto"/>
        <w:bottom w:val="none" w:sz="0" w:space="0" w:color="auto"/>
        <w:right w:val="none" w:sz="0" w:space="0" w:color="auto"/>
      </w:divBdr>
    </w:div>
    <w:div w:id="1208028298">
      <w:bodyDiv w:val="1"/>
      <w:marLeft w:val="0"/>
      <w:marRight w:val="0"/>
      <w:marTop w:val="0"/>
      <w:marBottom w:val="0"/>
      <w:divBdr>
        <w:top w:val="none" w:sz="0" w:space="0" w:color="auto"/>
        <w:left w:val="none" w:sz="0" w:space="0" w:color="auto"/>
        <w:bottom w:val="none" w:sz="0" w:space="0" w:color="auto"/>
        <w:right w:val="none" w:sz="0" w:space="0" w:color="auto"/>
      </w:divBdr>
    </w:div>
    <w:div w:id="1216703362">
      <w:bodyDiv w:val="1"/>
      <w:marLeft w:val="0"/>
      <w:marRight w:val="0"/>
      <w:marTop w:val="0"/>
      <w:marBottom w:val="0"/>
      <w:divBdr>
        <w:top w:val="none" w:sz="0" w:space="0" w:color="auto"/>
        <w:left w:val="none" w:sz="0" w:space="0" w:color="auto"/>
        <w:bottom w:val="none" w:sz="0" w:space="0" w:color="auto"/>
        <w:right w:val="none" w:sz="0" w:space="0" w:color="auto"/>
      </w:divBdr>
    </w:div>
    <w:div w:id="1255161691">
      <w:bodyDiv w:val="1"/>
      <w:marLeft w:val="0"/>
      <w:marRight w:val="0"/>
      <w:marTop w:val="0"/>
      <w:marBottom w:val="0"/>
      <w:divBdr>
        <w:top w:val="none" w:sz="0" w:space="0" w:color="auto"/>
        <w:left w:val="none" w:sz="0" w:space="0" w:color="auto"/>
        <w:bottom w:val="none" w:sz="0" w:space="0" w:color="auto"/>
        <w:right w:val="none" w:sz="0" w:space="0" w:color="auto"/>
      </w:divBdr>
      <w:divsChild>
        <w:div w:id="1881045396">
          <w:marLeft w:val="0"/>
          <w:marRight w:val="0"/>
          <w:marTop w:val="0"/>
          <w:marBottom w:val="0"/>
          <w:divBdr>
            <w:top w:val="none" w:sz="0" w:space="0" w:color="auto"/>
            <w:left w:val="none" w:sz="0" w:space="0" w:color="auto"/>
            <w:bottom w:val="none" w:sz="0" w:space="0" w:color="auto"/>
            <w:right w:val="none" w:sz="0" w:space="0" w:color="auto"/>
          </w:divBdr>
          <w:divsChild>
            <w:div w:id="1595088274">
              <w:marLeft w:val="0"/>
              <w:marRight w:val="0"/>
              <w:marTop w:val="0"/>
              <w:marBottom w:val="0"/>
              <w:divBdr>
                <w:top w:val="none" w:sz="0" w:space="0" w:color="auto"/>
                <w:left w:val="none" w:sz="0" w:space="0" w:color="auto"/>
                <w:bottom w:val="none" w:sz="0" w:space="0" w:color="auto"/>
                <w:right w:val="none" w:sz="0" w:space="0" w:color="auto"/>
              </w:divBdr>
              <w:divsChild>
                <w:div w:id="33600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014613">
      <w:bodyDiv w:val="1"/>
      <w:marLeft w:val="0"/>
      <w:marRight w:val="0"/>
      <w:marTop w:val="0"/>
      <w:marBottom w:val="0"/>
      <w:divBdr>
        <w:top w:val="none" w:sz="0" w:space="0" w:color="auto"/>
        <w:left w:val="none" w:sz="0" w:space="0" w:color="auto"/>
        <w:bottom w:val="none" w:sz="0" w:space="0" w:color="auto"/>
        <w:right w:val="none" w:sz="0" w:space="0" w:color="auto"/>
      </w:divBdr>
    </w:div>
    <w:div w:id="1286543759">
      <w:bodyDiv w:val="1"/>
      <w:marLeft w:val="0"/>
      <w:marRight w:val="0"/>
      <w:marTop w:val="0"/>
      <w:marBottom w:val="0"/>
      <w:divBdr>
        <w:top w:val="none" w:sz="0" w:space="0" w:color="auto"/>
        <w:left w:val="none" w:sz="0" w:space="0" w:color="auto"/>
        <w:bottom w:val="none" w:sz="0" w:space="0" w:color="auto"/>
        <w:right w:val="none" w:sz="0" w:space="0" w:color="auto"/>
      </w:divBdr>
    </w:div>
    <w:div w:id="1294290409">
      <w:bodyDiv w:val="1"/>
      <w:marLeft w:val="0"/>
      <w:marRight w:val="0"/>
      <w:marTop w:val="0"/>
      <w:marBottom w:val="0"/>
      <w:divBdr>
        <w:top w:val="none" w:sz="0" w:space="0" w:color="auto"/>
        <w:left w:val="none" w:sz="0" w:space="0" w:color="auto"/>
        <w:bottom w:val="none" w:sz="0" w:space="0" w:color="auto"/>
        <w:right w:val="none" w:sz="0" w:space="0" w:color="auto"/>
      </w:divBdr>
      <w:divsChild>
        <w:div w:id="608009867">
          <w:marLeft w:val="0"/>
          <w:marRight w:val="0"/>
          <w:marTop w:val="0"/>
          <w:marBottom w:val="0"/>
          <w:divBdr>
            <w:top w:val="none" w:sz="0" w:space="0" w:color="auto"/>
            <w:left w:val="none" w:sz="0" w:space="0" w:color="auto"/>
            <w:bottom w:val="none" w:sz="0" w:space="0" w:color="auto"/>
            <w:right w:val="none" w:sz="0" w:space="0" w:color="auto"/>
          </w:divBdr>
          <w:divsChild>
            <w:div w:id="652223328">
              <w:marLeft w:val="0"/>
              <w:marRight w:val="0"/>
              <w:marTop w:val="0"/>
              <w:marBottom w:val="0"/>
              <w:divBdr>
                <w:top w:val="none" w:sz="0" w:space="0" w:color="auto"/>
                <w:left w:val="none" w:sz="0" w:space="0" w:color="auto"/>
                <w:bottom w:val="none" w:sz="0" w:space="0" w:color="auto"/>
                <w:right w:val="none" w:sz="0" w:space="0" w:color="auto"/>
              </w:divBdr>
              <w:divsChild>
                <w:div w:id="21172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834487">
      <w:bodyDiv w:val="1"/>
      <w:marLeft w:val="0"/>
      <w:marRight w:val="0"/>
      <w:marTop w:val="0"/>
      <w:marBottom w:val="0"/>
      <w:divBdr>
        <w:top w:val="none" w:sz="0" w:space="0" w:color="auto"/>
        <w:left w:val="none" w:sz="0" w:space="0" w:color="auto"/>
        <w:bottom w:val="none" w:sz="0" w:space="0" w:color="auto"/>
        <w:right w:val="none" w:sz="0" w:space="0" w:color="auto"/>
      </w:divBdr>
    </w:div>
    <w:div w:id="1333339954">
      <w:bodyDiv w:val="1"/>
      <w:marLeft w:val="0"/>
      <w:marRight w:val="0"/>
      <w:marTop w:val="0"/>
      <w:marBottom w:val="0"/>
      <w:divBdr>
        <w:top w:val="none" w:sz="0" w:space="0" w:color="auto"/>
        <w:left w:val="none" w:sz="0" w:space="0" w:color="auto"/>
        <w:bottom w:val="none" w:sz="0" w:space="0" w:color="auto"/>
        <w:right w:val="none" w:sz="0" w:space="0" w:color="auto"/>
      </w:divBdr>
    </w:div>
    <w:div w:id="1356618221">
      <w:bodyDiv w:val="1"/>
      <w:marLeft w:val="0"/>
      <w:marRight w:val="0"/>
      <w:marTop w:val="0"/>
      <w:marBottom w:val="0"/>
      <w:divBdr>
        <w:top w:val="none" w:sz="0" w:space="0" w:color="auto"/>
        <w:left w:val="none" w:sz="0" w:space="0" w:color="auto"/>
        <w:bottom w:val="none" w:sz="0" w:space="0" w:color="auto"/>
        <w:right w:val="none" w:sz="0" w:space="0" w:color="auto"/>
      </w:divBdr>
    </w:div>
    <w:div w:id="1357656613">
      <w:bodyDiv w:val="1"/>
      <w:marLeft w:val="0"/>
      <w:marRight w:val="0"/>
      <w:marTop w:val="0"/>
      <w:marBottom w:val="0"/>
      <w:divBdr>
        <w:top w:val="none" w:sz="0" w:space="0" w:color="auto"/>
        <w:left w:val="none" w:sz="0" w:space="0" w:color="auto"/>
        <w:bottom w:val="none" w:sz="0" w:space="0" w:color="auto"/>
        <w:right w:val="none" w:sz="0" w:space="0" w:color="auto"/>
      </w:divBdr>
    </w:div>
    <w:div w:id="1370492650">
      <w:bodyDiv w:val="1"/>
      <w:marLeft w:val="0"/>
      <w:marRight w:val="0"/>
      <w:marTop w:val="0"/>
      <w:marBottom w:val="0"/>
      <w:divBdr>
        <w:top w:val="none" w:sz="0" w:space="0" w:color="auto"/>
        <w:left w:val="none" w:sz="0" w:space="0" w:color="auto"/>
        <w:bottom w:val="none" w:sz="0" w:space="0" w:color="auto"/>
        <w:right w:val="none" w:sz="0" w:space="0" w:color="auto"/>
      </w:divBdr>
    </w:div>
    <w:div w:id="1381129416">
      <w:bodyDiv w:val="1"/>
      <w:marLeft w:val="0"/>
      <w:marRight w:val="0"/>
      <w:marTop w:val="0"/>
      <w:marBottom w:val="0"/>
      <w:divBdr>
        <w:top w:val="none" w:sz="0" w:space="0" w:color="auto"/>
        <w:left w:val="none" w:sz="0" w:space="0" w:color="auto"/>
        <w:bottom w:val="none" w:sz="0" w:space="0" w:color="auto"/>
        <w:right w:val="none" w:sz="0" w:space="0" w:color="auto"/>
      </w:divBdr>
      <w:divsChild>
        <w:div w:id="291180961">
          <w:marLeft w:val="0"/>
          <w:marRight w:val="0"/>
          <w:marTop w:val="0"/>
          <w:marBottom w:val="0"/>
          <w:divBdr>
            <w:top w:val="none" w:sz="0" w:space="0" w:color="auto"/>
            <w:left w:val="none" w:sz="0" w:space="0" w:color="auto"/>
            <w:bottom w:val="none" w:sz="0" w:space="0" w:color="auto"/>
            <w:right w:val="none" w:sz="0" w:space="0" w:color="auto"/>
          </w:divBdr>
          <w:divsChild>
            <w:div w:id="1022366191">
              <w:marLeft w:val="0"/>
              <w:marRight w:val="0"/>
              <w:marTop w:val="0"/>
              <w:marBottom w:val="0"/>
              <w:divBdr>
                <w:top w:val="none" w:sz="0" w:space="0" w:color="auto"/>
                <w:left w:val="none" w:sz="0" w:space="0" w:color="auto"/>
                <w:bottom w:val="none" w:sz="0" w:space="0" w:color="auto"/>
                <w:right w:val="none" w:sz="0" w:space="0" w:color="auto"/>
              </w:divBdr>
              <w:divsChild>
                <w:div w:id="14815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319327">
      <w:bodyDiv w:val="1"/>
      <w:marLeft w:val="0"/>
      <w:marRight w:val="0"/>
      <w:marTop w:val="0"/>
      <w:marBottom w:val="0"/>
      <w:divBdr>
        <w:top w:val="none" w:sz="0" w:space="0" w:color="auto"/>
        <w:left w:val="none" w:sz="0" w:space="0" w:color="auto"/>
        <w:bottom w:val="none" w:sz="0" w:space="0" w:color="auto"/>
        <w:right w:val="none" w:sz="0" w:space="0" w:color="auto"/>
      </w:divBdr>
    </w:div>
    <w:div w:id="1395466317">
      <w:bodyDiv w:val="1"/>
      <w:marLeft w:val="0"/>
      <w:marRight w:val="0"/>
      <w:marTop w:val="0"/>
      <w:marBottom w:val="0"/>
      <w:divBdr>
        <w:top w:val="none" w:sz="0" w:space="0" w:color="auto"/>
        <w:left w:val="none" w:sz="0" w:space="0" w:color="auto"/>
        <w:bottom w:val="none" w:sz="0" w:space="0" w:color="auto"/>
        <w:right w:val="none" w:sz="0" w:space="0" w:color="auto"/>
      </w:divBdr>
    </w:div>
    <w:div w:id="1399014665">
      <w:bodyDiv w:val="1"/>
      <w:marLeft w:val="0"/>
      <w:marRight w:val="0"/>
      <w:marTop w:val="0"/>
      <w:marBottom w:val="0"/>
      <w:divBdr>
        <w:top w:val="none" w:sz="0" w:space="0" w:color="auto"/>
        <w:left w:val="none" w:sz="0" w:space="0" w:color="auto"/>
        <w:bottom w:val="none" w:sz="0" w:space="0" w:color="auto"/>
        <w:right w:val="none" w:sz="0" w:space="0" w:color="auto"/>
      </w:divBdr>
    </w:div>
    <w:div w:id="1403527302">
      <w:bodyDiv w:val="1"/>
      <w:marLeft w:val="0"/>
      <w:marRight w:val="0"/>
      <w:marTop w:val="0"/>
      <w:marBottom w:val="0"/>
      <w:divBdr>
        <w:top w:val="none" w:sz="0" w:space="0" w:color="auto"/>
        <w:left w:val="none" w:sz="0" w:space="0" w:color="auto"/>
        <w:bottom w:val="none" w:sz="0" w:space="0" w:color="auto"/>
        <w:right w:val="none" w:sz="0" w:space="0" w:color="auto"/>
      </w:divBdr>
    </w:div>
    <w:div w:id="1411387664">
      <w:bodyDiv w:val="1"/>
      <w:marLeft w:val="0"/>
      <w:marRight w:val="0"/>
      <w:marTop w:val="0"/>
      <w:marBottom w:val="0"/>
      <w:divBdr>
        <w:top w:val="none" w:sz="0" w:space="0" w:color="auto"/>
        <w:left w:val="none" w:sz="0" w:space="0" w:color="auto"/>
        <w:bottom w:val="none" w:sz="0" w:space="0" w:color="auto"/>
        <w:right w:val="none" w:sz="0" w:space="0" w:color="auto"/>
      </w:divBdr>
    </w:div>
    <w:div w:id="1422218550">
      <w:bodyDiv w:val="1"/>
      <w:marLeft w:val="0"/>
      <w:marRight w:val="0"/>
      <w:marTop w:val="0"/>
      <w:marBottom w:val="0"/>
      <w:divBdr>
        <w:top w:val="none" w:sz="0" w:space="0" w:color="auto"/>
        <w:left w:val="none" w:sz="0" w:space="0" w:color="auto"/>
        <w:bottom w:val="none" w:sz="0" w:space="0" w:color="auto"/>
        <w:right w:val="none" w:sz="0" w:space="0" w:color="auto"/>
      </w:divBdr>
    </w:div>
    <w:div w:id="1486048178">
      <w:bodyDiv w:val="1"/>
      <w:marLeft w:val="0"/>
      <w:marRight w:val="0"/>
      <w:marTop w:val="0"/>
      <w:marBottom w:val="0"/>
      <w:divBdr>
        <w:top w:val="none" w:sz="0" w:space="0" w:color="auto"/>
        <w:left w:val="none" w:sz="0" w:space="0" w:color="auto"/>
        <w:bottom w:val="none" w:sz="0" w:space="0" w:color="auto"/>
        <w:right w:val="none" w:sz="0" w:space="0" w:color="auto"/>
      </w:divBdr>
    </w:div>
    <w:div w:id="1491435339">
      <w:bodyDiv w:val="1"/>
      <w:marLeft w:val="0"/>
      <w:marRight w:val="0"/>
      <w:marTop w:val="0"/>
      <w:marBottom w:val="0"/>
      <w:divBdr>
        <w:top w:val="none" w:sz="0" w:space="0" w:color="auto"/>
        <w:left w:val="none" w:sz="0" w:space="0" w:color="auto"/>
        <w:bottom w:val="none" w:sz="0" w:space="0" w:color="auto"/>
        <w:right w:val="none" w:sz="0" w:space="0" w:color="auto"/>
      </w:divBdr>
    </w:div>
    <w:div w:id="1492453583">
      <w:bodyDiv w:val="1"/>
      <w:marLeft w:val="0"/>
      <w:marRight w:val="0"/>
      <w:marTop w:val="0"/>
      <w:marBottom w:val="0"/>
      <w:divBdr>
        <w:top w:val="none" w:sz="0" w:space="0" w:color="auto"/>
        <w:left w:val="none" w:sz="0" w:space="0" w:color="auto"/>
        <w:bottom w:val="none" w:sz="0" w:space="0" w:color="auto"/>
        <w:right w:val="none" w:sz="0" w:space="0" w:color="auto"/>
      </w:divBdr>
    </w:div>
    <w:div w:id="1510214860">
      <w:bodyDiv w:val="1"/>
      <w:marLeft w:val="0"/>
      <w:marRight w:val="0"/>
      <w:marTop w:val="0"/>
      <w:marBottom w:val="0"/>
      <w:divBdr>
        <w:top w:val="none" w:sz="0" w:space="0" w:color="auto"/>
        <w:left w:val="none" w:sz="0" w:space="0" w:color="auto"/>
        <w:bottom w:val="none" w:sz="0" w:space="0" w:color="auto"/>
        <w:right w:val="none" w:sz="0" w:space="0" w:color="auto"/>
      </w:divBdr>
    </w:div>
    <w:div w:id="1510675229">
      <w:bodyDiv w:val="1"/>
      <w:marLeft w:val="0"/>
      <w:marRight w:val="0"/>
      <w:marTop w:val="0"/>
      <w:marBottom w:val="0"/>
      <w:divBdr>
        <w:top w:val="none" w:sz="0" w:space="0" w:color="auto"/>
        <w:left w:val="none" w:sz="0" w:space="0" w:color="auto"/>
        <w:bottom w:val="none" w:sz="0" w:space="0" w:color="auto"/>
        <w:right w:val="none" w:sz="0" w:space="0" w:color="auto"/>
      </w:divBdr>
    </w:div>
    <w:div w:id="1513838580">
      <w:bodyDiv w:val="1"/>
      <w:marLeft w:val="0"/>
      <w:marRight w:val="0"/>
      <w:marTop w:val="0"/>
      <w:marBottom w:val="0"/>
      <w:divBdr>
        <w:top w:val="none" w:sz="0" w:space="0" w:color="auto"/>
        <w:left w:val="none" w:sz="0" w:space="0" w:color="auto"/>
        <w:bottom w:val="none" w:sz="0" w:space="0" w:color="auto"/>
        <w:right w:val="none" w:sz="0" w:space="0" w:color="auto"/>
      </w:divBdr>
    </w:div>
    <w:div w:id="1525483599">
      <w:bodyDiv w:val="1"/>
      <w:marLeft w:val="0"/>
      <w:marRight w:val="0"/>
      <w:marTop w:val="0"/>
      <w:marBottom w:val="0"/>
      <w:divBdr>
        <w:top w:val="none" w:sz="0" w:space="0" w:color="auto"/>
        <w:left w:val="none" w:sz="0" w:space="0" w:color="auto"/>
        <w:bottom w:val="none" w:sz="0" w:space="0" w:color="auto"/>
        <w:right w:val="none" w:sz="0" w:space="0" w:color="auto"/>
      </w:divBdr>
    </w:div>
    <w:div w:id="1556308777">
      <w:bodyDiv w:val="1"/>
      <w:marLeft w:val="0"/>
      <w:marRight w:val="0"/>
      <w:marTop w:val="0"/>
      <w:marBottom w:val="0"/>
      <w:divBdr>
        <w:top w:val="none" w:sz="0" w:space="0" w:color="auto"/>
        <w:left w:val="none" w:sz="0" w:space="0" w:color="auto"/>
        <w:bottom w:val="none" w:sz="0" w:space="0" w:color="auto"/>
        <w:right w:val="none" w:sz="0" w:space="0" w:color="auto"/>
      </w:divBdr>
    </w:div>
    <w:div w:id="1559512582">
      <w:bodyDiv w:val="1"/>
      <w:marLeft w:val="0"/>
      <w:marRight w:val="0"/>
      <w:marTop w:val="0"/>
      <w:marBottom w:val="0"/>
      <w:divBdr>
        <w:top w:val="none" w:sz="0" w:space="0" w:color="auto"/>
        <w:left w:val="none" w:sz="0" w:space="0" w:color="auto"/>
        <w:bottom w:val="none" w:sz="0" w:space="0" w:color="auto"/>
        <w:right w:val="none" w:sz="0" w:space="0" w:color="auto"/>
      </w:divBdr>
    </w:div>
    <w:div w:id="1563130871">
      <w:bodyDiv w:val="1"/>
      <w:marLeft w:val="0"/>
      <w:marRight w:val="0"/>
      <w:marTop w:val="0"/>
      <w:marBottom w:val="0"/>
      <w:divBdr>
        <w:top w:val="none" w:sz="0" w:space="0" w:color="auto"/>
        <w:left w:val="none" w:sz="0" w:space="0" w:color="auto"/>
        <w:bottom w:val="none" w:sz="0" w:space="0" w:color="auto"/>
        <w:right w:val="none" w:sz="0" w:space="0" w:color="auto"/>
      </w:divBdr>
    </w:div>
    <w:div w:id="1564174089">
      <w:bodyDiv w:val="1"/>
      <w:marLeft w:val="0"/>
      <w:marRight w:val="0"/>
      <w:marTop w:val="0"/>
      <w:marBottom w:val="0"/>
      <w:divBdr>
        <w:top w:val="none" w:sz="0" w:space="0" w:color="auto"/>
        <w:left w:val="none" w:sz="0" w:space="0" w:color="auto"/>
        <w:bottom w:val="none" w:sz="0" w:space="0" w:color="auto"/>
        <w:right w:val="none" w:sz="0" w:space="0" w:color="auto"/>
      </w:divBdr>
    </w:div>
    <w:div w:id="1564562221">
      <w:bodyDiv w:val="1"/>
      <w:marLeft w:val="0"/>
      <w:marRight w:val="0"/>
      <w:marTop w:val="0"/>
      <w:marBottom w:val="0"/>
      <w:divBdr>
        <w:top w:val="none" w:sz="0" w:space="0" w:color="auto"/>
        <w:left w:val="none" w:sz="0" w:space="0" w:color="auto"/>
        <w:bottom w:val="none" w:sz="0" w:space="0" w:color="auto"/>
        <w:right w:val="none" w:sz="0" w:space="0" w:color="auto"/>
      </w:divBdr>
    </w:div>
    <w:div w:id="1593010403">
      <w:bodyDiv w:val="1"/>
      <w:marLeft w:val="0"/>
      <w:marRight w:val="0"/>
      <w:marTop w:val="0"/>
      <w:marBottom w:val="0"/>
      <w:divBdr>
        <w:top w:val="none" w:sz="0" w:space="0" w:color="auto"/>
        <w:left w:val="none" w:sz="0" w:space="0" w:color="auto"/>
        <w:bottom w:val="none" w:sz="0" w:space="0" w:color="auto"/>
        <w:right w:val="none" w:sz="0" w:space="0" w:color="auto"/>
      </w:divBdr>
    </w:div>
    <w:div w:id="1620256783">
      <w:bodyDiv w:val="1"/>
      <w:marLeft w:val="0"/>
      <w:marRight w:val="0"/>
      <w:marTop w:val="0"/>
      <w:marBottom w:val="0"/>
      <w:divBdr>
        <w:top w:val="none" w:sz="0" w:space="0" w:color="auto"/>
        <w:left w:val="none" w:sz="0" w:space="0" w:color="auto"/>
        <w:bottom w:val="none" w:sz="0" w:space="0" w:color="auto"/>
        <w:right w:val="none" w:sz="0" w:space="0" w:color="auto"/>
      </w:divBdr>
    </w:div>
    <w:div w:id="1620528162">
      <w:bodyDiv w:val="1"/>
      <w:marLeft w:val="0"/>
      <w:marRight w:val="0"/>
      <w:marTop w:val="0"/>
      <w:marBottom w:val="0"/>
      <w:divBdr>
        <w:top w:val="none" w:sz="0" w:space="0" w:color="auto"/>
        <w:left w:val="none" w:sz="0" w:space="0" w:color="auto"/>
        <w:bottom w:val="none" w:sz="0" w:space="0" w:color="auto"/>
        <w:right w:val="none" w:sz="0" w:space="0" w:color="auto"/>
      </w:divBdr>
      <w:divsChild>
        <w:div w:id="100342842">
          <w:marLeft w:val="0"/>
          <w:marRight w:val="0"/>
          <w:marTop w:val="0"/>
          <w:marBottom w:val="0"/>
          <w:divBdr>
            <w:top w:val="none" w:sz="0" w:space="0" w:color="auto"/>
            <w:left w:val="none" w:sz="0" w:space="0" w:color="auto"/>
            <w:bottom w:val="none" w:sz="0" w:space="0" w:color="auto"/>
            <w:right w:val="none" w:sz="0" w:space="0" w:color="auto"/>
          </w:divBdr>
          <w:divsChild>
            <w:div w:id="1482967299">
              <w:marLeft w:val="0"/>
              <w:marRight w:val="0"/>
              <w:marTop w:val="0"/>
              <w:marBottom w:val="0"/>
              <w:divBdr>
                <w:top w:val="none" w:sz="0" w:space="0" w:color="auto"/>
                <w:left w:val="none" w:sz="0" w:space="0" w:color="auto"/>
                <w:bottom w:val="none" w:sz="0" w:space="0" w:color="auto"/>
                <w:right w:val="none" w:sz="0" w:space="0" w:color="auto"/>
              </w:divBdr>
              <w:divsChild>
                <w:div w:id="8535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259561">
      <w:bodyDiv w:val="1"/>
      <w:marLeft w:val="0"/>
      <w:marRight w:val="0"/>
      <w:marTop w:val="0"/>
      <w:marBottom w:val="0"/>
      <w:divBdr>
        <w:top w:val="none" w:sz="0" w:space="0" w:color="auto"/>
        <w:left w:val="none" w:sz="0" w:space="0" w:color="auto"/>
        <w:bottom w:val="none" w:sz="0" w:space="0" w:color="auto"/>
        <w:right w:val="none" w:sz="0" w:space="0" w:color="auto"/>
      </w:divBdr>
    </w:div>
    <w:div w:id="1653413711">
      <w:bodyDiv w:val="1"/>
      <w:marLeft w:val="0"/>
      <w:marRight w:val="0"/>
      <w:marTop w:val="0"/>
      <w:marBottom w:val="0"/>
      <w:divBdr>
        <w:top w:val="none" w:sz="0" w:space="0" w:color="auto"/>
        <w:left w:val="none" w:sz="0" w:space="0" w:color="auto"/>
        <w:bottom w:val="none" w:sz="0" w:space="0" w:color="auto"/>
        <w:right w:val="none" w:sz="0" w:space="0" w:color="auto"/>
      </w:divBdr>
    </w:div>
    <w:div w:id="1683701998">
      <w:bodyDiv w:val="1"/>
      <w:marLeft w:val="0"/>
      <w:marRight w:val="0"/>
      <w:marTop w:val="0"/>
      <w:marBottom w:val="0"/>
      <w:divBdr>
        <w:top w:val="none" w:sz="0" w:space="0" w:color="auto"/>
        <w:left w:val="none" w:sz="0" w:space="0" w:color="auto"/>
        <w:bottom w:val="none" w:sz="0" w:space="0" w:color="auto"/>
        <w:right w:val="none" w:sz="0" w:space="0" w:color="auto"/>
      </w:divBdr>
    </w:div>
    <w:div w:id="1705443989">
      <w:bodyDiv w:val="1"/>
      <w:marLeft w:val="0"/>
      <w:marRight w:val="0"/>
      <w:marTop w:val="0"/>
      <w:marBottom w:val="0"/>
      <w:divBdr>
        <w:top w:val="none" w:sz="0" w:space="0" w:color="auto"/>
        <w:left w:val="none" w:sz="0" w:space="0" w:color="auto"/>
        <w:bottom w:val="none" w:sz="0" w:space="0" w:color="auto"/>
        <w:right w:val="none" w:sz="0" w:space="0" w:color="auto"/>
      </w:divBdr>
    </w:div>
    <w:div w:id="1709408078">
      <w:bodyDiv w:val="1"/>
      <w:marLeft w:val="0"/>
      <w:marRight w:val="0"/>
      <w:marTop w:val="0"/>
      <w:marBottom w:val="0"/>
      <w:divBdr>
        <w:top w:val="none" w:sz="0" w:space="0" w:color="auto"/>
        <w:left w:val="none" w:sz="0" w:space="0" w:color="auto"/>
        <w:bottom w:val="none" w:sz="0" w:space="0" w:color="auto"/>
        <w:right w:val="none" w:sz="0" w:space="0" w:color="auto"/>
      </w:divBdr>
    </w:div>
    <w:div w:id="1729956642">
      <w:bodyDiv w:val="1"/>
      <w:marLeft w:val="0"/>
      <w:marRight w:val="0"/>
      <w:marTop w:val="0"/>
      <w:marBottom w:val="0"/>
      <w:divBdr>
        <w:top w:val="none" w:sz="0" w:space="0" w:color="auto"/>
        <w:left w:val="none" w:sz="0" w:space="0" w:color="auto"/>
        <w:bottom w:val="none" w:sz="0" w:space="0" w:color="auto"/>
        <w:right w:val="none" w:sz="0" w:space="0" w:color="auto"/>
      </w:divBdr>
    </w:div>
    <w:div w:id="1734698427">
      <w:bodyDiv w:val="1"/>
      <w:marLeft w:val="0"/>
      <w:marRight w:val="0"/>
      <w:marTop w:val="0"/>
      <w:marBottom w:val="0"/>
      <w:divBdr>
        <w:top w:val="none" w:sz="0" w:space="0" w:color="auto"/>
        <w:left w:val="none" w:sz="0" w:space="0" w:color="auto"/>
        <w:bottom w:val="none" w:sz="0" w:space="0" w:color="auto"/>
        <w:right w:val="none" w:sz="0" w:space="0" w:color="auto"/>
      </w:divBdr>
    </w:div>
    <w:div w:id="1744327717">
      <w:bodyDiv w:val="1"/>
      <w:marLeft w:val="0"/>
      <w:marRight w:val="0"/>
      <w:marTop w:val="0"/>
      <w:marBottom w:val="0"/>
      <w:divBdr>
        <w:top w:val="none" w:sz="0" w:space="0" w:color="auto"/>
        <w:left w:val="none" w:sz="0" w:space="0" w:color="auto"/>
        <w:bottom w:val="none" w:sz="0" w:space="0" w:color="auto"/>
        <w:right w:val="none" w:sz="0" w:space="0" w:color="auto"/>
      </w:divBdr>
    </w:div>
    <w:div w:id="1749040310">
      <w:bodyDiv w:val="1"/>
      <w:marLeft w:val="0"/>
      <w:marRight w:val="0"/>
      <w:marTop w:val="0"/>
      <w:marBottom w:val="0"/>
      <w:divBdr>
        <w:top w:val="none" w:sz="0" w:space="0" w:color="auto"/>
        <w:left w:val="none" w:sz="0" w:space="0" w:color="auto"/>
        <w:bottom w:val="none" w:sz="0" w:space="0" w:color="auto"/>
        <w:right w:val="none" w:sz="0" w:space="0" w:color="auto"/>
      </w:divBdr>
    </w:div>
    <w:div w:id="1812020344">
      <w:bodyDiv w:val="1"/>
      <w:marLeft w:val="0"/>
      <w:marRight w:val="0"/>
      <w:marTop w:val="0"/>
      <w:marBottom w:val="0"/>
      <w:divBdr>
        <w:top w:val="none" w:sz="0" w:space="0" w:color="auto"/>
        <w:left w:val="none" w:sz="0" w:space="0" w:color="auto"/>
        <w:bottom w:val="none" w:sz="0" w:space="0" w:color="auto"/>
        <w:right w:val="none" w:sz="0" w:space="0" w:color="auto"/>
      </w:divBdr>
      <w:divsChild>
        <w:div w:id="1794712471">
          <w:marLeft w:val="0"/>
          <w:marRight w:val="0"/>
          <w:marTop w:val="0"/>
          <w:marBottom w:val="0"/>
          <w:divBdr>
            <w:top w:val="none" w:sz="0" w:space="0" w:color="auto"/>
            <w:left w:val="none" w:sz="0" w:space="0" w:color="auto"/>
            <w:bottom w:val="none" w:sz="0" w:space="0" w:color="auto"/>
            <w:right w:val="none" w:sz="0" w:space="0" w:color="auto"/>
          </w:divBdr>
          <w:divsChild>
            <w:div w:id="1644314051">
              <w:marLeft w:val="0"/>
              <w:marRight w:val="0"/>
              <w:marTop w:val="0"/>
              <w:marBottom w:val="0"/>
              <w:divBdr>
                <w:top w:val="none" w:sz="0" w:space="0" w:color="auto"/>
                <w:left w:val="none" w:sz="0" w:space="0" w:color="auto"/>
                <w:bottom w:val="none" w:sz="0" w:space="0" w:color="auto"/>
                <w:right w:val="none" w:sz="0" w:space="0" w:color="auto"/>
              </w:divBdr>
              <w:divsChild>
                <w:div w:id="14790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825598">
      <w:bodyDiv w:val="1"/>
      <w:marLeft w:val="0"/>
      <w:marRight w:val="0"/>
      <w:marTop w:val="0"/>
      <w:marBottom w:val="0"/>
      <w:divBdr>
        <w:top w:val="none" w:sz="0" w:space="0" w:color="auto"/>
        <w:left w:val="none" w:sz="0" w:space="0" w:color="auto"/>
        <w:bottom w:val="none" w:sz="0" w:space="0" w:color="auto"/>
        <w:right w:val="none" w:sz="0" w:space="0" w:color="auto"/>
      </w:divBdr>
    </w:div>
    <w:div w:id="1865627227">
      <w:bodyDiv w:val="1"/>
      <w:marLeft w:val="0"/>
      <w:marRight w:val="0"/>
      <w:marTop w:val="0"/>
      <w:marBottom w:val="0"/>
      <w:divBdr>
        <w:top w:val="none" w:sz="0" w:space="0" w:color="auto"/>
        <w:left w:val="none" w:sz="0" w:space="0" w:color="auto"/>
        <w:bottom w:val="none" w:sz="0" w:space="0" w:color="auto"/>
        <w:right w:val="none" w:sz="0" w:space="0" w:color="auto"/>
      </w:divBdr>
    </w:div>
    <w:div w:id="1888368042">
      <w:bodyDiv w:val="1"/>
      <w:marLeft w:val="0"/>
      <w:marRight w:val="0"/>
      <w:marTop w:val="0"/>
      <w:marBottom w:val="0"/>
      <w:divBdr>
        <w:top w:val="none" w:sz="0" w:space="0" w:color="auto"/>
        <w:left w:val="none" w:sz="0" w:space="0" w:color="auto"/>
        <w:bottom w:val="none" w:sz="0" w:space="0" w:color="auto"/>
        <w:right w:val="none" w:sz="0" w:space="0" w:color="auto"/>
      </w:divBdr>
      <w:divsChild>
        <w:div w:id="132598725">
          <w:marLeft w:val="0"/>
          <w:marRight w:val="0"/>
          <w:marTop w:val="0"/>
          <w:marBottom w:val="0"/>
          <w:divBdr>
            <w:top w:val="none" w:sz="0" w:space="0" w:color="auto"/>
            <w:left w:val="none" w:sz="0" w:space="0" w:color="auto"/>
            <w:bottom w:val="none" w:sz="0" w:space="0" w:color="auto"/>
            <w:right w:val="none" w:sz="0" w:space="0" w:color="auto"/>
          </w:divBdr>
          <w:divsChild>
            <w:div w:id="1522165551">
              <w:marLeft w:val="0"/>
              <w:marRight w:val="0"/>
              <w:marTop w:val="0"/>
              <w:marBottom w:val="0"/>
              <w:divBdr>
                <w:top w:val="none" w:sz="0" w:space="0" w:color="auto"/>
                <w:left w:val="none" w:sz="0" w:space="0" w:color="auto"/>
                <w:bottom w:val="none" w:sz="0" w:space="0" w:color="auto"/>
                <w:right w:val="none" w:sz="0" w:space="0" w:color="auto"/>
              </w:divBdr>
              <w:divsChild>
                <w:div w:id="2125419231">
                  <w:marLeft w:val="0"/>
                  <w:marRight w:val="0"/>
                  <w:marTop w:val="0"/>
                  <w:marBottom w:val="0"/>
                  <w:divBdr>
                    <w:top w:val="none" w:sz="0" w:space="0" w:color="auto"/>
                    <w:left w:val="none" w:sz="0" w:space="0" w:color="auto"/>
                    <w:bottom w:val="none" w:sz="0" w:space="0" w:color="auto"/>
                    <w:right w:val="none" w:sz="0" w:space="0" w:color="auto"/>
                  </w:divBdr>
                </w:div>
              </w:divsChild>
            </w:div>
            <w:div w:id="1940916755">
              <w:marLeft w:val="0"/>
              <w:marRight w:val="0"/>
              <w:marTop w:val="0"/>
              <w:marBottom w:val="0"/>
              <w:divBdr>
                <w:top w:val="none" w:sz="0" w:space="0" w:color="auto"/>
                <w:left w:val="none" w:sz="0" w:space="0" w:color="auto"/>
                <w:bottom w:val="none" w:sz="0" w:space="0" w:color="auto"/>
                <w:right w:val="none" w:sz="0" w:space="0" w:color="auto"/>
              </w:divBdr>
              <w:divsChild>
                <w:div w:id="616062482">
                  <w:marLeft w:val="0"/>
                  <w:marRight w:val="0"/>
                  <w:marTop w:val="0"/>
                  <w:marBottom w:val="0"/>
                  <w:divBdr>
                    <w:top w:val="none" w:sz="0" w:space="0" w:color="auto"/>
                    <w:left w:val="none" w:sz="0" w:space="0" w:color="auto"/>
                    <w:bottom w:val="none" w:sz="0" w:space="0" w:color="auto"/>
                    <w:right w:val="none" w:sz="0" w:space="0" w:color="auto"/>
                  </w:divBdr>
                </w:div>
              </w:divsChild>
            </w:div>
            <w:div w:id="1300573524">
              <w:marLeft w:val="0"/>
              <w:marRight w:val="0"/>
              <w:marTop w:val="0"/>
              <w:marBottom w:val="0"/>
              <w:divBdr>
                <w:top w:val="none" w:sz="0" w:space="0" w:color="auto"/>
                <w:left w:val="none" w:sz="0" w:space="0" w:color="auto"/>
                <w:bottom w:val="none" w:sz="0" w:space="0" w:color="auto"/>
                <w:right w:val="none" w:sz="0" w:space="0" w:color="auto"/>
              </w:divBdr>
              <w:divsChild>
                <w:div w:id="2013676077">
                  <w:marLeft w:val="0"/>
                  <w:marRight w:val="0"/>
                  <w:marTop w:val="0"/>
                  <w:marBottom w:val="0"/>
                  <w:divBdr>
                    <w:top w:val="none" w:sz="0" w:space="0" w:color="auto"/>
                    <w:left w:val="none" w:sz="0" w:space="0" w:color="auto"/>
                    <w:bottom w:val="none" w:sz="0" w:space="0" w:color="auto"/>
                    <w:right w:val="none" w:sz="0" w:space="0" w:color="auto"/>
                  </w:divBdr>
                </w:div>
              </w:divsChild>
            </w:div>
            <w:div w:id="1439518989">
              <w:marLeft w:val="0"/>
              <w:marRight w:val="0"/>
              <w:marTop w:val="0"/>
              <w:marBottom w:val="0"/>
              <w:divBdr>
                <w:top w:val="none" w:sz="0" w:space="0" w:color="auto"/>
                <w:left w:val="none" w:sz="0" w:space="0" w:color="auto"/>
                <w:bottom w:val="none" w:sz="0" w:space="0" w:color="auto"/>
                <w:right w:val="none" w:sz="0" w:space="0" w:color="auto"/>
              </w:divBdr>
              <w:divsChild>
                <w:div w:id="3722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985417">
      <w:bodyDiv w:val="1"/>
      <w:marLeft w:val="0"/>
      <w:marRight w:val="0"/>
      <w:marTop w:val="0"/>
      <w:marBottom w:val="0"/>
      <w:divBdr>
        <w:top w:val="none" w:sz="0" w:space="0" w:color="auto"/>
        <w:left w:val="none" w:sz="0" w:space="0" w:color="auto"/>
        <w:bottom w:val="none" w:sz="0" w:space="0" w:color="auto"/>
        <w:right w:val="none" w:sz="0" w:space="0" w:color="auto"/>
      </w:divBdr>
    </w:div>
    <w:div w:id="1927496762">
      <w:bodyDiv w:val="1"/>
      <w:marLeft w:val="0"/>
      <w:marRight w:val="0"/>
      <w:marTop w:val="0"/>
      <w:marBottom w:val="0"/>
      <w:divBdr>
        <w:top w:val="none" w:sz="0" w:space="0" w:color="auto"/>
        <w:left w:val="none" w:sz="0" w:space="0" w:color="auto"/>
        <w:bottom w:val="none" w:sz="0" w:space="0" w:color="auto"/>
        <w:right w:val="none" w:sz="0" w:space="0" w:color="auto"/>
      </w:divBdr>
    </w:div>
    <w:div w:id="1933540199">
      <w:bodyDiv w:val="1"/>
      <w:marLeft w:val="0"/>
      <w:marRight w:val="0"/>
      <w:marTop w:val="0"/>
      <w:marBottom w:val="0"/>
      <w:divBdr>
        <w:top w:val="none" w:sz="0" w:space="0" w:color="auto"/>
        <w:left w:val="none" w:sz="0" w:space="0" w:color="auto"/>
        <w:bottom w:val="none" w:sz="0" w:space="0" w:color="auto"/>
        <w:right w:val="none" w:sz="0" w:space="0" w:color="auto"/>
      </w:divBdr>
      <w:divsChild>
        <w:div w:id="131334754">
          <w:marLeft w:val="0"/>
          <w:marRight w:val="0"/>
          <w:marTop w:val="0"/>
          <w:marBottom w:val="0"/>
          <w:divBdr>
            <w:top w:val="none" w:sz="0" w:space="0" w:color="auto"/>
            <w:left w:val="none" w:sz="0" w:space="0" w:color="auto"/>
            <w:bottom w:val="none" w:sz="0" w:space="0" w:color="auto"/>
            <w:right w:val="none" w:sz="0" w:space="0" w:color="auto"/>
          </w:divBdr>
          <w:divsChild>
            <w:div w:id="2004237793">
              <w:marLeft w:val="0"/>
              <w:marRight w:val="0"/>
              <w:marTop w:val="0"/>
              <w:marBottom w:val="0"/>
              <w:divBdr>
                <w:top w:val="none" w:sz="0" w:space="0" w:color="auto"/>
                <w:left w:val="none" w:sz="0" w:space="0" w:color="auto"/>
                <w:bottom w:val="none" w:sz="0" w:space="0" w:color="auto"/>
                <w:right w:val="none" w:sz="0" w:space="0" w:color="auto"/>
              </w:divBdr>
              <w:divsChild>
                <w:div w:id="11170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085870">
      <w:bodyDiv w:val="1"/>
      <w:marLeft w:val="0"/>
      <w:marRight w:val="0"/>
      <w:marTop w:val="0"/>
      <w:marBottom w:val="0"/>
      <w:divBdr>
        <w:top w:val="none" w:sz="0" w:space="0" w:color="auto"/>
        <w:left w:val="none" w:sz="0" w:space="0" w:color="auto"/>
        <w:bottom w:val="none" w:sz="0" w:space="0" w:color="auto"/>
        <w:right w:val="none" w:sz="0" w:space="0" w:color="auto"/>
      </w:divBdr>
    </w:div>
    <w:div w:id="1967731194">
      <w:bodyDiv w:val="1"/>
      <w:marLeft w:val="0"/>
      <w:marRight w:val="0"/>
      <w:marTop w:val="0"/>
      <w:marBottom w:val="0"/>
      <w:divBdr>
        <w:top w:val="none" w:sz="0" w:space="0" w:color="auto"/>
        <w:left w:val="none" w:sz="0" w:space="0" w:color="auto"/>
        <w:bottom w:val="none" w:sz="0" w:space="0" w:color="auto"/>
        <w:right w:val="none" w:sz="0" w:space="0" w:color="auto"/>
      </w:divBdr>
    </w:div>
    <w:div w:id="1991474601">
      <w:bodyDiv w:val="1"/>
      <w:marLeft w:val="0"/>
      <w:marRight w:val="0"/>
      <w:marTop w:val="0"/>
      <w:marBottom w:val="0"/>
      <w:divBdr>
        <w:top w:val="none" w:sz="0" w:space="0" w:color="auto"/>
        <w:left w:val="none" w:sz="0" w:space="0" w:color="auto"/>
        <w:bottom w:val="none" w:sz="0" w:space="0" w:color="auto"/>
        <w:right w:val="none" w:sz="0" w:space="0" w:color="auto"/>
      </w:divBdr>
    </w:div>
    <w:div w:id="2009677219">
      <w:bodyDiv w:val="1"/>
      <w:marLeft w:val="0"/>
      <w:marRight w:val="0"/>
      <w:marTop w:val="0"/>
      <w:marBottom w:val="0"/>
      <w:divBdr>
        <w:top w:val="none" w:sz="0" w:space="0" w:color="auto"/>
        <w:left w:val="none" w:sz="0" w:space="0" w:color="auto"/>
        <w:bottom w:val="none" w:sz="0" w:space="0" w:color="auto"/>
        <w:right w:val="none" w:sz="0" w:space="0" w:color="auto"/>
      </w:divBdr>
    </w:div>
    <w:div w:id="2021615434">
      <w:bodyDiv w:val="1"/>
      <w:marLeft w:val="0"/>
      <w:marRight w:val="0"/>
      <w:marTop w:val="0"/>
      <w:marBottom w:val="0"/>
      <w:divBdr>
        <w:top w:val="none" w:sz="0" w:space="0" w:color="auto"/>
        <w:left w:val="none" w:sz="0" w:space="0" w:color="auto"/>
        <w:bottom w:val="none" w:sz="0" w:space="0" w:color="auto"/>
        <w:right w:val="none" w:sz="0" w:space="0" w:color="auto"/>
      </w:divBdr>
    </w:div>
    <w:div w:id="2028019400">
      <w:bodyDiv w:val="1"/>
      <w:marLeft w:val="0"/>
      <w:marRight w:val="0"/>
      <w:marTop w:val="0"/>
      <w:marBottom w:val="0"/>
      <w:divBdr>
        <w:top w:val="none" w:sz="0" w:space="0" w:color="auto"/>
        <w:left w:val="none" w:sz="0" w:space="0" w:color="auto"/>
        <w:bottom w:val="none" w:sz="0" w:space="0" w:color="auto"/>
        <w:right w:val="none" w:sz="0" w:space="0" w:color="auto"/>
      </w:divBdr>
      <w:divsChild>
        <w:div w:id="1132404394">
          <w:marLeft w:val="0"/>
          <w:marRight w:val="0"/>
          <w:marTop w:val="0"/>
          <w:marBottom w:val="0"/>
          <w:divBdr>
            <w:top w:val="none" w:sz="0" w:space="0" w:color="auto"/>
            <w:left w:val="none" w:sz="0" w:space="0" w:color="auto"/>
            <w:bottom w:val="none" w:sz="0" w:space="0" w:color="auto"/>
            <w:right w:val="none" w:sz="0" w:space="0" w:color="auto"/>
          </w:divBdr>
          <w:divsChild>
            <w:div w:id="953484263">
              <w:marLeft w:val="0"/>
              <w:marRight w:val="0"/>
              <w:marTop w:val="0"/>
              <w:marBottom w:val="0"/>
              <w:divBdr>
                <w:top w:val="none" w:sz="0" w:space="0" w:color="auto"/>
                <w:left w:val="none" w:sz="0" w:space="0" w:color="auto"/>
                <w:bottom w:val="none" w:sz="0" w:space="0" w:color="auto"/>
                <w:right w:val="none" w:sz="0" w:space="0" w:color="auto"/>
              </w:divBdr>
              <w:divsChild>
                <w:div w:id="20218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778047">
      <w:bodyDiv w:val="1"/>
      <w:marLeft w:val="0"/>
      <w:marRight w:val="0"/>
      <w:marTop w:val="0"/>
      <w:marBottom w:val="0"/>
      <w:divBdr>
        <w:top w:val="none" w:sz="0" w:space="0" w:color="auto"/>
        <w:left w:val="none" w:sz="0" w:space="0" w:color="auto"/>
        <w:bottom w:val="none" w:sz="0" w:space="0" w:color="auto"/>
        <w:right w:val="none" w:sz="0" w:space="0" w:color="auto"/>
      </w:divBdr>
    </w:div>
    <w:div w:id="2045708449">
      <w:bodyDiv w:val="1"/>
      <w:marLeft w:val="0"/>
      <w:marRight w:val="0"/>
      <w:marTop w:val="0"/>
      <w:marBottom w:val="0"/>
      <w:divBdr>
        <w:top w:val="none" w:sz="0" w:space="0" w:color="auto"/>
        <w:left w:val="none" w:sz="0" w:space="0" w:color="auto"/>
        <w:bottom w:val="none" w:sz="0" w:space="0" w:color="auto"/>
        <w:right w:val="none" w:sz="0" w:space="0" w:color="auto"/>
      </w:divBdr>
    </w:div>
    <w:div w:id="2052072876">
      <w:bodyDiv w:val="1"/>
      <w:marLeft w:val="0"/>
      <w:marRight w:val="0"/>
      <w:marTop w:val="0"/>
      <w:marBottom w:val="0"/>
      <w:divBdr>
        <w:top w:val="none" w:sz="0" w:space="0" w:color="auto"/>
        <w:left w:val="none" w:sz="0" w:space="0" w:color="auto"/>
        <w:bottom w:val="none" w:sz="0" w:space="0" w:color="auto"/>
        <w:right w:val="none" w:sz="0" w:space="0" w:color="auto"/>
      </w:divBdr>
    </w:div>
    <w:div w:id="2055352568">
      <w:bodyDiv w:val="1"/>
      <w:marLeft w:val="0"/>
      <w:marRight w:val="0"/>
      <w:marTop w:val="0"/>
      <w:marBottom w:val="0"/>
      <w:divBdr>
        <w:top w:val="none" w:sz="0" w:space="0" w:color="auto"/>
        <w:left w:val="none" w:sz="0" w:space="0" w:color="auto"/>
        <w:bottom w:val="none" w:sz="0" w:space="0" w:color="auto"/>
        <w:right w:val="none" w:sz="0" w:space="0" w:color="auto"/>
      </w:divBdr>
      <w:divsChild>
        <w:div w:id="1052850126">
          <w:marLeft w:val="0"/>
          <w:marRight w:val="0"/>
          <w:marTop w:val="0"/>
          <w:marBottom w:val="0"/>
          <w:divBdr>
            <w:top w:val="none" w:sz="0" w:space="0" w:color="auto"/>
            <w:left w:val="none" w:sz="0" w:space="0" w:color="auto"/>
            <w:bottom w:val="none" w:sz="0" w:space="0" w:color="auto"/>
            <w:right w:val="none" w:sz="0" w:space="0" w:color="auto"/>
          </w:divBdr>
          <w:divsChild>
            <w:div w:id="130876571">
              <w:marLeft w:val="0"/>
              <w:marRight w:val="0"/>
              <w:marTop w:val="0"/>
              <w:marBottom w:val="0"/>
              <w:divBdr>
                <w:top w:val="none" w:sz="0" w:space="0" w:color="auto"/>
                <w:left w:val="none" w:sz="0" w:space="0" w:color="auto"/>
                <w:bottom w:val="none" w:sz="0" w:space="0" w:color="auto"/>
                <w:right w:val="none" w:sz="0" w:space="0" w:color="auto"/>
              </w:divBdr>
              <w:divsChild>
                <w:div w:id="113294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287277">
      <w:bodyDiv w:val="1"/>
      <w:marLeft w:val="0"/>
      <w:marRight w:val="0"/>
      <w:marTop w:val="0"/>
      <w:marBottom w:val="0"/>
      <w:divBdr>
        <w:top w:val="none" w:sz="0" w:space="0" w:color="auto"/>
        <w:left w:val="none" w:sz="0" w:space="0" w:color="auto"/>
        <w:bottom w:val="none" w:sz="0" w:space="0" w:color="auto"/>
        <w:right w:val="none" w:sz="0" w:space="0" w:color="auto"/>
      </w:divBdr>
    </w:div>
    <w:div w:id="2066054100">
      <w:bodyDiv w:val="1"/>
      <w:marLeft w:val="0"/>
      <w:marRight w:val="0"/>
      <w:marTop w:val="0"/>
      <w:marBottom w:val="0"/>
      <w:divBdr>
        <w:top w:val="none" w:sz="0" w:space="0" w:color="auto"/>
        <w:left w:val="none" w:sz="0" w:space="0" w:color="auto"/>
        <w:bottom w:val="none" w:sz="0" w:space="0" w:color="auto"/>
        <w:right w:val="none" w:sz="0" w:space="0" w:color="auto"/>
      </w:divBdr>
    </w:div>
    <w:div w:id="2066373290">
      <w:bodyDiv w:val="1"/>
      <w:marLeft w:val="0"/>
      <w:marRight w:val="0"/>
      <w:marTop w:val="0"/>
      <w:marBottom w:val="0"/>
      <w:divBdr>
        <w:top w:val="none" w:sz="0" w:space="0" w:color="auto"/>
        <w:left w:val="none" w:sz="0" w:space="0" w:color="auto"/>
        <w:bottom w:val="none" w:sz="0" w:space="0" w:color="auto"/>
        <w:right w:val="none" w:sz="0" w:space="0" w:color="auto"/>
      </w:divBdr>
    </w:div>
    <w:div w:id="2069716730">
      <w:bodyDiv w:val="1"/>
      <w:marLeft w:val="0"/>
      <w:marRight w:val="0"/>
      <w:marTop w:val="0"/>
      <w:marBottom w:val="0"/>
      <w:divBdr>
        <w:top w:val="none" w:sz="0" w:space="0" w:color="auto"/>
        <w:left w:val="none" w:sz="0" w:space="0" w:color="auto"/>
        <w:bottom w:val="none" w:sz="0" w:space="0" w:color="auto"/>
        <w:right w:val="none" w:sz="0" w:space="0" w:color="auto"/>
      </w:divBdr>
    </w:div>
    <w:div w:id="2074230527">
      <w:bodyDiv w:val="1"/>
      <w:marLeft w:val="0"/>
      <w:marRight w:val="0"/>
      <w:marTop w:val="0"/>
      <w:marBottom w:val="0"/>
      <w:divBdr>
        <w:top w:val="none" w:sz="0" w:space="0" w:color="auto"/>
        <w:left w:val="none" w:sz="0" w:space="0" w:color="auto"/>
        <w:bottom w:val="none" w:sz="0" w:space="0" w:color="auto"/>
        <w:right w:val="none" w:sz="0" w:space="0" w:color="auto"/>
      </w:divBdr>
    </w:div>
    <w:div w:id="2094664807">
      <w:bodyDiv w:val="1"/>
      <w:marLeft w:val="0"/>
      <w:marRight w:val="0"/>
      <w:marTop w:val="0"/>
      <w:marBottom w:val="0"/>
      <w:divBdr>
        <w:top w:val="none" w:sz="0" w:space="0" w:color="auto"/>
        <w:left w:val="none" w:sz="0" w:space="0" w:color="auto"/>
        <w:bottom w:val="none" w:sz="0" w:space="0" w:color="auto"/>
        <w:right w:val="none" w:sz="0" w:space="0" w:color="auto"/>
      </w:divBdr>
    </w:div>
    <w:div w:id="2118668599">
      <w:bodyDiv w:val="1"/>
      <w:marLeft w:val="0"/>
      <w:marRight w:val="0"/>
      <w:marTop w:val="0"/>
      <w:marBottom w:val="0"/>
      <w:divBdr>
        <w:top w:val="none" w:sz="0" w:space="0" w:color="auto"/>
        <w:left w:val="none" w:sz="0" w:space="0" w:color="auto"/>
        <w:bottom w:val="none" w:sz="0" w:space="0" w:color="auto"/>
        <w:right w:val="none" w:sz="0" w:space="0" w:color="auto"/>
      </w:divBdr>
    </w:div>
    <w:div w:id="2127381473">
      <w:bodyDiv w:val="1"/>
      <w:marLeft w:val="0"/>
      <w:marRight w:val="0"/>
      <w:marTop w:val="0"/>
      <w:marBottom w:val="0"/>
      <w:divBdr>
        <w:top w:val="none" w:sz="0" w:space="0" w:color="auto"/>
        <w:left w:val="none" w:sz="0" w:space="0" w:color="auto"/>
        <w:bottom w:val="none" w:sz="0" w:space="0" w:color="auto"/>
        <w:right w:val="none" w:sz="0" w:space="0" w:color="auto"/>
      </w:divBdr>
    </w:div>
    <w:div w:id="2144418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bundesverfassungsgericht.de/SharedDocs/Entscheidungen/EN/1983/12/rs19831215_1bvr020983en.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6C006-C233-DC4B-B92B-B88C4BA46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5155</Words>
  <Characters>28356</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2024-06-25T14:22:00Z</dcterms:created>
  <dcterms:modified xsi:type="dcterms:W3CDTF">2024-06-25T14:22:00Z</dcterms:modified>
</cp:coreProperties>
</file>