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116B" w:rsidRPr="002C0AEF" w:rsidRDefault="0098116B" w:rsidP="0098116B">
      <w:pPr>
        <w:spacing w:line="360" w:lineRule="auto"/>
        <w:jc w:val="center"/>
        <w:rPr>
          <w:b/>
          <w:lang w:val="es-AR"/>
        </w:rPr>
      </w:pPr>
      <w:r w:rsidRPr="002C0AEF">
        <w:rPr>
          <w:b/>
          <w:lang w:val="es-AR"/>
        </w:rPr>
        <w:t xml:space="preserve">Procedimientos para la protección de datos personales en los medios digitales. </w:t>
      </w:r>
      <w:r>
        <w:rPr>
          <w:b/>
          <w:lang w:val="es-AR"/>
        </w:rPr>
        <w:t>Desafíos legales</w:t>
      </w:r>
      <w:r w:rsidRPr="002C0AEF">
        <w:rPr>
          <w:b/>
          <w:lang w:val="es-AR"/>
        </w:rPr>
        <w:t>.</w:t>
      </w:r>
    </w:p>
    <w:p w:rsidR="0098116B" w:rsidRPr="002C0AEF" w:rsidRDefault="0098116B" w:rsidP="0098116B">
      <w:pPr>
        <w:spacing w:line="360" w:lineRule="auto"/>
        <w:jc w:val="both"/>
        <w:rPr>
          <w:b/>
          <w:lang w:val="es-AR"/>
        </w:rPr>
      </w:pPr>
    </w:p>
    <w:p w:rsidR="0098116B" w:rsidRPr="00A35DD5" w:rsidRDefault="0098116B" w:rsidP="0098116B">
      <w:pPr>
        <w:spacing w:line="360" w:lineRule="auto"/>
        <w:jc w:val="both"/>
        <w:rPr>
          <w:b/>
          <w:iCs/>
        </w:rPr>
      </w:pPr>
      <w:r w:rsidRPr="002C0AEF">
        <w:rPr>
          <w:b/>
          <w:lang w:val="es-AR"/>
        </w:rPr>
        <w:t xml:space="preserve">Sumario: </w:t>
      </w:r>
      <w:r w:rsidRPr="002C0AEF">
        <w:rPr>
          <w:b/>
          <w:color w:val="000000" w:themeColor="text1"/>
          <w:lang w:val="es-AR"/>
        </w:rPr>
        <w:t xml:space="preserve">1. Introducción. </w:t>
      </w:r>
      <w:r w:rsidRPr="002C0AEF">
        <w:rPr>
          <w:b/>
          <w:color w:val="000000" w:themeColor="text1"/>
        </w:rPr>
        <w:t>2</w:t>
      </w:r>
      <w:r w:rsidRPr="002C0AEF">
        <w:rPr>
          <w:b/>
          <w:color w:val="000000" w:themeColor="text1"/>
          <w:lang w:val="es-AR"/>
        </w:rPr>
        <w:t xml:space="preserve">. </w:t>
      </w:r>
      <w:r>
        <w:rPr>
          <w:b/>
          <w:color w:val="000000" w:themeColor="text1"/>
          <w:lang w:val="es-AR"/>
        </w:rPr>
        <w:t xml:space="preserve">Consideraciones sobre la </w:t>
      </w:r>
      <w:r w:rsidRPr="002C0AEF">
        <w:rPr>
          <w:b/>
          <w:color w:val="000000" w:themeColor="text1"/>
          <w:lang w:val="es-AR"/>
        </w:rPr>
        <w:t>protección de datos personales</w:t>
      </w:r>
      <w:r>
        <w:rPr>
          <w:b/>
          <w:color w:val="000000" w:themeColor="text1"/>
          <w:lang w:val="es-AR"/>
        </w:rPr>
        <w:t xml:space="preserve"> en internet</w:t>
      </w:r>
      <w:r w:rsidRPr="002C0AEF">
        <w:rPr>
          <w:b/>
          <w:color w:val="000000" w:themeColor="text1"/>
          <w:lang w:val="es-AR"/>
        </w:rPr>
        <w:t>.</w:t>
      </w:r>
      <w:r w:rsidRPr="002C0AEF">
        <w:rPr>
          <w:b/>
          <w:color w:val="000000" w:themeColor="text1"/>
        </w:rPr>
        <w:t xml:space="preserve"> 3. Los buscadores de Internet y la ley de protección de datos personales.</w:t>
      </w:r>
      <w:r>
        <w:rPr>
          <w:color w:val="000000" w:themeColor="text1"/>
        </w:rPr>
        <w:t xml:space="preserve"> </w:t>
      </w:r>
      <w:r>
        <w:rPr>
          <w:b/>
          <w:iCs/>
        </w:rPr>
        <w:t>4.</w:t>
      </w:r>
      <w:r w:rsidRPr="002C0AEF">
        <w:rPr>
          <w:b/>
          <w:iCs/>
        </w:rPr>
        <w:t xml:space="preserve"> Derecho </w:t>
      </w:r>
      <w:r>
        <w:rPr>
          <w:b/>
          <w:iCs/>
        </w:rPr>
        <w:t xml:space="preserve">al </w:t>
      </w:r>
      <w:r w:rsidRPr="002C0AEF">
        <w:rPr>
          <w:b/>
          <w:iCs/>
        </w:rPr>
        <w:t>olvido.</w:t>
      </w:r>
      <w:r>
        <w:rPr>
          <w:b/>
          <w:iCs/>
        </w:rPr>
        <w:t xml:space="preserve"> 4.1 Origen y conceptualización. 4.2 El derecho al olvido en materia penal. </w:t>
      </w:r>
      <w:r>
        <w:rPr>
          <w:b/>
          <w:color w:val="000000" w:themeColor="text1"/>
          <w:lang w:val="es-AR"/>
        </w:rPr>
        <w:t>5</w:t>
      </w:r>
      <w:r w:rsidRPr="002C0AEF">
        <w:rPr>
          <w:b/>
          <w:color w:val="000000" w:themeColor="text1"/>
          <w:lang w:val="es-AR"/>
        </w:rPr>
        <w:t>. La regulación de la actividad en internet y la libertad de expresión. La protección contra el discurso de incitación al odio</w:t>
      </w:r>
      <w:r>
        <w:rPr>
          <w:b/>
          <w:color w:val="000000" w:themeColor="text1"/>
          <w:lang w:val="es-AR"/>
        </w:rPr>
        <w:t>, el honor y la intimidad</w:t>
      </w:r>
      <w:r w:rsidRPr="002C0AEF">
        <w:rPr>
          <w:b/>
          <w:color w:val="000000" w:themeColor="text1"/>
          <w:lang w:val="es-AR"/>
        </w:rPr>
        <w:t>.</w:t>
      </w:r>
      <w:r>
        <w:rPr>
          <w:b/>
          <w:color w:val="000000" w:themeColor="text1"/>
          <w:lang w:val="es-AR"/>
        </w:rPr>
        <w:t xml:space="preserve"> </w:t>
      </w:r>
      <w:r>
        <w:rPr>
          <w:b/>
          <w:iCs/>
          <w:lang w:val="es-AR"/>
        </w:rPr>
        <w:t>6.</w:t>
      </w:r>
      <w:r w:rsidRPr="002C0AEF">
        <w:rPr>
          <w:b/>
          <w:iCs/>
          <w:lang w:val="es-AR"/>
        </w:rPr>
        <w:t xml:space="preserve"> </w:t>
      </w:r>
      <w:r w:rsidRPr="002C0AEF">
        <w:rPr>
          <w:b/>
          <w:iCs/>
          <w:lang w:val="es-ES_tradnl"/>
        </w:rPr>
        <w:t>Usuarios y responsables de bancos o archivos de datos</w:t>
      </w:r>
      <w:r w:rsidRPr="002C0AEF">
        <w:rPr>
          <w:b/>
          <w:iCs/>
          <w:lang w:val="es-AR"/>
        </w:rPr>
        <w:t xml:space="preserve"> y </w:t>
      </w:r>
      <w:r w:rsidRPr="002C0AEF">
        <w:rPr>
          <w:b/>
          <w:i/>
          <w:iCs/>
          <w:lang w:val="es-AR"/>
        </w:rPr>
        <w:t>Cloud Computing</w:t>
      </w:r>
      <w:r w:rsidRPr="002C0AEF">
        <w:rPr>
          <w:b/>
          <w:iCs/>
          <w:lang w:val="es-AR"/>
        </w:rPr>
        <w:t>.</w:t>
      </w:r>
      <w:r>
        <w:rPr>
          <w:b/>
          <w:iCs/>
          <w:lang w:val="es-AR"/>
        </w:rPr>
        <w:t xml:space="preserve"> 7</w:t>
      </w:r>
      <w:r w:rsidRPr="002C0AEF">
        <w:rPr>
          <w:b/>
          <w:iCs/>
          <w:lang w:val="es-AR"/>
        </w:rPr>
        <w:t xml:space="preserve">. Data </w:t>
      </w:r>
      <w:proofErr w:type="spellStart"/>
      <w:r w:rsidRPr="002C0AEF">
        <w:rPr>
          <w:b/>
          <w:iCs/>
          <w:lang w:val="es-AR"/>
        </w:rPr>
        <w:t>mining</w:t>
      </w:r>
      <w:proofErr w:type="spellEnd"/>
      <w:r w:rsidRPr="002C0AEF">
        <w:rPr>
          <w:b/>
          <w:iCs/>
          <w:lang w:val="es-AR"/>
        </w:rPr>
        <w:t>.</w:t>
      </w:r>
      <w:r>
        <w:rPr>
          <w:b/>
          <w:iCs/>
        </w:rPr>
        <w:t xml:space="preserve"> </w:t>
      </w:r>
      <w:r>
        <w:rPr>
          <w:b/>
          <w:lang w:val="es-AR"/>
        </w:rPr>
        <w:t xml:space="preserve">8. Proyecto de ley para regular la responsabilidad de los proveedores de internet. </w:t>
      </w:r>
      <w:r w:rsidR="0042669D">
        <w:rPr>
          <w:b/>
          <w:lang w:val="es-AR"/>
        </w:rPr>
        <w:t>9</w:t>
      </w:r>
      <w:r w:rsidRPr="002C0AEF">
        <w:rPr>
          <w:b/>
          <w:iCs/>
        </w:rPr>
        <w:t xml:space="preserve">. Conclusiones. </w:t>
      </w:r>
    </w:p>
    <w:p w:rsidR="0098116B" w:rsidRPr="002C0AEF" w:rsidRDefault="0098116B" w:rsidP="0098116B">
      <w:pPr>
        <w:spacing w:line="360" w:lineRule="auto"/>
        <w:jc w:val="both"/>
        <w:rPr>
          <w:b/>
          <w:lang w:val="es-AR"/>
        </w:rPr>
      </w:pPr>
    </w:p>
    <w:p w:rsidR="0098116B" w:rsidRPr="002C0AEF" w:rsidRDefault="0098116B" w:rsidP="0098116B">
      <w:pPr>
        <w:spacing w:line="360" w:lineRule="auto"/>
        <w:jc w:val="both"/>
        <w:outlineLvl w:val="0"/>
        <w:rPr>
          <w:b/>
          <w:color w:val="000000" w:themeColor="text1"/>
          <w:lang w:val="es-AR"/>
        </w:rPr>
      </w:pPr>
      <w:r w:rsidRPr="002C0AEF">
        <w:rPr>
          <w:b/>
          <w:color w:val="000000" w:themeColor="text1"/>
          <w:lang w:val="es-AR"/>
        </w:rPr>
        <w:t>1. Introducción.</w:t>
      </w:r>
    </w:p>
    <w:p w:rsidR="0098116B" w:rsidRPr="002C0AEF" w:rsidRDefault="0098116B" w:rsidP="0098116B">
      <w:pPr>
        <w:spacing w:line="360" w:lineRule="auto"/>
        <w:ind w:firstLine="567"/>
        <w:jc w:val="both"/>
        <w:rPr>
          <w:color w:val="000000" w:themeColor="text1"/>
        </w:rPr>
      </w:pPr>
      <w:r w:rsidRPr="002C0AEF">
        <w:rPr>
          <w:color w:val="000000" w:themeColor="text1"/>
        </w:rPr>
        <w:t xml:space="preserve">La inserción de la informática en el ámbito jurídico es una inevitable y necesaria consecuencia del </w:t>
      </w:r>
      <w:r>
        <w:rPr>
          <w:color w:val="000000" w:themeColor="text1"/>
        </w:rPr>
        <w:t xml:space="preserve">desarrollo </w:t>
      </w:r>
      <w:r w:rsidRPr="002C0AEF">
        <w:rPr>
          <w:color w:val="000000" w:themeColor="text1"/>
        </w:rPr>
        <w:t xml:space="preserve">de las nuevas tecnologías. No caben dudas que uno de los temas fundamentales a considerar dentro de esta problemática es la protección jurídica de los derechos individuales a la luz de los </w:t>
      </w:r>
      <w:r>
        <w:rPr>
          <w:color w:val="000000" w:themeColor="text1"/>
        </w:rPr>
        <w:t>avance</w:t>
      </w:r>
      <w:r w:rsidRPr="002C0AEF">
        <w:rPr>
          <w:color w:val="000000" w:themeColor="text1"/>
        </w:rPr>
        <w:t>s tecnológicos</w:t>
      </w:r>
      <w:r>
        <w:rPr>
          <w:color w:val="000000" w:themeColor="text1"/>
        </w:rPr>
        <w:t>.</w:t>
      </w:r>
      <w:r w:rsidRPr="002C0AEF">
        <w:rPr>
          <w:color w:val="000000" w:themeColor="text1"/>
        </w:rPr>
        <w:t xml:space="preserve"> Este debate se ha instalado en la mayoría de los sistemas normativos, y mantendrá vigencia mientras continúe este proceso global</w:t>
      </w:r>
      <w:r w:rsidRPr="002C0AEF">
        <w:rPr>
          <w:rStyle w:val="Refdenotaalpie"/>
          <w:color w:val="000000" w:themeColor="text1"/>
        </w:rPr>
        <w:footnoteReference w:id="1"/>
      </w:r>
      <w:r w:rsidRPr="002C0AEF">
        <w:rPr>
          <w:color w:val="000000" w:themeColor="text1"/>
        </w:rPr>
        <w:t>.</w:t>
      </w:r>
    </w:p>
    <w:p w:rsidR="0098116B" w:rsidRPr="002C0AEF" w:rsidRDefault="00D25663" w:rsidP="0098116B">
      <w:pPr>
        <w:spacing w:line="360" w:lineRule="auto"/>
        <w:ind w:firstLine="567"/>
        <w:jc w:val="both"/>
        <w:rPr>
          <w:color w:val="000000" w:themeColor="text1"/>
          <w:lang w:val="es-AR"/>
        </w:rPr>
      </w:pPr>
      <w:r>
        <w:rPr>
          <w:color w:val="000000" w:themeColor="text1"/>
          <w:lang w:val="es-AR"/>
        </w:rPr>
        <w:t>Estas innovacion</w:t>
      </w:r>
      <w:r w:rsidR="0098116B">
        <w:rPr>
          <w:color w:val="000000" w:themeColor="text1"/>
          <w:lang w:val="es-AR"/>
        </w:rPr>
        <w:t>es a nivel informático obligaron</w:t>
      </w:r>
      <w:r w:rsidR="0098116B" w:rsidRPr="002C0AEF">
        <w:rPr>
          <w:color w:val="000000" w:themeColor="text1"/>
          <w:lang w:val="es-AR"/>
        </w:rPr>
        <w:t xml:space="preserve"> a abandonar el concepto de intimidad como libertad negativa, exigiendo avanzar hacia una fase activa del proceso de circulación de la información personal al brindar protagonismo al interesado, posibilitándole el ejercicio de un adecuado control para la preservación de su libertad informática, espectro en cuyo interior subyace la nota de exigencia de veracidad y precisión de la información que le concierne</w:t>
      </w:r>
      <w:r w:rsidR="0098116B" w:rsidRPr="002C0AEF">
        <w:rPr>
          <w:rStyle w:val="Refdenotaalpie"/>
          <w:color w:val="000000" w:themeColor="text1"/>
          <w:lang w:val="es-AR"/>
        </w:rPr>
        <w:footnoteReference w:id="2"/>
      </w:r>
      <w:r w:rsidR="0098116B" w:rsidRPr="002C0AEF">
        <w:rPr>
          <w:color w:val="000000" w:themeColor="text1"/>
          <w:lang w:val="es-AR"/>
        </w:rPr>
        <w:t>.</w:t>
      </w:r>
    </w:p>
    <w:p w:rsidR="0098116B" w:rsidRPr="002C0AEF" w:rsidRDefault="0098116B" w:rsidP="0098116B">
      <w:pPr>
        <w:spacing w:line="360" w:lineRule="auto"/>
        <w:ind w:firstLine="567"/>
        <w:jc w:val="both"/>
        <w:rPr>
          <w:color w:val="000000" w:themeColor="text1"/>
          <w:lang w:val="es-ES_tradnl"/>
        </w:rPr>
      </w:pPr>
      <w:r w:rsidRPr="002C0AEF">
        <w:rPr>
          <w:color w:val="000000" w:themeColor="text1"/>
          <w:lang w:val="es-AR"/>
        </w:rPr>
        <w:lastRenderedPageBreak/>
        <w:t>Estos fenómenos sociales dieron lugar a un nuevo derecho humano derivado de la intimidad; la autodeterminación informativa</w:t>
      </w:r>
      <w:r w:rsidRPr="002C0AEF">
        <w:rPr>
          <w:rStyle w:val="Refdenotaalpie"/>
          <w:color w:val="000000" w:themeColor="text1"/>
          <w:lang w:val="es-AR"/>
        </w:rPr>
        <w:footnoteReference w:id="3"/>
      </w:r>
      <w:r w:rsidRPr="002C0AEF">
        <w:rPr>
          <w:color w:val="000000" w:themeColor="text1"/>
          <w:lang w:val="es-AR"/>
        </w:rPr>
        <w:t xml:space="preserve">. </w:t>
      </w:r>
      <w:r w:rsidRPr="002C0AEF">
        <w:rPr>
          <w:color w:val="000000" w:themeColor="text1"/>
          <w:lang w:val="es-ES_tradnl"/>
        </w:rPr>
        <w:t>Siguiendo esta línea argumental, podemos considerar que el derecho a la autodeterminación informativa es el fundamento de la protección de los datos personales.</w:t>
      </w:r>
    </w:p>
    <w:p w:rsidR="0098116B" w:rsidRPr="002C0AEF" w:rsidRDefault="0098116B" w:rsidP="0098116B">
      <w:pPr>
        <w:spacing w:line="360" w:lineRule="auto"/>
        <w:ind w:firstLine="567"/>
        <w:jc w:val="both"/>
        <w:rPr>
          <w:color w:val="000000" w:themeColor="text1"/>
        </w:rPr>
      </w:pPr>
      <w:r w:rsidRPr="002C0AEF">
        <w:rPr>
          <w:color w:val="000000" w:themeColor="text1"/>
        </w:rPr>
        <w:t>Esta prerrogativa consiste en la posibilidad que tienen los titulares de los datos, de controlar quiénes serán destinatarios de esa información y qué uso se dará a la misma. Se ejerce genéricamente a través de los derechos de acceso, rectificación, supresión, confidencialidad y cancelación</w:t>
      </w:r>
      <w:r w:rsidRPr="002C0AEF">
        <w:rPr>
          <w:color w:val="000000" w:themeColor="text1"/>
          <w:vertAlign w:val="superscript"/>
          <w:lang w:val="es-ES_tradnl"/>
        </w:rPr>
        <w:footnoteReference w:id="4"/>
      </w:r>
      <w:r w:rsidRPr="002C0AEF">
        <w:rPr>
          <w:color w:val="000000" w:themeColor="text1"/>
        </w:rPr>
        <w:t xml:space="preserve">. </w:t>
      </w:r>
    </w:p>
    <w:p w:rsidR="0098116B" w:rsidRPr="002C0AEF" w:rsidRDefault="0098116B" w:rsidP="0098116B">
      <w:pPr>
        <w:widowControl w:val="0"/>
        <w:suppressAutoHyphens/>
        <w:autoSpaceDE w:val="0"/>
        <w:autoSpaceDN w:val="0"/>
        <w:adjustRightInd w:val="0"/>
        <w:spacing w:line="360" w:lineRule="auto"/>
        <w:ind w:firstLine="567"/>
        <w:jc w:val="both"/>
        <w:rPr>
          <w:color w:val="000000" w:themeColor="text1"/>
        </w:rPr>
      </w:pPr>
      <w:r>
        <w:rPr>
          <w:color w:val="000000" w:themeColor="text1"/>
        </w:rPr>
        <w:t>De manera casi imperceptible o muchas veces sin darse cuenta l</w:t>
      </w:r>
      <w:r w:rsidRPr="002C0AEF">
        <w:rPr>
          <w:color w:val="000000" w:themeColor="text1"/>
        </w:rPr>
        <w:t xml:space="preserve">as personas que viven en una sociedad tecnológicamente desarrollada, proporcionan </w:t>
      </w:r>
      <w:r>
        <w:rPr>
          <w:color w:val="000000" w:themeColor="text1"/>
        </w:rPr>
        <w:t>constantemente</w:t>
      </w:r>
      <w:r w:rsidRPr="002C0AEF">
        <w:rPr>
          <w:color w:val="000000" w:themeColor="text1"/>
        </w:rPr>
        <w:t xml:space="preserve"> información acerca de sí mismas como; el domicilio, número de documento, profesión, miembros que integran su familia, si poseen tarjetas de créditos o cuenta bancaria, si tienen automóvil, estudios cursados, informes relacionados con su patrimonio, </w:t>
      </w:r>
      <w:proofErr w:type="spellStart"/>
      <w:r w:rsidRPr="002C0AEF">
        <w:rPr>
          <w:color w:val="000000" w:themeColor="text1"/>
        </w:rPr>
        <w:t>etc</w:t>
      </w:r>
      <w:proofErr w:type="spellEnd"/>
      <w:r w:rsidRPr="002C0AEF">
        <w:rPr>
          <w:rStyle w:val="Refdenotaalpie"/>
          <w:color w:val="000000" w:themeColor="text1"/>
        </w:rPr>
        <w:footnoteReference w:id="5"/>
      </w:r>
      <w:r w:rsidRPr="002C0AEF">
        <w:rPr>
          <w:color w:val="000000" w:themeColor="text1"/>
        </w:rPr>
        <w:t xml:space="preserve">. </w:t>
      </w:r>
    </w:p>
    <w:p w:rsidR="0098116B" w:rsidRDefault="0098116B" w:rsidP="0098116B">
      <w:pPr>
        <w:spacing w:line="360" w:lineRule="auto"/>
        <w:ind w:firstLine="567"/>
        <w:jc w:val="both"/>
        <w:rPr>
          <w:color w:val="000000" w:themeColor="text1"/>
          <w:lang w:val="es-ES_tradnl"/>
        </w:rPr>
      </w:pPr>
      <w:r w:rsidRPr="002C0AEF">
        <w:rPr>
          <w:color w:val="000000" w:themeColor="text1"/>
          <w:lang w:val="es-ES_tradnl"/>
        </w:rPr>
        <w:t>Lo que caracteriza al dato personal es precisamente la posibilidad de identificar con alguna precisión a la persona, física o jurídica, a la que el dato pertenece. Dicha posibilidad es lo que origina la protección, pues a través del dato se puede llegar no sólo a la persona, sino incluso a establecer conductas y prácticas que únicamente mediando la expresa voluntad de ésta, pueden trascender la esfera de su intimidad</w:t>
      </w:r>
      <w:r w:rsidRPr="002C0AEF">
        <w:rPr>
          <w:rStyle w:val="Refdenotaalpie"/>
          <w:color w:val="000000" w:themeColor="text1"/>
          <w:lang w:val="es-ES_tradnl"/>
        </w:rPr>
        <w:footnoteReference w:id="6"/>
      </w:r>
      <w:r w:rsidRPr="002C0AEF">
        <w:rPr>
          <w:color w:val="000000" w:themeColor="text1"/>
          <w:lang w:val="es-ES_tradnl"/>
        </w:rPr>
        <w:t xml:space="preserve">. </w:t>
      </w:r>
    </w:p>
    <w:p w:rsidR="0098116B" w:rsidRPr="002C0AEF" w:rsidRDefault="0098116B" w:rsidP="0098116B">
      <w:pPr>
        <w:spacing w:line="360" w:lineRule="auto"/>
        <w:ind w:firstLine="567"/>
        <w:jc w:val="both"/>
        <w:rPr>
          <w:color w:val="000000" w:themeColor="text1"/>
          <w:lang w:val="es-ES_tradnl"/>
        </w:rPr>
      </w:pPr>
      <w:r w:rsidRPr="002C0AEF">
        <w:rPr>
          <w:color w:val="000000" w:themeColor="text1"/>
          <w:lang w:val="es-ES_tradnl"/>
        </w:rPr>
        <w:t xml:space="preserve">Según </w:t>
      </w:r>
      <w:proofErr w:type="spellStart"/>
      <w:r w:rsidRPr="002C0AEF">
        <w:rPr>
          <w:color w:val="000000" w:themeColor="text1"/>
          <w:lang w:val="es-ES_tradnl"/>
        </w:rPr>
        <w:t>Bidart</w:t>
      </w:r>
      <w:proofErr w:type="spellEnd"/>
      <w:r w:rsidRPr="002C0AEF">
        <w:rPr>
          <w:color w:val="000000" w:themeColor="text1"/>
          <w:lang w:val="es-ES_tradnl"/>
        </w:rPr>
        <w:t xml:space="preserve"> Campos</w:t>
      </w:r>
      <w:r w:rsidRPr="002C0AEF">
        <w:rPr>
          <w:color w:val="000000" w:themeColor="text1"/>
          <w:vertAlign w:val="superscript"/>
          <w:lang w:val="es-ES_tradnl"/>
        </w:rPr>
        <w:footnoteReference w:id="7"/>
      </w:r>
      <w:r w:rsidRPr="002C0AEF">
        <w:rPr>
          <w:color w:val="000000" w:themeColor="text1"/>
          <w:lang w:val="es-ES_tradnl"/>
        </w:rPr>
        <w:t xml:space="preserve">, la doctrina y el derecho comparado en materia de habeas data tienen su punto de partida en el derecho personal a conocer los propios datos, que existan en registros o bancos. De ahí en más, una vez conocidos éstos se podrá proceder a; </w:t>
      </w:r>
      <w:r w:rsidRPr="002C0AEF">
        <w:rPr>
          <w:color w:val="000000" w:themeColor="text1"/>
          <w:lang w:val="es-ES_tradnl"/>
        </w:rPr>
        <w:lastRenderedPageBreak/>
        <w:t xml:space="preserve">modificarlos, rectificarlos, ampliarlos, proteger los datos sensibles, suprimirlos, actualizarlos, impedir su divulgación, etc. </w:t>
      </w:r>
    </w:p>
    <w:p w:rsidR="0098116B" w:rsidRPr="002C0AEF" w:rsidRDefault="0098116B" w:rsidP="0098116B">
      <w:pPr>
        <w:spacing w:line="360" w:lineRule="auto"/>
        <w:ind w:firstLine="567"/>
        <w:jc w:val="both"/>
        <w:rPr>
          <w:color w:val="000000" w:themeColor="text1"/>
          <w:lang w:val="es-ES_tradnl"/>
        </w:rPr>
      </w:pPr>
      <w:r w:rsidRPr="002C0AEF">
        <w:rPr>
          <w:color w:val="000000" w:themeColor="text1"/>
          <w:lang w:val="es-ES_tradnl"/>
        </w:rPr>
        <w:t>Las facultades de disposición y control son los fundamentos que sostienen la estructura legal de la protección de los datos personales. En estas facultades se arraigan los requisitos y principios de licitud de su tratamiento, como lo son el consentimiento previo y los derechos de oposición, acceso, rectificación y supresión de la información personal, entre otros. La protección de datos es la respuesta del derecho a la nuevas tecnologías, que permite transpolar la garantía del habeas corpus al habeas data: del “tengo mi cuerpo” al “tengo mis datos”, para controlarlos y determinarlos</w:t>
      </w:r>
      <w:r w:rsidRPr="002C0AEF">
        <w:rPr>
          <w:rStyle w:val="Refdenotaalpie"/>
          <w:color w:val="000000" w:themeColor="text1"/>
          <w:lang w:val="es-ES_tradnl"/>
        </w:rPr>
        <w:footnoteReference w:id="8"/>
      </w:r>
      <w:r w:rsidRPr="002C0AEF">
        <w:rPr>
          <w:color w:val="000000" w:themeColor="text1"/>
          <w:lang w:val="es-ES_tradnl"/>
        </w:rPr>
        <w:t xml:space="preserve">. </w:t>
      </w:r>
    </w:p>
    <w:p w:rsidR="0098116B" w:rsidRPr="002C0AEF" w:rsidRDefault="0098116B" w:rsidP="0098116B">
      <w:pPr>
        <w:spacing w:line="360" w:lineRule="auto"/>
        <w:ind w:firstLine="567"/>
        <w:jc w:val="both"/>
        <w:rPr>
          <w:color w:val="000000" w:themeColor="text1"/>
        </w:rPr>
      </w:pPr>
      <w:r w:rsidRPr="002C0AEF">
        <w:rPr>
          <w:color w:val="000000" w:themeColor="text1"/>
        </w:rPr>
        <w:t xml:space="preserve">Sin duda, la garantía de habeas data y a través de la misma el derecho a la protección de los datos personales -entendida como la rama del derecho que protege la autodeterminación informativa de las personas-, </w:t>
      </w:r>
      <w:proofErr w:type="gramStart"/>
      <w:r w:rsidRPr="002C0AEF">
        <w:rPr>
          <w:color w:val="000000" w:themeColor="text1"/>
        </w:rPr>
        <w:t>aparecen</w:t>
      </w:r>
      <w:proofErr w:type="gramEnd"/>
      <w:r w:rsidRPr="002C0AEF">
        <w:rPr>
          <w:color w:val="000000" w:themeColor="text1"/>
        </w:rPr>
        <w:t xml:space="preserve"> como un punto de partida que marcará para siempre un hito en la regulación de la informática y las comunicaciones</w:t>
      </w:r>
      <w:r w:rsidRPr="002C0AEF">
        <w:rPr>
          <w:rStyle w:val="Refdenotaalpie"/>
          <w:color w:val="000000" w:themeColor="text1"/>
        </w:rPr>
        <w:footnoteReference w:id="9"/>
      </w:r>
      <w:r w:rsidRPr="002C0AEF">
        <w:rPr>
          <w:color w:val="000000" w:themeColor="text1"/>
        </w:rPr>
        <w:t>.</w:t>
      </w:r>
    </w:p>
    <w:p w:rsidR="0098116B" w:rsidRPr="002C0AEF" w:rsidRDefault="0098116B" w:rsidP="0098116B">
      <w:pPr>
        <w:spacing w:line="360" w:lineRule="auto"/>
        <w:ind w:firstLine="567"/>
        <w:jc w:val="both"/>
        <w:rPr>
          <w:color w:val="000000" w:themeColor="text1"/>
        </w:rPr>
      </w:pPr>
      <w:r w:rsidRPr="002C0AEF">
        <w:rPr>
          <w:color w:val="000000" w:themeColor="text1"/>
        </w:rPr>
        <w:t xml:space="preserve">Por otra parte, un nuevo reto que se presenta a todos aquellos que tienen un perfil creado en distintas redes sociales como </w:t>
      </w:r>
      <w:proofErr w:type="spellStart"/>
      <w:r w:rsidRPr="002C0AEF">
        <w:rPr>
          <w:color w:val="000000" w:themeColor="text1"/>
        </w:rPr>
        <w:t>Facebook</w:t>
      </w:r>
      <w:proofErr w:type="spellEnd"/>
      <w:r w:rsidRPr="002C0AEF">
        <w:rPr>
          <w:color w:val="000000" w:themeColor="text1"/>
        </w:rPr>
        <w:t xml:space="preserve">, </w:t>
      </w:r>
      <w:proofErr w:type="spellStart"/>
      <w:r w:rsidRPr="002C0AEF">
        <w:rPr>
          <w:color w:val="000000" w:themeColor="text1"/>
        </w:rPr>
        <w:t>Instagram</w:t>
      </w:r>
      <w:proofErr w:type="spellEnd"/>
      <w:r w:rsidRPr="002C0AEF">
        <w:rPr>
          <w:color w:val="000000" w:themeColor="text1"/>
        </w:rPr>
        <w:t xml:space="preserve"> o </w:t>
      </w:r>
      <w:proofErr w:type="spellStart"/>
      <w:r w:rsidRPr="002C0AEF">
        <w:rPr>
          <w:color w:val="000000" w:themeColor="text1"/>
        </w:rPr>
        <w:t>Twitter</w:t>
      </w:r>
      <w:proofErr w:type="spellEnd"/>
      <w:r w:rsidRPr="002C0AEF">
        <w:rPr>
          <w:color w:val="000000" w:themeColor="text1"/>
        </w:rPr>
        <w:t xml:space="preserve"> -entre otras-, es la protección de la dignidad humana, en particular del honor e intimidad frente a las agresiones de otros usuarios. </w:t>
      </w:r>
    </w:p>
    <w:p w:rsidR="0098116B" w:rsidRPr="002C0AEF" w:rsidRDefault="0098116B" w:rsidP="0098116B">
      <w:pPr>
        <w:spacing w:line="360" w:lineRule="auto"/>
        <w:ind w:firstLine="567"/>
        <w:jc w:val="both"/>
        <w:rPr>
          <w:color w:val="000000" w:themeColor="text1"/>
        </w:rPr>
      </w:pPr>
      <w:r w:rsidRPr="002C0AEF">
        <w:rPr>
          <w:color w:val="000000" w:themeColor="text1"/>
        </w:rPr>
        <w:t xml:space="preserve">Estas situaciones plantean un doble problema; por un lado, para quienes administran estas redes, y por el otro, para quienes resultan </w:t>
      </w:r>
      <w:proofErr w:type="gramStart"/>
      <w:r w:rsidRPr="002C0AEF">
        <w:rPr>
          <w:color w:val="000000" w:themeColor="text1"/>
        </w:rPr>
        <w:t>agredidos</w:t>
      </w:r>
      <w:proofErr w:type="gramEnd"/>
      <w:r w:rsidRPr="002C0AEF">
        <w:rPr>
          <w:color w:val="000000" w:themeColor="text1"/>
        </w:rPr>
        <w:t xml:space="preserve"> muchas veces a través de perfiles falsos o anónimos. </w:t>
      </w:r>
    </w:p>
    <w:p w:rsidR="0098116B" w:rsidRPr="002C0AEF" w:rsidRDefault="0098116B" w:rsidP="0098116B">
      <w:pPr>
        <w:spacing w:line="360" w:lineRule="auto"/>
        <w:ind w:firstLine="567"/>
        <w:jc w:val="both"/>
        <w:rPr>
          <w:color w:val="000000" w:themeColor="text1"/>
        </w:rPr>
      </w:pPr>
      <w:r w:rsidRPr="002C0AEF">
        <w:rPr>
          <w:color w:val="000000" w:themeColor="text1"/>
        </w:rPr>
        <w:t>A lo largo de este trabajo me propongo estudiar los distintos recursos que existen para</w:t>
      </w:r>
      <w:r w:rsidRPr="002C0AEF">
        <w:rPr>
          <w:color w:val="000000" w:themeColor="text1"/>
          <w:lang w:val="es-AR"/>
        </w:rPr>
        <w:t xml:space="preserve"> la protección de los datos personales, y sus derechos conexos como el honor y la intimidad en los medios digitales.</w:t>
      </w:r>
      <w:r w:rsidRPr="002C0AEF">
        <w:rPr>
          <w:color w:val="000000" w:themeColor="text1"/>
        </w:rPr>
        <w:t xml:space="preserve"> Asimismo, analizaremos los riesgos de regular internet y sus consecuencias para la libertad de expresión.</w:t>
      </w:r>
      <w:r w:rsidRPr="002C0AEF">
        <w:rPr>
          <w:b/>
          <w:color w:val="000000" w:themeColor="text1"/>
        </w:rPr>
        <w:t xml:space="preserve"> </w:t>
      </w:r>
    </w:p>
    <w:p w:rsidR="0098116B" w:rsidRPr="002C0AEF" w:rsidRDefault="0098116B" w:rsidP="0098116B">
      <w:pPr>
        <w:spacing w:line="360" w:lineRule="auto"/>
        <w:jc w:val="both"/>
        <w:rPr>
          <w:color w:val="000000" w:themeColor="text1"/>
          <w:lang w:val="es-AR"/>
        </w:rPr>
      </w:pPr>
    </w:p>
    <w:p w:rsidR="0098116B" w:rsidRDefault="0098116B" w:rsidP="0098116B">
      <w:pPr>
        <w:spacing w:line="360" w:lineRule="auto"/>
        <w:jc w:val="both"/>
        <w:rPr>
          <w:b/>
          <w:color w:val="000000" w:themeColor="text1"/>
          <w:lang w:val="es-AR"/>
        </w:rPr>
      </w:pPr>
      <w:r w:rsidRPr="002C0AEF">
        <w:rPr>
          <w:b/>
          <w:color w:val="000000" w:themeColor="text1"/>
        </w:rPr>
        <w:t>2</w:t>
      </w:r>
      <w:r w:rsidRPr="002C0AEF">
        <w:rPr>
          <w:b/>
          <w:color w:val="000000" w:themeColor="text1"/>
          <w:lang w:val="es-AR"/>
        </w:rPr>
        <w:t xml:space="preserve">. </w:t>
      </w:r>
      <w:r>
        <w:rPr>
          <w:b/>
          <w:color w:val="000000" w:themeColor="text1"/>
          <w:lang w:val="es-AR"/>
        </w:rPr>
        <w:t xml:space="preserve">Consideraciones sobre la </w:t>
      </w:r>
      <w:r w:rsidRPr="002C0AEF">
        <w:rPr>
          <w:b/>
          <w:color w:val="000000" w:themeColor="text1"/>
          <w:lang w:val="es-AR"/>
        </w:rPr>
        <w:t>protección de datos personales</w:t>
      </w:r>
      <w:r>
        <w:rPr>
          <w:b/>
          <w:color w:val="000000" w:themeColor="text1"/>
          <w:lang w:val="es-AR"/>
        </w:rPr>
        <w:t xml:space="preserve"> en internet</w:t>
      </w:r>
      <w:r w:rsidRPr="002C0AEF">
        <w:rPr>
          <w:b/>
          <w:color w:val="000000" w:themeColor="text1"/>
          <w:lang w:val="es-AR"/>
        </w:rPr>
        <w:t>.</w:t>
      </w:r>
    </w:p>
    <w:p w:rsidR="0098116B" w:rsidRPr="002C0AEF" w:rsidRDefault="0098116B" w:rsidP="0098116B">
      <w:pPr>
        <w:spacing w:line="360" w:lineRule="auto"/>
        <w:ind w:firstLine="567"/>
        <w:jc w:val="both"/>
        <w:rPr>
          <w:color w:val="000000" w:themeColor="text1"/>
        </w:rPr>
      </w:pPr>
      <w:r>
        <w:rPr>
          <w:color w:val="000000" w:themeColor="text1"/>
        </w:rPr>
        <w:lastRenderedPageBreak/>
        <w:t>Se ha señalado que Internet nace como un ámbito de plena libertad donde todo pareciera ser válido y cualquier intento de impedir, filtrar o castigar por contenidos violatorios de la moral o en definitiva de la ley no es aceptable</w:t>
      </w:r>
      <w:r>
        <w:rPr>
          <w:rStyle w:val="Refdenotaalpie"/>
          <w:color w:val="000000" w:themeColor="text1"/>
        </w:rPr>
        <w:footnoteReference w:id="10"/>
      </w:r>
      <w:r>
        <w:rPr>
          <w:color w:val="000000" w:themeColor="text1"/>
        </w:rPr>
        <w:t>. No obstante, d</w:t>
      </w:r>
      <w:r w:rsidRPr="002C0AEF">
        <w:rPr>
          <w:color w:val="000000" w:themeColor="text1"/>
        </w:rPr>
        <w:t xml:space="preserve">esde el ámbito normativo, no puede concebirse que Internet constituya un territorio virtual donde las conductas ilegales no generen consecuencias jurídicas alguna. </w:t>
      </w:r>
    </w:p>
    <w:p w:rsidR="0098116B" w:rsidRPr="002C0AEF" w:rsidRDefault="0098116B" w:rsidP="0098116B">
      <w:pPr>
        <w:spacing w:line="360" w:lineRule="auto"/>
        <w:ind w:firstLine="567"/>
        <w:jc w:val="both"/>
        <w:rPr>
          <w:color w:val="000000" w:themeColor="text1"/>
        </w:rPr>
      </w:pPr>
      <w:r w:rsidRPr="002C0AEF">
        <w:rPr>
          <w:color w:val="000000" w:themeColor="text1"/>
        </w:rPr>
        <w:t>En</w:t>
      </w:r>
      <w:r>
        <w:rPr>
          <w:color w:val="000000" w:themeColor="text1"/>
        </w:rPr>
        <w:t xml:space="preserve"> la actualidad</w:t>
      </w:r>
      <w:r w:rsidRPr="002C0AEF">
        <w:rPr>
          <w:color w:val="000000" w:themeColor="text1"/>
        </w:rPr>
        <w:t xml:space="preserve">, </w:t>
      </w:r>
      <w:r>
        <w:rPr>
          <w:color w:val="000000" w:themeColor="text1"/>
        </w:rPr>
        <w:t xml:space="preserve">diversos actividades </w:t>
      </w:r>
      <w:r w:rsidRPr="002C0AEF">
        <w:rPr>
          <w:color w:val="000000" w:themeColor="text1"/>
        </w:rPr>
        <w:t>como la compraventa de inmuebles, la implantación de las empresas en diferentes países, así como la propia movilidad de las personas, implican un flujo constante de información, que necesariamente debe ser sometida a los cánones internacionales y a la legislación propia de cada Estado, en aras de garantizar la protección de la intimidad de las personas y sus datos personales</w:t>
      </w:r>
      <w:r w:rsidRPr="002C0AEF">
        <w:rPr>
          <w:rStyle w:val="Refdenotaalpie"/>
          <w:color w:val="000000" w:themeColor="text1"/>
        </w:rPr>
        <w:footnoteReference w:id="11"/>
      </w:r>
      <w:r w:rsidRPr="002C0AEF">
        <w:rPr>
          <w:color w:val="000000" w:themeColor="text1"/>
        </w:rPr>
        <w:t xml:space="preserve">. </w:t>
      </w:r>
    </w:p>
    <w:p w:rsidR="0098116B" w:rsidRPr="002C0AEF" w:rsidRDefault="0098116B" w:rsidP="0098116B">
      <w:pPr>
        <w:spacing w:line="360" w:lineRule="auto"/>
        <w:ind w:firstLine="567"/>
        <w:jc w:val="both"/>
        <w:rPr>
          <w:color w:val="000000" w:themeColor="text1"/>
        </w:rPr>
      </w:pPr>
      <w:r w:rsidRPr="002C0AEF">
        <w:rPr>
          <w:color w:val="000000" w:themeColor="text1"/>
        </w:rPr>
        <w:t xml:space="preserve">De esta forma se agudiza una irresuelta preocupación que enfrentan los sistemas jurídicos desde que comenzó el proceso de expansión de las redes sociales, que no es otra que las implicancias de esta situación en el sistema de protección de datos personales, los daños al honor y las posibles lesiones a la intimidad. </w:t>
      </w:r>
    </w:p>
    <w:p w:rsidR="0098116B" w:rsidRPr="002C0AEF" w:rsidRDefault="0098116B" w:rsidP="0098116B">
      <w:pPr>
        <w:spacing w:line="360" w:lineRule="auto"/>
        <w:ind w:firstLine="567"/>
        <w:jc w:val="both"/>
        <w:rPr>
          <w:color w:val="000000" w:themeColor="text1"/>
        </w:rPr>
      </w:pPr>
      <w:r>
        <w:rPr>
          <w:color w:val="000000" w:themeColor="text1"/>
        </w:rPr>
        <w:t>M</w:t>
      </w:r>
      <w:r w:rsidRPr="002C0AEF">
        <w:rPr>
          <w:color w:val="000000" w:themeColor="text1"/>
        </w:rPr>
        <w:t xml:space="preserve">ás allá de la numerosa cantidad de usuarios de Internet, la red no puede ser considerada una fuente de acceso público irrestricto en los términos de la ley de Protección de Datos Personales, dado que gran parte de estos datos que circulan en la </w:t>
      </w:r>
      <w:r w:rsidRPr="002C0AEF">
        <w:rPr>
          <w:i/>
          <w:color w:val="000000" w:themeColor="text1"/>
        </w:rPr>
        <w:t xml:space="preserve">web </w:t>
      </w:r>
      <w:r w:rsidRPr="002C0AEF">
        <w:rPr>
          <w:color w:val="000000" w:themeColor="text1"/>
        </w:rPr>
        <w:t>son publicados sin el consentimiento de su titular</w:t>
      </w:r>
      <w:r w:rsidRPr="002C0AEF">
        <w:rPr>
          <w:rStyle w:val="Refdenotaalpie"/>
          <w:color w:val="000000" w:themeColor="text1"/>
        </w:rPr>
        <w:footnoteReference w:id="12"/>
      </w:r>
      <w:r w:rsidRPr="002C0AEF">
        <w:rPr>
          <w:color w:val="000000" w:themeColor="text1"/>
        </w:rPr>
        <w:t>.</w:t>
      </w:r>
    </w:p>
    <w:p w:rsidR="0098116B" w:rsidRPr="002C0AEF" w:rsidRDefault="0098116B" w:rsidP="0098116B">
      <w:pPr>
        <w:spacing w:line="360" w:lineRule="auto"/>
        <w:ind w:firstLine="567"/>
        <w:jc w:val="both"/>
        <w:rPr>
          <w:color w:val="000000" w:themeColor="text1"/>
          <w:lang w:val="es-AR"/>
        </w:rPr>
      </w:pPr>
      <w:r w:rsidRPr="002C0AEF">
        <w:rPr>
          <w:color w:val="000000" w:themeColor="text1"/>
        </w:rPr>
        <w:t xml:space="preserve">Esta postura fue adoptada por </w:t>
      </w:r>
      <w:r w:rsidRPr="002C0AEF">
        <w:rPr>
          <w:color w:val="000000" w:themeColor="text1"/>
          <w:lang w:val="es-AR"/>
        </w:rPr>
        <w:t xml:space="preserve">la Asamblea General de la ONU, y plasmada en la Resolución denominada </w:t>
      </w:r>
      <w:r w:rsidRPr="002C0AEF">
        <w:rPr>
          <w:i/>
          <w:color w:val="000000" w:themeColor="text1"/>
          <w:lang w:val="es-AR"/>
        </w:rPr>
        <w:t>“El derecho a la privacidad en la era digital”</w:t>
      </w:r>
      <w:r w:rsidRPr="002C0AEF">
        <w:rPr>
          <w:color w:val="000000" w:themeColor="text1"/>
          <w:lang w:val="es-AR"/>
        </w:rPr>
        <w:t>, que se aprobó el 18 de diciembre de 2013. Allí, se destacó la obligación de los Estados de respetar y proteger el derecho a la privacidad en el contexto de las comunicaciones digitales, de conformidad con el derecho internacional de los derechos humanos</w:t>
      </w:r>
      <w:r w:rsidRPr="002C0AEF">
        <w:rPr>
          <w:rStyle w:val="Refdenotaalpie"/>
          <w:color w:val="000000" w:themeColor="text1"/>
          <w:lang w:val="es-AR"/>
        </w:rPr>
        <w:footnoteReference w:id="13"/>
      </w:r>
      <w:r w:rsidRPr="002C0AEF">
        <w:rPr>
          <w:color w:val="000000" w:themeColor="text1"/>
          <w:lang w:val="es-AR"/>
        </w:rPr>
        <w:t xml:space="preserve">.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lastRenderedPageBreak/>
        <w:t xml:space="preserve">En efecto, en el citado documento se enfatizó el deber de las autoridades, por un lado, de abstenerse a realizar intromisiones arbitrarias en la órbita del individuo, su información personal y sus comunicaciones; y por el otro, el de garantizar que terceros no lleven a cabo tales conductas abusivas.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La Comisión Interam</w:t>
      </w:r>
      <w:r w:rsidR="00F6566F">
        <w:rPr>
          <w:color w:val="000000" w:themeColor="text1"/>
          <w:lang w:val="es-AR"/>
        </w:rPr>
        <w:t>ericana de Derechos Humanos ha manifestad</w:t>
      </w:r>
      <w:r w:rsidRPr="002C0AEF">
        <w:rPr>
          <w:color w:val="000000" w:themeColor="text1"/>
          <w:lang w:val="es-AR"/>
        </w:rPr>
        <w:t xml:space="preserve">o que dado el impacto de internet en la vida privada de las personas, los Estados deben fijar regímenes de protección de datos personales que regulen su almacenamiento, procesamiento, uso y transferencia. El principio 3° de la Declaración de Principios sobre Libertad de Expresión adoptada por la CIDH, dispone que </w:t>
      </w:r>
      <w:r w:rsidRPr="002C0AEF">
        <w:rPr>
          <w:i/>
          <w:color w:val="000000" w:themeColor="text1"/>
          <w:lang w:val="es-AR"/>
        </w:rPr>
        <w:t>“[t]</w:t>
      </w:r>
      <w:proofErr w:type="spellStart"/>
      <w:r w:rsidRPr="002C0AEF">
        <w:rPr>
          <w:i/>
          <w:color w:val="000000" w:themeColor="text1"/>
          <w:lang w:val="es-AR"/>
        </w:rPr>
        <w:t>oda</w:t>
      </w:r>
      <w:proofErr w:type="spellEnd"/>
      <w:r w:rsidRPr="002C0AEF">
        <w:rPr>
          <w:i/>
          <w:color w:val="000000" w:themeColor="text1"/>
          <w:lang w:val="es-AR"/>
        </w:rPr>
        <w:t xml:space="preserve"> persona tiene el derecho a acceder a la información sobre sí misma o sus bienes en forma expedita y no onerosa, ya sea que esté contenida en bases de datos, registros públicos o privados y, en el caso de que fuere necesario, actualizarla, rectificarla y/o enmendarla”</w:t>
      </w:r>
      <w:r w:rsidRPr="002C0AEF">
        <w:rPr>
          <w:color w:val="000000" w:themeColor="text1"/>
          <w:lang w:val="es-AR"/>
        </w:rPr>
        <w:t>. En consecuencia, los Estados están obligados a prohibir el uso de los datos personales para fines contrarios a los Tratados de Derechos Humanos, a establecer derechos de información, corrección y eliminación de datos -siempre que resulte necesario-, así como a crear mecanismos de supervisión efectivos</w:t>
      </w:r>
      <w:r w:rsidRPr="002C0AEF">
        <w:rPr>
          <w:rStyle w:val="Refdenotaalpie"/>
          <w:color w:val="000000" w:themeColor="text1"/>
          <w:lang w:val="es-AR"/>
        </w:rPr>
        <w:footnoteReference w:id="14"/>
      </w:r>
      <w:r w:rsidRPr="002C0AEF">
        <w:rPr>
          <w:color w:val="000000" w:themeColor="text1"/>
          <w:lang w:val="es-AR"/>
        </w:rPr>
        <w:t xml:space="preserve">. </w:t>
      </w:r>
    </w:p>
    <w:p w:rsidR="0098116B" w:rsidRPr="002C0AEF" w:rsidRDefault="0098116B" w:rsidP="0098116B">
      <w:pPr>
        <w:spacing w:line="360" w:lineRule="auto"/>
        <w:ind w:firstLine="567"/>
        <w:jc w:val="both"/>
        <w:rPr>
          <w:color w:val="000000" w:themeColor="text1"/>
        </w:rPr>
      </w:pPr>
      <w:r>
        <w:rPr>
          <w:color w:val="000000" w:themeColor="text1"/>
        </w:rPr>
        <w:t>Resulta evidente</w:t>
      </w:r>
      <w:r w:rsidRPr="002C0AEF">
        <w:rPr>
          <w:color w:val="000000" w:themeColor="text1"/>
        </w:rPr>
        <w:t xml:space="preserve"> la preocupación de distintos organismos internacionales</w:t>
      </w:r>
      <w:r>
        <w:rPr>
          <w:color w:val="000000" w:themeColor="text1"/>
        </w:rPr>
        <w:t xml:space="preserve"> </w:t>
      </w:r>
      <w:r w:rsidRPr="002C0AEF">
        <w:rPr>
          <w:color w:val="000000" w:themeColor="text1"/>
        </w:rPr>
        <w:t xml:space="preserve">por </w:t>
      </w:r>
      <w:r>
        <w:rPr>
          <w:color w:val="000000" w:themeColor="text1"/>
        </w:rPr>
        <w:t xml:space="preserve">encontrar mecanismos que garanticen </w:t>
      </w:r>
      <w:r w:rsidRPr="002C0AEF">
        <w:rPr>
          <w:color w:val="000000" w:themeColor="text1"/>
        </w:rPr>
        <w:t>la protección de da</w:t>
      </w:r>
      <w:r>
        <w:rPr>
          <w:color w:val="000000" w:themeColor="text1"/>
        </w:rPr>
        <w:t xml:space="preserve">tos personales, </w:t>
      </w:r>
      <w:r w:rsidRPr="002C0AEF">
        <w:rPr>
          <w:color w:val="000000" w:themeColor="text1"/>
        </w:rPr>
        <w:t xml:space="preserve">la intimidad y el honor de los sujetos </w:t>
      </w:r>
      <w:r>
        <w:rPr>
          <w:color w:val="000000" w:themeColor="text1"/>
        </w:rPr>
        <w:t xml:space="preserve">que interactúan </w:t>
      </w:r>
      <w:r w:rsidRPr="002C0AEF">
        <w:rPr>
          <w:color w:val="000000" w:themeColor="text1"/>
        </w:rPr>
        <w:t xml:space="preserve">en internet.  </w:t>
      </w:r>
    </w:p>
    <w:p w:rsidR="0098116B" w:rsidRPr="002C0AEF" w:rsidRDefault="0098116B" w:rsidP="0098116B">
      <w:pPr>
        <w:spacing w:line="360" w:lineRule="auto"/>
        <w:jc w:val="both"/>
        <w:rPr>
          <w:color w:val="000000" w:themeColor="text1"/>
        </w:rPr>
      </w:pPr>
    </w:p>
    <w:p w:rsidR="0098116B" w:rsidRPr="002C0AEF" w:rsidRDefault="0098116B" w:rsidP="00767268">
      <w:pPr>
        <w:spacing w:line="360" w:lineRule="auto"/>
        <w:jc w:val="both"/>
        <w:outlineLvl w:val="0"/>
        <w:rPr>
          <w:color w:val="000000" w:themeColor="text1"/>
        </w:rPr>
      </w:pPr>
      <w:r w:rsidRPr="002C0AEF">
        <w:rPr>
          <w:b/>
          <w:color w:val="000000" w:themeColor="text1"/>
        </w:rPr>
        <w:t>3. Los buscadores de Internet y la ley de protección de datos personales.</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La discusión acerca de si los motores de búsqueda realizan tratamiento de datos, y si corresponde aplicarles la normativa que los protege, fue objeto de diversos análisis jurídicos a partir del paradigmático fallo </w:t>
      </w:r>
      <w:r w:rsidRPr="002C0AEF">
        <w:rPr>
          <w:i/>
          <w:color w:val="000000" w:themeColor="text1"/>
          <w:lang w:val="es-AR"/>
        </w:rPr>
        <w:t>"</w:t>
      </w:r>
      <w:proofErr w:type="spellStart"/>
      <w:r w:rsidRPr="002C0AEF">
        <w:rPr>
          <w:i/>
          <w:color w:val="000000" w:themeColor="text1"/>
          <w:lang w:val="es-AR"/>
        </w:rPr>
        <w:t>Costeja</w:t>
      </w:r>
      <w:proofErr w:type="spellEnd"/>
      <w:r w:rsidRPr="002C0AEF">
        <w:rPr>
          <w:i/>
          <w:color w:val="000000" w:themeColor="text1"/>
          <w:lang w:val="es-AR"/>
        </w:rPr>
        <w:t xml:space="preserve"> </w:t>
      </w:r>
      <w:proofErr w:type="spellStart"/>
      <w:r w:rsidRPr="002C0AEF">
        <w:rPr>
          <w:i/>
          <w:color w:val="000000" w:themeColor="text1"/>
          <w:lang w:val="es-AR"/>
        </w:rPr>
        <w:t>Gonzalez</w:t>
      </w:r>
      <w:proofErr w:type="spellEnd"/>
      <w:r w:rsidRPr="002C0AEF">
        <w:rPr>
          <w:i/>
          <w:color w:val="000000" w:themeColor="text1"/>
          <w:lang w:val="es-AR"/>
        </w:rPr>
        <w:t>"</w:t>
      </w:r>
      <w:r w:rsidRPr="002C0AEF">
        <w:rPr>
          <w:rStyle w:val="Refdenotaalpie"/>
          <w:color w:val="000000" w:themeColor="text1"/>
          <w:lang w:val="es-AR"/>
        </w:rPr>
        <w:footnoteReference w:id="15"/>
      </w:r>
      <w:r w:rsidRPr="002C0AEF">
        <w:rPr>
          <w:color w:val="000000" w:themeColor="text1"/>
          <w:lang w:val="es-AR"/>
        </w:rPr>
        <w:t xml:space="preserve"> del Tribunal de Justicia de la Unión Europea.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En este precedente, el Tribunal sostuvo que el gestor o intermediario es responsable del tratamiento de datos, desde el momento en que determina la finalidad y los medios de </w:t>
      </w:r>
      <w:r w:rsidRPr="002C0AEF">
        <w:rPr>
          <w:color w:val="000000" w:themeColor="text1"/>
          <w:lang w:val="es-AR"/>
        </w:rPr>
        <w:lastRenderedPageBreak/>
        <w:t>dicho tratamiento; de ahí que se lo considere "responsable" en virtud de lo prescripto por el artículo 2º, inciso d) de la Directiva de Protección de Datos de la Unión Europea</w:t>
      </w:r>
      <w:r w:rsidRPr="002C0AEF">
        <w:rPr>
          <w:rStyle w:val="Refdenotaalpie"/>
          <w:color w:val="000000" w:themeColor="text1"/>
          <w:lang w:val="es-AR"/>
        </w:rPr>
        <w:footnoteReference w:id="16"/>
      </w:r>
      <w:r w:rsidRPr="002C0AEF">
        <w:rPr>
          <w:color w:val="000000" w:themeColor="text1"/>
          <w:lang w:val="es-AR"/>
        </w:rPr>
        <w:t xml:space="preserve">. Agrega, que ya en la sentencia </w:t>
      </w:r>
      <w:r w:rsidRPr="002C0AEF">
        <w:rPr>
          <w:i/>
          <w:color w:val="000000" w:themeColor="text1"/>
          <w:lang w:val="es-AR"/>
        </w:rPr>
        <w:t>"</w:t>
      </w:r>
      <w:proofErr w:type="spellStart"/>
      <w:r w:rsidRPr="002C0AEF">
        <w:rPr>
          <w:i/>
          <w:color w:val="000000" w:themeColor="text1"/>
          <w:lang w:val="es-AR"/>
        </w:rPr>
        <w:t>Lindqvist</w:t>
      </w:r>
      <w:proofErr w:type="spellEnd"/>
      <w:r w:rsidRPr="002C0AEF">
        <w:rPr>
          <w:i/>
          <w:color w:val="000000" w:themeColor="text1"/>
          <w:lang w:val="es-AR"/>
        </w:rPr>
        <w:t>"</w:t>
      </w:r>
      <w:r w:rsidRPr="002C0AEF">
        <w:rPr>
          <w:rStyle w:val="Refdenotaalpie"/>
          <w:color w:val="000000" w:themeColor="text1"/>
          <w:lang w:val="es-AR"/>
        </w:rPr>
        <w:footnoteReference w:id="17"/>
      </w:r>
      <w:r w:rsidRPr="002C0AEF">
        <w:rPr>
          <w:color w:val="000000" w:themeColor="text1"/>
          <w:lang w:val="es-AR"/>
        </w:rPr>
        <w:t xml:space="preserve"> había tenido oportunidad de puntualizar que la conducta consistente en hacer referencias en una página </w:t>
      </w:r>
      <w:r w:rsidRPr="002C0AEF">
        <w:rPr>
          <w:i/>
          <w:color w:val="000000" w:themeColor="text1"/>
          <w:lang w:val="es-AR"/>
        </w:rPr>
        <w:t>web</w:t>
      </w:r>
      <w:r w:rsidRPr="002C0AEF">
        <w:rPr>
          <w:color w:val="000000" w:themeColor="text1"/>
          <w:lang w:val="es-AR"/>
        </w:rPr>
        <w:t xml:space="preserve"> a datos personales, debe considerarse "tratamiento".</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Con base en estos argumentos, concluyó que toda vez que la actividad de un motor de búsqueda pueda afectar derechos fundamentales como la privacidad y la protección de datos personales, el gestor de ese motor como persona que determina los fines y los medios de esa actividad, debe garantizar que la misma respete las exigencias de la Directiva 95/46, a fin que la tutela consagrada en ésta tenga pleno efecto.</w:t>
      </w:r>
    </w:p>
    <w:p w:rsidR="0098116B" w:rsidRDefault="0098116B" w:rsidP="0098116B">
      <w:pPr>
        <w:spacing w:line="360" w:lineRule="auto"/>
        <w:ind w:firstLine="567"/>
        <w:jc w:val="both"/>
        <w:rPr>
          <w:color w:val="000000" w:themeColor="text1"/>
          <w:lang w:val="es-AR"/>
        </w:rPr>
      </w:pPr>
      <w:r w:rsidRPr="002C0AEF">
        <w:rPr>
          <w:color w:val="000000" w:themeColor="text1"/>
          <w:lang w:val="es-AR"/>
        </w:rPr>
        <w:t>Asimismo, destacó que de conformidad con el artículo 6º de la Directiva, le corresponde al responsable del tratamiento asegurar que los datos personales sean tratados de manera lícita, que sean recogidos con fines determinados, explícitos y legítimos, como también que la actividad no se desarrolle de manera incompatible con estos objetivos. Juzgando que el responsable debe adoptar todas las medidas razonables para que los datos que no responden a estos requisitos, sean suprimidos o rectificados.</w:t>
      </w:r>
    </w:p>
    <w:p w:rsidR="0098116B" w:rsidRPr="002C0AEF" w:rsidRDefault="0098116B" w:rsidP="0098116B">
      <w:pPr>
        <w:widowControl w:val="0"/>
        <w:tabs>
          <w:tab w:val="left" w:pos="3402"/>
        </w:tabs>
        <w:suppressAutoHyphens/>
        <w:autoSpaceDE w:val="0"/>
        <w:autoSpaceDN w:val="0"/>
        <w:adjustRightInd w:val="0"/>
        <w:spacing w:line="360" w:lineRule="auto"/>
        <w:ind w:firstLine="567"/>
        <w:jc w:val="both"/>
        <w:rPr>
          <w:b/>
          <w:color w:val="000000" w:themeColor="text1"/>
        </w:rPr>
      </w:pPr>
      <w:proofErr w:type="spellStart"/>
      <w:r w:rsidRPr="002C0AEF">
        <w:rPr>
          <w:color w:val="000000" w:themeColor="text1"/>
        </w:rPr>
        <w:t>Palazzi</w:t>
      </w:r>
      <w:proofErr w:type="spellEnd"/>
      <w:r w:rsidRPr="002C0AEF">
        <w:rPr>
          <w:rStyle w:val="Refdenotaalpie"/>
          <w:color w:val="000000" w:themeColor="text1"/>
        </w:rPr>
        <w:footnoteReference w:id="18"/>
      </w:r>
      <w:r w:rsidRPr="002C0AEF">
        <w:rPr>
          <w:color w:val="000000" w:themeColor="text1"/>
        </w:rPr>
        <w:t xml:space="preserve">, </w:t>
      </w:r>
      <w:r>
        <w:rPr>
          <w:color w:val="000000" w:themeColor="text1"/>
        </w:rPr>
        <w:t xml:space="preserve">destaca que </w:t>
      </w:r>
      <w:r w:rsidRPr="002C0AEF">
        <w:rPr>
          <w:color w:val="000000" w:themeColor="text1"/>
        </w:rPr>
        <w:t>existen buscadores de personas (</w:t>
      </w:r>
      <w:r w:rsidRPr="002C0AEF">
        <w:rPr>
          <w:i/>
          <w:color w:val="000000" w:themeColor="text1"/>
        </w:rPr>
        <w:t xml:space="preserve">personal data </w:t>
      </w:r>
      <w:proofErr w:type="spellStart"/>
      <w:r w:rsidRPr="002C0AEF">
        <w:rPr>
          <w:i/>
          <w:color w:val="000000" w:themeColor="text1"/>
        </w:rPr>
        <w:t>agregators</w:t>
      </w:r>
      <w:proofErr w:type="spellEnd"/>
      <w:r w:rsidRPr="002C0AEF">
        <w:rPr>
          <w:color w:val="000000" w:themeColor="text1"/>
        </w:rPr>
        <w:t xml:space="preserve">) que permiten aglutinar, relacionar con sorprendente precisión, y encontrar todo lo que está en la </w:t>
      </w:r>
      <w:r w:rsidRPr="002C0AEF">
        <w:rPr>
          <w:i/>
          <w:color w:val="000000" w:themeColor="text1"/>
        </w:rPr>
        <w:t>web</w:t>
      </w:r>
      <w:r w:rsidRPr="002C0AEF">
        <w:rPr>
          <w:color w:val="000000" w:themeColor="text1"/>
        </w:rPr>
        <w:t xml:space="preserve"> sobre una persona (</w:t>
      </w:r>
      <w:proofErr w:type="spellStart"/>
      <w:r w:rsidRPr="002C0AEF">
        <w:rPr>
          <w:i/>
          <w:color w:val="000000" w:themeColor="text1"/>
        </w:rPr>
        <w:t>Spokeo</w:t>
      </w:r>
      <w:proofErr w:type="spellEnd"/>
      <w:r w:rsidRPr="002C0AEF">
        <w:rPr>
          <w:i/>
          <w:color w:val="000000" w:themeColor="text1"/>
        </w:rPr>
        <w:t xml:space="preserve">, 123People o </w:t>
      </w:r>
      <w:proofErr w:type="spellStart"/>
      <w:r w:rsidRPr="002C0AEF">
        <w:rPr>
          <w:i/>
          <w:color w:val="000000" w:themeColor="text1"/>
        </w:rPr>
        <w:t>Peoplefinders</w:t>
      </w:r>
      <w:proofErr w:type="spellEnd"/>
      <w:r w:rsidRPr="002C0AEF">
        <w:rPr>
          <w:color w:val="000000" w:themeColor="text1"/>
        </w:rPr>
        <w:t xml:space="preserve">).  </w:t>
      </w:r>
    </w:p>
    <w:p w:rsidR="0098116B" w:rsidRPr="002C0AEF" w:rsidRDefault="0098116B" w:rsidP="0098116B">
      <w:pPr>
        <w:widowControl w:val="0"/>
        <w:tabs>
          <w:tab w:val="left" w:pos="3402"/>
        </w:tabs>
        <w:suppressAutoHyphens/>
        <w:autoSpaceDE w:val="0"/>
        <w:autoSpaceDN w:val="0"/>
        <w:adjustRightInd w:val="0"/>
        <w:spacing w:line="360" w:lineRule="auto"/>
        <w:ind w:firstLine="567"/>
        <w:jc w:val="both"/>
        <w:rPr>
          <w:color w:val="000000" w:themeColor="text1"/>
        </w:rPr>
      </w:pPr>
      <w:r w:rsidRPr="002C0AEF">
        <w:rPr>
          <w:color w:val="000000" w:themeColor="text1"/>
        </w:rPr>
        <w:t>Por su parte, Molina Quiroga</w:t>
      </w:r>
      <w:r w:rsidRPr="002C0AEF">
        <w:rPr>
          <w:rStyle w:val="Refdenotaalpie"/>
          <w:color w:val="000000" w:themeColor="text1"/>
        </w:rPr>
        <w:footnoteReference w:id="19"/>
      </w:r>
      <w:r w:rsidRPr="002C0AEF">
        <w:rPr>
          <w:color w:val="000000" w:themeColor="text1"/>
        </w:rPr>
        <w:t xml:space="preserve"> cita casos como “</w:t>
      </w:r>
      <w:r w:rsidRPr="002C0AEF">
        <w:rPr>
          <w:i/>
          <w:color w:val="000000" w:themeColor="text1"/>
        </w:rPr>
        <w:t>sepalo.info</w:t>
      </w:r>
      <w:r w:rsidRPr="002C0AEF">
        <w:rPr>
          <w:color w:val="000000" w:themeColor="text1"/>
        </w:rPr>
        <w:t>”, “</w:t>
      </w:r>
      <w:proofErr w:type="spellStart"/>
      <w:r w:rsidRPr="002C0AEF">
        <w:rPr>
          <w:i/>
          <w:color w:val="000000" w:themeColor="text1"/>
        </w:rPr>
        <w:t>cuitonline</w:t>
      </w:r>
      <w:proofErr w:type="spellEnd"/>
      <w:r w:rsidRPr="002C0AEF">
        <w:rPr>
          <w:color w:val="000000" w:themeColor="text1"/>
        </w:rPr>
        <w:t xml:space="preserve">” y otros sitios similares, que </w:t>
      </w:r>
      <w:r w:rsidRPr="002C0AEF">
        <w:rPr>
          <w:i/>
          <w:color w:val="000000" w:themeColor="text1"/>
        </w:rPr>
        <w:t>“ofertan la búsqueda de datos de cualquier persona, incluso con resultados que las bases de datos originarias no tienen accesibles al público”</w:t>
      </w:r>
      <w:r w:rsidRPr="002C0AEF">
        <w:rPr>
          <w:color w:val="000000" w:themeColor="text1"/>
        </w:rPr>
        <w:t xml:space="preserve">. Al respecto, afirma que </w:t>
      </w:r>
      <w:r w:rsidRPr="002C0AEF">
        <w:rPr>
          <w:i/>
          <w:color w:val="000000" w:themeColor="text1"/>
        </w:rPr>
        <w:t xml:space="preserve">“esas bases de datos personales actúan al margen de la Ley de Protección de Datos argentina, ya que no están registradas en la Dirección Nacional de Protección de </w:t>
      </w:r>
      <w:r w:rsidRPr="002C0AEF">
        <w:rPr>
          <w:i/>
          <w:color w:val="000000" w:themeColor="text1"/>
        </w:rPr>
        <w:lastRenderedPageBreak/>
        <w:t>Datos Personales y generalmente su dominio está registrado en otros países, y hasta es difícil conocer quiénes son los responsables”</w:t>
      </w:r>
      <w:r w:rsidRPr="002C0AEF">
        <w:rPr>
          <w:color w:val="000000" w:themeColor="text1"/>
        </w:rPr>
        <w:t xml:space="preserve">. </w:t>
      </w:r>
    </w:p>
    <w:p w:rsidR="0098116B" w:rsidRPr="00957FC1" w:rsidRDefault="0098116B" w:rsidP="0098116B">
      <w:pPr>
        <w:spacing w:line="360" w:lineRule="auto"/>
        <w:ind w:firstLine="567"/>
        <w:jc w:val="both"/>
        <w:rPr>
          <w:color w:val="000000" w:themeColor="text1"/>
        </w:rPr>
      </w:pPr>
      <w:r w:rsidRPr="002C0AEF">
        <w:rPr>
          <w:color w:val="000000" w:themeColor="text1"/>
        </w:rPr>
        <w:t>Ruiz Martínez</w:t>
      </w:r>
      <w:r w:rsidRPr="002C0AEF">
        <w:rPr>
          <w:rStyle w:val="Refdenotaalpie"/>
          <w:color w:val="000000" w:themeColor="text1"/>
        </w:rPr>
        <w:footnoteReference w:id="20"/>
      </w:r>
      <w:r w:rsidRPr="002C0AEF">
        <w:rPr>
          <w:color w:val="000000" w:themeColor="text1"/>
        </w:rPr>
        <w:t>, se ha pronunciado a favor del derecho a la protección de datos personales y a la intimidad en Internet. En este sentido, ha señalado que cuando en su actividad de relacionamiento de datos el buscador proporciona resultados que causan daños al honor o la intimidad, esa actividad, según las circunstancias del caso podría estar alcanzada por la Ley de Protección de Datos Personales. Considera, con acierto, que la persona afectada puede pedirle al buscador que bloquee el resultado, ya que el tratamiento de los datos que hace la</w:t>
      </w:r>
      <w:r w:rsidR="00113266">
        <w:rPr>
          <w:color w:val="000000" w:themeColor="text1"/>
        </w:rPr>
        <w:t xml:space="preserve"> empresa está alcanzado por la l</w:t>
      </w:r>
      <w:r w:rsidRPr="002C0AEF">
        <w:rPr>
          <w:color w:val="000000" w:themeColor="text1"/>
        </w:rPr>
        <w:t>ey N° 25.326.</w:t>
      </w:r>
    </w:p>
    <w:p w:rsidR="0098116B" w:rsidRPr="00F8407C" w:rsidRDefault="0098116B" w:rsidP="0098116B">
      <w:pPr>
        <w:spacing w:line="360" w:lineRule="auto"/>
        <w:ind w:firstLine="567"/>
        <w:jc w:val="both"/>
        <w:rPr>
          <w:color w:val="000000" w:themeColor="text1"/>
        </w:rPr>
      </w:pPr>
      <w:r>
        <w:rPr>
          <w:color w:val="000000" w:themeColor="text1"/>
        </w:rPr>
        <w:t xml:space="preserve">Más allá de las consideraciones previas, es cierto que el fenómeno de la información </w:t>
      </w:r>
      <w:proofErr w:type="spellStart"/>
      <w:r>
        <w:rPr>
          <w:i/>
          <w:color w:val="000000" w:themeColor="text1"/>
        </w:rPr>
        <w:t>on</w:t>
      </w:r>
      <w:proofErr w:type="spellEnd"/>
      <w:r>
        <w:rPr>
          <w:i/>
          <w:color w:val="000000" w:themeColor="text1"/>
        </w:rPr>
        <w:t xml:space="preserve"> line </w:t>
      </w:r>
      <w:r>
        <w:rPr>
          <w:color w:val="000000" w:themeColor="text1"/>
        </w:rPr>
        <w:t xml:space="preserve">y la tarea de los buscadores de internet que resulta cada vez más eficiente, marca una diferencia substancial respecto a la realidad prevista por la ley N° </w:t>
      </w:r>
      <w:r w:rsidR="00113266">
        <w:rPr>
          <w:color w:val="000000" w:themeColor="text1"/>
        </w:rPr>
        <w:t>25.</w:t>
      </w:r>
      <w:r>
        <w:rPr>
          <w:color w:val="000000" w:themeColor="text1"/>
        </w:rPr>
        <w:t xml:space="preserve">326.  Aunque fueran públicos, esos archivos o bancos de datos, tenían un acceso más restringido y los datos se podían encontrar mediante una búsqueda más o menos específica, mientras que en el medio </w:t>
      </w:r>
      <w:proofErr w:type="spellStart"/>
      <w:r w:rsidRPr="00F327F7">
        <w:rPr>
          <w:i/>
          <w:color w:val="000000" w:themeColor="text1"/>
        </w:rPr>
        <w:t>on</w:t>
      </w:r>
      <w:proofErr w:type="spellEnd"/>
      <w:r w:rsidRPr="00F327F7">
        <w:rPr>
          <w:i/>
          <w:color w:val="000000" w:themeColor="text1"/>
        </w:rPr>
        <w:t xml:space="preserve"> line</w:t>
      </w:r>
      <w:r>
        <w:rPr>
          <w:i/>
          <w:color w:val="000000" w:themeColor="text1"/>
        </w:rPr>
        <w:t xml:space="preserve">, </w:t>
      </w:r>
      <w:r>
        <w:rPr>
          <w:color w:val="000000" w:themeColor="text1"/>
        </w:rPr>
        <w:t>en cierta medida es el dato el que sale a la búsqueda del público</w:t>
      </w:r>
      <w:r>
        <w:rPr>
          <w:rStyle w:val="Refdenotaalpie"/>
          <w:color w:val="000000" w:themeColor="text1"/>
        </w:rPr>
        <w:footnoteReference w:id="21"/>
      </w:r>
      <w:r>
        <w:rPr>
          <w:color w:val="000000" w:themeColor="text1"/>
        </w:rPr>
        <w:t>.</w:t>
      </w:r>
    </w:p>
    <w:p w:rsidR="0098116B" w:rsidRDefault="0098116B" w:rsidP="0098116B">
      <w:pPr>
        <w:spacing w:line="360" w:lineRule="auto"/>
        <w:ind w:firstLine="567"/>
        <w:jc w:val="both"/>
        <w:rPr>
          <w:color w:val="000000" w:themeColor="text1"/>
        </w:rPr>
      </w:pPr>
      <w:r w:rsidRPr="002C0AEF">
        <w:rPr>
          <w:color w:val="000000" w:themeColor="text1"/>
        </w:rPr>
        <w:t xml:space="preserve">En </w:t>
      </w:r>
      <w:r>
        <w:rPr>
          <w:color w:val="000000" w:themeColor="text1"/>
        </w:rPr>
        <w:t xml:space="preserve">nuestro país se han dictado en los últimos </w:t>
      </w:r>
      <w:r w:rsidRPr="002C0AEF">
        <w:rPr>
          <w:color w:val="000000" w:themeColor="text1"/>
        </w:rPr>
        <w:t>años, numerosas sentencias</w:t>
      </w:r>
      <w:r w:rsidRPr="002C0AEF">
        <w:rPr>
          <w:color w:val="000000" w:themeColor="text1"/>
          <w:vertAlign w:val="superscript"/>
        </w:rPr>
        <w:footnoteReference w:id="22"/>
      </w:r>
      <w:r w:rsidRPr="002C0AEF">
        <w:rPr>
          <w:color w:val="000000" w:themeColor="text1"/>
        </w:rPr>
        <w:t xml:space="preserve"> que </w:t>
      </w:r>
      <w:r>
        <w:rPr>
          <w:color w:val="000000" w:themeColor="text1"/>
        </w:rPr>
        <w:t xml:space="preserve">analizan </w:t>
      </w:r>
      <w:r w:rsidRPr="002C0AEF">
        <w:rPr>
          <w:color w:val="000000" w:themeColor="text1"/>
        </w:rPr>
        <w:t xml:space="preserve">la posibilidad de solicitar a los buscadores de Internet la eliminación o el bloqueo </w:t>
      </w:r>
      <w:r w:rsidRPr="002C0AEF">
        <w:rPr>
          <w:color w:val="000000" w:themeColor="text1"/>
        </w:rPr>
        <w:lastRenderedPageBreak/>
        <w:t xml:space="preserve">de los resultados de sus búsquedas, de los datos personales considerados erróneos, obsoletos, injuriantes o violatorio de la privacidad. También, se ha discutido los límites y el alcance de la responsabilidad de los mismos en estos supuestos. </w:t>
      </w:r>
    </w:p>
    <w:p w:rsidR="0098116B" w:rsidRPr="002C0AEF" w:rsidRDefault="0098116B" w:rsidP="0098116B">
      <w:pPr>
        <w:spacing w:line="360" w:lineRule="auto"/>
        <w:ind w:firstLine="567"/>
        <w:jc w:val="both"/>
        <w:rPr>
          <w:color w:val="000000" w:themeColor="text1"/>
        </w:rPr>
      </w:pPr>
      <w:r>
        <w:rPr>
          <w:color w:val="000000" w:themeColor="text1"/>
        </w:rPr>
        <w:t>Dentro de esta</w:t>
      </w:r>
      <w:r w:rsidRPr="002C0AEF">
        <w:rPr>
          <w:color w:val="000000" w:themeColor="text1"/>
        </w:rPr>
        <w:t xml:space="preserve"> </w:t>
      </w:r>
      <w:r>
        <w:rPr>
          <w:color w:val="000000" w:themeColor="text1"/>
        </w:rPr>
        <w:t>jurisprudencia</w:t>
      </w:r>
      <w:r w:rsidRPr="002C0AEF">
        <w:rPr>
          <w:color w:val="000000" w:themeColor="text1"/>
        </w:rPr>
        <w:t xml:space="preserve">, corresponde destacar el fallo de la Corte Suprema de Justicia de la Nación en la causa </w:t>
      </w:r>
      <w:r w:rsidRPr="002C0AEF">
        <w:rPr>
          <w:i/>
          <w:color w:val="000000" w:themeColor="text1"/>
        </w:rPr>
        <w:t>“Belén Rodríguez”</w:t>
      </w:r>
      <w:r w:rsidRPr="002C0AEF">
        <w:rPr>
          <w:i/>
          <w:color w:val="000000" w:themeColor="text1"/>
          <w:vertAlign w:val="superscript"/>
        </w:rPr>
        <w:footnoteReference w:id="23"/>
      </w:r>
      <w:r w:rsidRPr="002C0AEF">
        <w:rPr>
          <w:i/>
          <w:color w:val="000000" w:themeColor="text1"/>
        </w:rPr>
        <w:t>,</w:t>
      </w:r>
      <w:r w:rsidRPr="002C0AEF">
        <w:rPr>
          <w:color w:val="000000" w:themeColor="text1"/>
        </w:rPr>
        <w:t xml:space="preserve"> atento el carácter de “guía interpretativa” que la misma tiene para los jueces inferiores. </w:t>
      </w:r>
    </w:p>
    <w:p w:rsidR="0098116B" w:rsidRPr="00A37C49" w:rsidRDefault="0098116B" w:rsidP="0098116B">
      <w:pPr>
        <w:spacing w:line="360" w:lineRule="auto"/>
        <w:ind w:firstLine="567"/>
        <w:jc w:val="both"/>
        <w:rPr>
          <w:color w:val="000000" w:themeColor="text1"/>
        </w:rPr>
      </w:pPr>
      <w:r w:rsidRPr="002C0AEF">
        <w:rPr>
          <w:color w:val="000000" w:themeColor="text1"/>
        </w:rPr>
        <w:t>El Alto Tribunal, advierte</w:t>
      </w:r>
      <w:r>
        <w:rPr>
          <w:color w:val="000000" w:themeColor="text1"/>
        </w:rPr>
        <w:t xml:space="preserve"> en este precedente</w:t>
      </w:r>
      <w:r w:rsidRPr="002C0AEF">
        <w:rPr>
          <w:color w:val="000000" w:themeColor="text1"/>
        </w:rPr>
        <w:t xml:space="preserve"> el carácter transformador de Internet, en tanto actúa como un medio a través del cual se incrementa la capacidad de los individuos de acceder a la información, fomentando no sólo el pluralismo sino su divulgación. En este contexto, </w:t>
      </w:r>
      <w:r>
        <w:rPr>
          <w:color w:val="000000" w:themeColor="text1"/>
        </w:rPr>
        <w:t xml:space="preserve">señala que </w:t>
      </w:r>
      <w:r w:rsidRPr="002C0AEF">
        <w:rPr>
          <w:color w:val="000000" w:themeColor="text1"/>
        </w:rPr>
        <w:t>los buscadores desempeñan un papel preponderante dado que son trascendentales para la difusión global de datos, facilitando el acceso a todo internauta que lleva a cabo una búsqueda a partir del nombre de un determinado sujeto</w:t>
      </w:r>
      <w:r w:rsidRPr="002C0AEF">
        <w:rPr>
          <w:rStyle w:val="Refdenotaalpie"/>
          <w:color w:val="000000" w:themeColor="text1"/>
        </w:rPr>
        <w:footnoteReference w:id="24"/>
      </w:r>
      <w:r w:rsidRPr="002C0AEF">
        <w:rPr>
          <w:color w:val="000000" w:themeColor="text1"/>
        </w:rPr>
        <w:t>.</w:t>
      </w:r>
      <w:r w:rsidRPr="002C0AEF">
        <w:rPr>
          <w:i/>
          <w:color w:val="000000" w:themeColor="text1"/>
        </w:rPr>
        <w:t xml:space="preserve"> </w:t>
      </w:r>
    </w:p>
    <w:p w:rsidR="0098116B" w:rsidRDefault="0098116B" w:rsidP="0098116B">
      <w:pPr>
        <w:spacing w:line="360" w:lineRule="auto"/>
        <w:ind w:firstLine="567"/>
        <w:jc w:val="both"/>
        <w:rPr>
          <w:color w:val="000000" w:themeColor="text1"/>
        </w:rPr>
      </w:pPr>
      <w:r>
        <w:rPr>
          <w:color w:val="000000" w:themeColor="text1"/>
        </w:rPr>
        <w:t xml:space="preserve">En este sentido, </w:t>
      </w:r>
      <w:proofErr w:type="spellStart"/>
      <w:r>
        <w:rPr>
          <w:color w:val="000000" w:themeColor="text1"/>
        </w:rPr>
        <w:t>Palazzi</w:t>
      </w:r>
      <w:proofErr w:type="spellEnd"/>
      <w:r>
        <w:rPr>
          <w:rStyle w:val="Refdenotaalpie"/>
          <w:color w:val="000000" w:themeColor="text1"/>
        </w:rPr>
        <w:footnoteReference w:id="25"/>
      </w:r>
      <w:r>
        <w:rPr>
          <w:color w:val="000000" w:themeColor="text1"/>
        </w:rPr>
        <w:t xml:space="preserve"> destaca que, el fallo bajo análisis beneficia el desarrollo de los intermediarios de Internet y les evita la carga de tener que hacerse responsables en forma automática por los contenidos generados por terceros.</w:t>
      </w:r>
    </w:p>
    <w:p w:rsidR="0098116B" w:rsidRPr="002C0AEF" w:rsidRDefault="0098116B" w:rsidP="0098116B">
      <w:pPr>
        <w:spacing w:line="360" w:lineRule="auto"/>
        <w:ind w:firstLine="567"/>
        <w:jc w:val="both"/>
        <w:rPr>
          <w:color w:val="000000" w:themeColor="text1"/>
          <w:lang w:val="es-AR"/>
        </w:rPr>
      </w:pPr>
      <w:r>
        <w:rPr>
          <w:color w:val="000000" w:themeColor="text1"/>
          <w:lang w:val="es-AR"/>
        </w:rPr>
        <w:t xml:space="preserve">Considero </w:t>
      </w:r>
      <w:r w:rsidRPr="002C0AEF">
        <w:rPr>
          <w:color w:val="000000" w:themeColor="text1"/>
          <w:lang w:val="es-AR"/>
        </w:rPr>
        <w:t>que al momento de decidir si el buscador ha realizado o no el tratamiento de datos personales, deberá aplicarse un criterio sumamente restrictivo en aras de no lesionar la lib</w:t>
      </w:r>
      <w:r>
        <w:rPr>
          <w:color w:val="000000" w:themeColor="text1"/>
          <w:lang w:val="es-AR"/>
        </w:rPr>
        <w:t>ertad de expresión en Internet</w:t>
      </w:r>
      <w:r w:rsidRPr="002C0AEF">
        <w:rPr>
          <w:color w:val="000000" w:themeColor="text1"/>
          <w:lang w:val="es-AR"/>
        </w:rPr>
        <w:t>.</w:t>
      </w:r>
    </w:p>
    <w:p w:rsidR="0098116B" w:rsidRDefault="0098116B" w:rsidP="0098116B">
      <w:pPr>
        <w:spacing w:line="360" w:lineRule="auto"/>
        <w:ind w:firstLine="567"/>
        <w:jc w:val="both"/>
        <w:rPr>
          <w:color w:val="000000" w:themeColor="text1"/>
          <w:lang w:val="es-AR"/>
        </w:rPr>
      </w:pPr>
      <w:r w:rsidRPr="002C0AEF">
        <w:rPr>
          <w:color w:val="000000" w:themeColor="text1"/>
          <w:lang w:val="es-AR"/>
        </w:rPr>
        <w:t>Comparto el criterio sentado por la Corte Suprem</w:t>
      </w:r>
      <w:r>
        <w:rPr>
          <w:color w:val="000000" w:themeColor="text1"/>
          <w:lang w:val="es-AR"/>
        </w:rPr>
        <w:t>a de Justicia de la Nación en el fallo bajo análisis</w:t>
      </w:r>
      <w:r w:rsidRPr="002C0AEF">
        <w:rPr>
          <w:color w:val="000000" w:themeColor="text1"/>
          <w:lang w:val="es-AR"/>
        </w:rPr>
        <w:t>, en tanto afirma que los motores de búsqueda no tienen responsabilidad objetiva ni el deber de indemnizar, por el simple hecho de la actividad que realizan.</w:t>
      </w:r>
      <w:r>
        <w:rPr>
          <w:color w:val="000000" w:themeColor="text1"/>
          <w:lang w:val="es-AR"/>
        </w:rPr>
        <w:t xml:space="preserve">   </w:t>
      </w:r>
    </w:p>
    <w:p w:rsidR="0098116B" w:rsidRDefault="0098116B" w:rsidP="0098116B">
      <w:pPr>
        <w:spacing w:line="360" w:lineRule="auto"/>
        <w:ind w:firstLine="567"/>
        <w:jc w:val="both"/>
        <w:rPr>
          <w:color w:val="000000" w:themeColor="text1"/>
          <w:lang w:val="es-AR"/>
        </w:rPr>
      </w:pPr>
      <w:r>
        <w:rPr>
          <w:color w:val="000000" w:themeColor="text1"/>
          <w:lang w:val="es-AR"/>
        </w:rPr>
        <w:lastRenderedPageBreak/>
        <w:t>En este sentido, coincido con parte de la doctrina que ha sostenido la responsabilidad subjetiva de los buscadores de internet</w:t>
      </w:r>
      <w:r>
        <w:rPr>
          <w:rStyle w:val="Refdenotaalpie"/>
          <w:color w:val="000000" w:themeColor="text1"/>
          <w:lang w:val="es-AR"/>
        </w:rPr>
        <w:footnoteReference w:id="26"/>
      </w:r>
      <w:r>
        <w:rPr>
          <w:color w:val="000000" w:themeColor="text1"/>
          <w:lang w:val="es-AR"/>
        </w:rPr>
        <w:t xml:space="preserve">. </w:t>
      </w:r>
    </w:p>
    <w:p w:rsidR="0098116B" w:rsidRDefault="0098116B" w:rsidP="0098116B">
      <w:pPr>
        <w:spacing w:line="360" w:lineRule="auto"/>
        <w:ind w:firstLine="567"/>
        <w:jc w:val="both"/>
        <w:rPr>
          <w:color w:val="000000" w:themeColor="text1"/>
          <w:lang w:val="es-AR"/>
        </w:rPr>
      </w:pPr>
      <w:r w:rsidRPr="002C0AEF">
        <w:rPr>
          <w:color w:val="000000" w:themeColor="text1"/>
          <w:lang w:val="es-AR"/>
        </w:rPr>
        <w:t xml:space="preserve">No obstante lo expuesto, los datos personales que se encuentran alojados en las diferentes páginas </w:t>
      </w:r>
      <w:r w:rsidRPr="002C0AEF">
        <w:rPr>
          <w:i/>
          <w:color w:val="000000" w:themeColor="text1"/>
          <w:lang w:val="es-AR"/>
        </w:rPr>
        <w:t>web</w:t>
      </w:r>
      <w:r w:rsidRPr="002C0AEF">
        <w:rPr>
          <w:color w:val="000000" w:themeColor="text1"/>
          <w:lang w:val="es-AR"/>
        </w:rPr>
        <w:t xml:space="preserve"> que son indexadas por los buscadores, son susceptibles de ser protegidos por la garantía constitucional del habeas data y la Ley de Protección de Datos Personales</w:t>
      </w:r>
      <w:r>
        <w:rPr>
          <w:color w:val="000000" w:themeColor="text1"/>
          <w:lang w:val="es-AR"/>
        </w:rPr>
        <w:t>.</w:t>
      </w:r>
    </w:p>
    <w:p w:rsidR="0098116B" w:rsidRPr="003C34DC" w:rsidRDefault="0098116B" w:rsidP="0098116B">
      <w:pPr>
        <w:spacing w:line="360" w:lineRule="auto"/>
        <w:ind w:firstLine="567"/>
        <w:jc w:val="both"/>
        <w:rPr>
          <w:b/>
          <w:color w:val="000000" w:themeColor="text1"/>
        </w:rPr>
      </w:pPr>
      <w:r>
        <w:rPr>
          <w:color w:val="000000" w:themeColor="text1"/>
          <w:lang w:val="es-AR"/>
        </w:rPr>
        <w:t xml:space="preserve">En consecuencia, </w:t>
      </w:r>
      <w:r w:rsidRPr="002C0AEF">
        <w:rPr>
          <w:color w:val="000000" w:themeColor="text1"/>
          <w:lang w:val="es-AR"/>
        </w:rPr>
        <w:t xml:space="preserve">no </w:t>
      </w:r>
      <w:r>
        <w:rPr>
          <w:color w:val="000000" w:themeColor="text1"/>
          <w:lang w:val="es-AR"/>
        </w:rPr>
        <w:t xml:space="preserve">se </w:t>
      </w:r>
      <w:r w:rsidRPr="002C0AEF">
        <w:rPr>
          <w:color w:val="000000" w:themeColor="text1"/>
          <w:lang w:val="es-AR"/>
        </w:rPr>
        <w:t xml:space="preserve">puede desconocer la posibilidad de los particulares de </w:t>
      </w:r>
      <w:r w:rsidRPr="002C0AEF">
        <w:rPr>
          <w:color w:val="000000" w:themeColor="text1"/>
        </w:rPr>
        <w:t>exigir la supresión, rectificación, confidencialidad o actualización de sus datos personales alojados en las distintas páginas de Internet indexadas por los buscadores</w:t>
      </w:r>
      <w:r w:rsidRPr="002C0AEF">
        <w:rPr>
          <w:i/>
          <w:color w:val="000000" w:themeColor="text1"/>
        </w:rPr>
        <w:t>.</w:t>
      </w:r>
      <w:r w:rsidRPr="003C34DC">
        <w:rPr>
          <w:color w:val="000000" w:themeColor="text1"/>
        </w:rPr>
        <w:t xml:space="preserve"> </w:t>
      </w:r>
      <w:r>
        <w:rPr>
          <w:color w:val="000000" w:themeColor="text1"/>
        </w:rPr>
        <w:t>Este es, en definitiva, el criterio receptado por la Corte en el precedente bajo análisis</w:t>
      </w:r>
      <w:r>
        <w:rPr>
          <w:rStyle w:val="Refdenotaalpie"/>
          <w:color w:val="000000" w:themeColor="text1"/>
        </w:rPr>
        <w:footnoteReference w:id="27"/>
      </w:r>
      <w:r>
        <w:rPr>
          <w:color w:val="000000" w:themeColor="text1"/>
        </w:rPr>
        <w:t>, al implementar lo que la doctrina ha denominado un sistema de “</w:t>
      </w:r>
      <w:proofErr w:type="spellStart"/>
      <w:r>
        <w:rPr>
          <w:color w:val="000000" w:themeColor="text1"/>
        </w:rPr>
        <w:t>Notice</w:t>
      </w:r>
      <w:proofErr w:type="spellEnd"/>
      <w:r>
        <w:rPr>
          <w:color w:val="000000" w:themeColor="text1"/>
        </w:rPr>
        <w:t xml:space="preserve"> &amp; </w:t>
      </w:r>
      <w:proofErr w:type="spellStart"/>
      <w:r>
        <w:rPr>
          <w:color w:val="000000" w:themeColor="text1"/>
        </w:rPr>
        <w:t>Take</w:t>
      </w:r>
      <w:proofErr w:type="spellEnd"/>
      <w:r>
        <w:rPr>
          <w:color w:val="000000" w:themeColor="text1"/>
        </w:rPr>
        <w:t xml:space="preserve"> Down”</w:t>
      </w:r>
      <w:r>
        <w:rPr>
          <w:rStyle w:val="Refdenotaalpie"/>
          <w:color w:val="000000" w:themeColor="text1"/>
        </w:rPr>
        <w:footnoteReference w:id="28"/>
      </w:r>
      <w:r>
        <w:rPr>
          <w:color w:val="000000" w:themeColor="text1"/>
        </w:rPr>
        <w:t xml:space="preserve"> o “Noticia y Baja”</w:t>
      </w:r>
      <w:r>
        <w:rPr>
          <w:rStyle w:val="Refdenotaalpie"/>
          <w:color w:val="000000" w:themeColor="text1"/>
        </w:rPr>
        <w:footnoteReference w:id="29"/>
      </w:r>
      <w:r>
        <w:rPr>
          <w:color w:val="000000" w:themeColor="text1"/>
        </w:rPr>
        <w:t>.</w:t>
      </w:r>
    </w:p>
    <w:p w:rsidR="0098116B" w:rsidRDefault="0098116B" w:rsidP="0098116B">
      <w:pPr>
        <w:spacing w:line="360" w:lineRule="auto"/>
        <w:jc w:val="both"/>
        <w:outlineLvl w:val="0"/>
        <w:rPr>
          <w:b/>
          <w:color w:val="000000" w:themeColor="text1"/>
          <w:lang w:val="es-AR"/>
        </w:rPr>
      </w:pPr>
    </w:p>
    <w:p w:rsidR="0098116B" w:rsidRDefault="0098116B" w:rsidP="0098116B">
      <w:pPr>
        <w:spacing w:line="360" w:lineRule="auto"/>
        <w:jc w:val="both"/>
        <w:rPr>
          <w:b/>
          <w:iCs/>
        </w:rPr>
      </w:pPr>
      <w:r>
        <w:rPr>
          <w:b/>
          <w:iCs/>
        </w:rPr>
        <w:t>4.</w:t>
      </w:r>
      <w:r w:rsidRPr="002C0AEF">
        <w:rPr>
          <w:b/>
          <w:iCs/>
        </w:rPr>
        <w:t xml:space="preserve"> Derecho </w:t>
      </w:r>
      <w:r>
        <w:rPr>
          <w:b/>
          <w:iCs/>
        </w:rPr>
        <w:t xml:space="preserve">al </w:t>
      </w:r>
      <w:r w:rsidRPr="002C0AEF">
        <w:rPr>
          <w:b/>
          <w:iCs/>
        </w:rPr>
        <w:t>olvido.</w:t>
      </w:r>
    </w:p>
    <w:p w:rsidR="0098116B" w:rsidRPr="002C0AEF" w:rsidRDefault="0098116B" w:rsidP="0098116B">
      <w:pPr>
        <w:spacing w:line="360" w:lineRule="auto"/>
        <w:jc w:val="both"/>
        <w:rPr>
          <w:b/>
          <w:iCs/>
        </w:rPr>
      </w:pPr>
      <w:r>
        <w:rPr>
          <w:b/>
          <w:iCs/>
        </w:rPr>
        <w:t xml:space="preserve">         4.1 Origen y conceptualización. </w:t>
      </w:r>
    </w:p>
    <w:p w:rsidR="0098116B" w:rsidRPr="002C0AEF" w:rsidRDefault="0098116B" w:rsidP="0098116B">
      <w:pPr>
        <w:widowControl w:val="0"/>
        <w:suppressAutoHyphens/>
        <w:autoSpaceDE w:val="0"/>
        <w:autoSpaceDN w:val="0"/>
        <w:adjustRightInd w:val="0"/>
        <w:spacing w:line="360" w:lineRule="auto"/>
        <w:ind w:firstLine="567"/>
        <w:jc w:val="both"/>
      </w:pPr>
      <w:r>
        <w:t>Estrechamente relacionado con el apartado anterior, po</w:t>
      </w:r>
      <w:r w:rsidR="004450F9">
        <w:t>demos destacar el intenso debate</w:t>
      </w:r>
      <w:r>
        <w:t xml:space="preserve"> que se está dando </w:t>
      </w:r>
      <w:r w:rsidRPr="002C0AEF">
        <w:t xml:space="preserve">tanto a nivel nacional como internacional, en </w:t>
      </w:r>
      <w:r>
        <w:t xml:space="preserve">relación </w:t>
      </w:r>
      <w:r w:rsidRPr="002C0AEF">
        <w:t xml:space="preserve">al derecho al olvido. Se trata de un tema relativamente novedoso, que no cuenta en nuestro país con </w:t>
      </w:r>
      <w:r w:rsidRPr="002C0AEF">
        <w:lastRenderedPageBreak/>
        <w:t xml:space="preserve">una regulación normativa específica por lo que su alcance y contenido está en proceso de consolidación a través de la vía jurisprudencial. </w:t>
      </w:r>
    </w:p>
    <w:p w:rsidR="0098116B" w:rsidRPr="002C0AEF" w:rsidRDefault="0098116B" w:rsidP="0098116B">
      <w:pPr>
        <w:widowControl w:val="0"/>
        <w:suppressAutoHyphens/>
        <w:autoSpaceDE w:val="0"/>
        <w:autoSpaceDN w:val="0"/>
        <w:adjustRightInd w:val="0"/>
        <w:spacing w:line="360" w:lineRule="auto"/>
        <w:ind w:firstLine="567"/>
        <w:jc w:val="both"/>
      </w:pPr>
      <w:r>
        <w:t>Al igual que la discusión acerca de si los buscadores de internet realizan o no tratamiento de datos esta t</w:t>
      </w:r>
      <w:r w:rsidRPr="002C0AEF">
        <w:t xml:space="preserve">emática </w:t>
      </w:r>
      <w:r>
        <w:t xml:space="preserve">comenzó </w:t>
      </w:r>
      <w:r w:rsidRPr="002C0AEF">
        <w:t>a</w:t>
      </w:r>
      <w:r>
        <w:t xml:space="preserve"> analizarse</w:t>
      </w:r>
      <w:r w:rsidRPr="002C0AEF">
        <w:t xml:space="preserve"> partir del fallo </w:t>
      </w:r>
      <w:r w:rsidRPr="002C0AEF">
        <w:rPr>
          <w:i/>
        </w:rPr>
        <w:t>"</w:t>
      </w:r>
      <w:proofErr w:type="spellStart"/>
      <w:r w:rsidRPr="002C0AEF">
        <w:rPr>
          <w:i/>
        </w:rPr>
        <w:t>Costeja</w:t>
      </w:r>
      <w:proofErr w:type="spellEnd"/>
      <w:r w:rsidRPr="002C0AEF">
        <w:rPr>
          <w:i/>
        </w:rPr>
        <w:t xml:space="preserve"> </w:t>
      </w:r>
      <w:proofErr w:type="spellStart"/>
      <w:r w:rsidRPr="002C0AEF">
        <w:rPr>
          <w:i/>
        </w:rPr>
        <w:t>Gonzalez</w:t>
      </w:r>
      <w:proofErr w:type="spellEnd"/>
      <w:r w:rsidRPr="002C0AEF">
        <w:rPr>
          <w:i/>
        </w:rPr>
        <w:t>"</w:t>
      </w:r>
      <w:r w:rsidRPr="002C0AEF">
        <w:t xml:space="preserve"> </w:t>
      </w:r>
      <w:r w:rsidRPr="002C0AEF">
        <w:rPr>
          <w:rStyle w:val="Refdenotaalpie"/>
        </w:rPr>
        <w:footnoteReference w:id="30"/>
      </w:r>
      <w:r w:rsidRPr="002C0AEF">
        <w:t xml:space="preserve">del Tribunal </w:t>
      </w:r>
      <w:r>
        <w:t>de Justicia de la Unión Europea. E</w:t>
      </w:r>
      <w:r w:rsidRPr="002C0AEF">
        <w:t xml:space="preserve">n el </w:t>
      </w:r>
      <w:r>
        <w:t xml:space="preserve">mismo </w:t>
      </w:r>
      <w:r w:rsidRPr="002C0AEF">
        <w:t>se reconoce por primera vez el derecho al olvido, como un derecho que surge de la Directiva de Protección de Datos de la UE</w:t>
      </w:r>
      <w:r w:rsidRPr="002C0AEF">
        <w:rPr>
          <w:rStyle w:val="Refdenotaalpie"/>
        </w:rPr>
        <w:footnoteReference w:id="31"/>
      </w:r>
      <w:r w:rsidRPr="002C0AEF">
        <w:t>; al tiempo que establece que resulta aplicable a los motores de búsqueda de Internet.</w:t>
      </w:r>
    </w:p>
    <w:p w:rsidR="0098116B" w:rsidRPr="002C0AEF" w:rsidRDefault="0098116B" w:rsidP="0098116B">
      <w:pPr>
        <w:widowControl w:val="0"/>
        <w:suppressAutoHyphens/>
        <w:autoSpaceDE w:val="0"/>
        <w:autoSpaceDN w:val="0"/>
        <w:adjustRightInd w:val="0"/>
        <w:spacing w:line="360" w:lineRule="auto"/>
        <w:ind w:firstLine="567"/>
        <w:jc w:val="both"/>
      </w:pPr>
      <w:r w:rsidRPr="002C0AEF">
        <w:t xml:space="preserve">De conformidad con lo dispuesto por los artículos 12, inciso b), 14 párrafo primero, inciso a) de la Directiva; el Tribunal haciendo hincapié en que la información contenida en los anuncios resultaba lesiva para la vida privada del requirente y que la publicación inicial se remontaba a dieciséis años atrás, entiende que el actor tiene derecho a que esa información ya no se vincule a su nombre. Ello, en tanto entre los derechos que le reconocen los artículos 7º y 8º de la Carta Europea de Derechos Humanos se encuentra el de solicitar que la información de que se trate no se ponga a disposición del público en general; y en el entendimiento que estos derechos prevalecen, en principio, no sólo sobre el interés económico del gestor de búsqueda, sino también sobre el acceso a la mencionada información. </w:t>
      </w:r>
    </w:p>
    <w:p w:rsidR="0098116B" w:rsidRPr="002C0AEF" w:rsidRDefault="0098116B" w:rsidP="0098116B">
      <w:pPr>
        <w:widowControl w:val="0"/>
        <w:suppressAutoHyphens/>
        <w:autoSpaceDE w:val="0"/>
        <w:autoSpaceDN w:val="0"/>
        <w:adjustRightInd w:val="0"/>
        <w:spacing w:line="360" w:lineRule="auto"/>
        <w:ind w:firstLine="567"/>
        <w:jc w:val="both"/>
      </w:pPr>
      <w:r>
        <w:t>En consecuencia, c</w:t>
      </w:r>
      <w:r w:rsidRPr="002C0AEF">
        <w:t xml:space="preserve">oncluye que el Sr. </w:t>
      </w:r>
      <w:proofErr w:type="spellStart"/>
      <w:r w:rsidRPr="002C0AEF">
        <w:t>Costeja</w:t>
      </w:r>
      <w:proofErr w:type="spellEnd"/>
      <w:r w:rsidRPr="002C0AEF">
        <w:t xml:space="preserve"> González puede legítimamente oponerse a la indexación de sus datos, con base en el derecho fundamental a la protección de datos personales, y en el derecho a su intimidad o vida privada que engloba el derecho al olvido.</w:t>
      </w:r>
    </w:p>
    <w:p w:rsidR="0098116B" w:rsidRDefault="0098116B" w:rsidP="0098116B">
      <w:pPr>
        <w:widowControl w:val="0"/>
        <w:suppressAutoHyphens/>
        <w:autoSpaceDE w:val="0"/>
        <w:autoSpaceDN w:val="0"/>
        <w:adjustRightInd w:val="0"/>
        <w:spacing w:line="360" w:lineRule="auto"/>
        <w:ind w:firstLine="567"/>
        <w:jc w:val="both"/>
      </w:pPr>
      <w:r w:rsidRPr="002C0AEF">
        <w:t>Esta prerrogativa ha sido conceptualizada como el principio a tenor del cual, cierta información debe ser eliminada de los archivos, trascurrido un determinado espacio de tiempo, desde el momento en que acaeció el hecho al que se refiere, para evitar que el individuo quede "prisionero de su pasado"</w:t>
      </w:r>
      <w:r w:rsidRPr="002C0AEF">
        <w:rPr>
          <w:rStyle w:val="Refdenotaalpie"/>
        </w:rPr>
        <w:footnoteReference w:id="32"/>
      </w:r>
      <w:r w:rsidRPr="002C0AEF">
        <w:t xml:space="preserve">. </w:t>
      </w:r>
    </w:p>
    <w:p w:rsidR="0098116B" w:rsidRPr="00854C30" w:rsidRDefault="0098116B" w:rsidP="0098116B">
      <w:pPr>
        <w:widowControl w:val="0"/>
        <w:suppressAutoHyphens/>
        <w:autoSpaceDE w:val="0"/>
        <w:autoSpaceDN w:val="0"/>
        <w:adjustRightInd w:val="0"/>
        <w:spacing w:line="360" w:lineRule="auto"/>
        <w:ind w:firstLine="567"/>
        <w:jc w:val="both"/>
        <w:rPr>
          <w:lang w:val="es-AR"/>
        </w:rPr>
      </w:pPr>
      <w:r>
        <w:rPr>
          <w:lang w:val="es-AR"/>
        </w:rPr>
        <w:lastRenderedPageBreak/>
        <w:t>Asimismo, numerosos juristas han coincido en que es</w:t>
      </w:r>
      <w:r w:rsidRPr="00854C30">
        <w:rPr>
          <w:lang w:val="es-AR"/>
        </w:rPr>
        <w:t xml:space="preserve"> un derecho relacionado con la protección de datos personales</w:t>
      </w:r>
      <w:r>
        <w:rPr>
          <w:lang w:val="es-AR"/>
        </w:rPr>
        <w:t>, el cual s</w:t>
      </w:r>
      <w:r w:rsidRPr="00854C30">
        <w:rPr>
          <w:lang w:val="es-AR"/>
        </w:rPr>
        <w:t>e puede definir como el derecho que tiene el titular de un dato personal a borrar,</w:t>
      </w:r>
      <w:r>
        <w:rPr>
          <w:lang w:val="es-AR"/>
        </w:rPr>
        <w:t xml:space="preserve"> </w:t>
      </w:r>
      <w:r w:rsidRPr="00854C30">
        <w:rPr>
          <w:lang w:val="es-AR"/>
        </w:rPr>
        <w:t>bloquear o suprimir información personal que se considera obsoleta por el transcurso</w:t>
      </w:r>
      <w:r>
        <w:rPr>
          <w:lang w:val="es-AR"/>
        </w:rPr>
        <w:t xml:space="preserve"> </w:t>
      </w:r>
      <w:r w:rsidRPr="00854C30">
        <w:rPr>
          <w:lang w:val="es-AR"/>
        </w:rPr>
        <w:t>del tiempo o que de alguna manera afecta el libre desarrollo de alguno de sus derechos</w:t>
      </w:r>
      <w:r>
        <w:rPr>
          <w:lang w:val="es-AR"/>
        </w:rPr>
        <w:t xml:space="preserve"> </w:t>
      </w:r>
      <w:r w:rsidRPr="00854C30">
        <w:rPr>
          <w:lang w:val="es-AR"/>
        </w:rPr>
        <w:t>fundamentales, salvo que en el caso concreto prevalezca un interés público</w:t>
      </w:r>
      <w:r>
        <w:rPr>
          <w:rStyle w:val="Refdenotaalpie"/>
          <w:lang w:val="es-AR"/>
        </w:rPr>
        <w:footnoteReference w:id="33"/>
      </w:r>
      <w:r w:rsidRPr="00854C30">
        <w:rPr>
          <w:lang w:val="es-AR"/>
        </w:rPr>
        <w:t>.</w:t>
      </w:r>
    </w:p>
    <w:p w:rsidR="0098116B" w:rsidRPr="002C0AEF" w:rsidRDefault="0098116B" w:rsidP="0098116B">
      <w:pPr>
        <w:widowControl w:val="0"/>
        <w:suppressAutoHyphens/>
        <w:autoSpaceDE w:val="0"/>
        <w:autoSpaceDN w:val="0"/>
        <w:adjustRightInd w:val="0"/>
        <w:spacing w:line="360" w:lineRule="auto"/>
        <w:ind w:firstLine="567"/>
        <w:jc w:val="both"/>
      </w:pPr>
      <w:r w:rsidRPr="002C0AEF">
        <w:t>Roldán</w:t>
      </w:r>
      <w:r w:rsidRPr="002C0AEF">
        <w:rPr>
          <w:rStyle w:val="Refdenotaalpie"/>
        </w:rPr>
        <w:footnoteReference w:id="34"/>
      </w:r>
      <w:r w:rsidRPr="002C0AEF">
        <w:t xml:space="preserve"> destaca como características distintivas del fenómeno de la información </w:t>
      </w:r>
      <w:proofErr w:type="spellStart"/>
      <w:r w:rsidRPr="002C0AEF">
        <w:rPr>
          <w:i/>
        </w:rPr>
        <w:t>on</w:t>
      </w:r>
      <w:proofErr w:type="spellEnd"/>
      <w:r w:rsidRPr="002C0AEF">
        <w:rPr>
          <w:i/>
        </w:rPr>
        <w:t xml:space="preserve"> line,</w:t>
      </w:r>
      <w:r w:rsidRPr="002C0AEF">
        <w:t xml:space="preserve"> y la cada vez más eficiente tarea de los motores de búsqueda que: la información contenida al momento de publicarse era de un cierto interés público y veraz, que no es pasible de rectificación, ni de caducidad, que al momento de su publicación en sí no afectó derecho personalísimo alguno, al menos no más allá de lo que se permite compatibilizarlo con los derechos a la libertad de expresión y la información. Sin embargo, paso el tiempo, y aquel hecho o dato que el hombre o la sociedad hubieran sana y naturalmente dejado caer en el olvido, Internet no lo olvida, lo trae continuamente al presente.</w:t>
      </w:r>
    </w:p>
    <w:p w:rsidR="0098116B" w:rsidRPr="002C0AEF" w:rsidRDefault="0098116B" w:rsidP="0098116B">
      <w:pPr>
        <w:widowControl w:val="0"/>
        <w:suppressAutoHyphens/>
        <w:autoSpaceDE w:val="0"/>
        <w:autoSpaceDN w:val="0"/>
        <w:adjustRightInd w:val="0"/>
        <w:spacing w:line="360" w:lineRule="auto"/>
        <w:ind w:firstLine="567"/>
        <w:jc w:val="both"/>
      </w:pPr>
      <w:r w:rsidRPr="002C0AEF">
        <w:t xml:space="preserve">En este sentido, se ha señalado que cuando hay información personal o una noticia en Internet que pierde actualidad pero aún permanece disponible, sin interés público en su difusión y tiene potencialidad para afectar derechos de las personas; debería aplicarse el derecho al olvido y ser eliminada por el responsable del sitio o blog a fin de permitir al titular del dato no quedar preso de su pasado y tener otra oportunidad. </w:t>
      </w:r>
    </w:p>
    <w:p w:rsidR="0098116B" w:rsidRPr="002C0AEF" w:rsidRDefault="0098116B" w:rsidP="0098116B">
      <w:pPr>
        <w:widowControl w:val="0"/>
        <w:suppressAutoHyphens/>
        <w:autoSpaceDE w:val="0"/>
        <w:autoSpaceDN w:val="0"/>
        <w:adjustRightInd w:val="0"/>
        <w:spacing w:line="360" w:lineRule="auto"/>
        <w:ind w:firstLine="567"/>
        <w:jc w:val="both"/>
      </w:pPr>
      <w:r w:rsidRPr="002C0AEF">
        <w:t xml:space="preserve">La Corte Suprema de Chile en un fallo reciente, </w:t>
      </w:r>
      <w:r w:rsidR="004450F9">
        <w:t xml:space="preserve">entendió </w:t>
      </w:r>
      <w:r w:rsidRPr="002C0AEF">
        <w:rPr>
          <w:lang w:val="es-AR"/>
        </w:rPr>
        <w:t>que el contenido esencial del derecho al olvido no es otro que evitar la difusión de información personal pasada, que ha dejado de cumplir su finalidad tornándose capaz de producir un daño en la persona</w:t>
      </w:r>
      <w:r w:rsidRPr="002C0AEF">
        <w:rPr>
          <w:rStyle w:val="Refdenotaalpie"/>
          <w:lang w:val="es-AR"/>
        </w:rPr>
        <w:footnoteReference w:id="35"/>
      </w:r>
      <w:r w:rsidRPr="002C0AEF">
        <w:rPr>
          <w:lang w:val="es-AR"/>
        </w:rPr>
        <w:t>.</w:t>
      </w:r>
    </w:p>
    <w:p w:rsidR="0098116B" w:rsidRDefault="0098116B" w:rsidP="0098116B">
      <w:pPr>
        <w:widowControl w:val="0"/>
        <w:suppressAutoHyphens/>
        <w:autoSpaceDE w:val="0"/>
        <w:autoSpaceDN w:val="0"/>
        <w:adjustRightInd w:val="0"/>
        <w:spacing w:line="360" w:lineRule="auto"/>
        <w:ind w:firstLine="567"/>
        <w:jc w:val="both"/>
        <w:rPr>
          <w:lang w:val="es-AR"/>
        </w:rPr>
      </w:pPr>
      <w:r w:rsidRPr="002C0AEF">
        <w:rPr>
          <w:lang w:val="es-AR"/>
        </w:rPr>
        <w:t xml:space="preserve">Es de suma trascendencia delimitar el concepto del derecho al olvido, para distinguirlo del derecho que asiste a una persona a solicitar que se eliminen enlaces con imágenes o textos que puedan producirle un daño, cuando los intermediarios hayan sido debidamente requeridos y hayan tomado conocimiento de la ilicitud. </w:t>
      </w:r>
    </w:p>
    <w:p w:rsidR="0098116B" w:rsidRPr="002C0AEF" w:rsidRDefault="0098116B" w:rsidP="0098116B">
      <w:pPr>
        <w:widowControl w:val="0"/>
        <w:suppressAutoHyphens/>
        <w:autoSpaceDE w:val="0"/>
        <w:autoSpaceDN w:val="0"/>
        <w:adjustRightInd w:val="0"/>
        <w:spacing w:line="360" w:lineRule="auto"/>
        <w:ind w:firstLine="567"/>
        <w:jc w:val="both"/>
        <w:rPr>
          <w:lang w:val="es-AR"/>
        </w:rPr>
      </w:pPr>
      <w:r w:rsidRPr="002C0AEF">
        <w:rPr>
          <w:lang w:val="es-AR"/>
        </w:rPr>
        <w:lastRenderedPageBreak/>
        <w:t xml:space="preserve">En el caso del derecho al olvido la información acerca de una persona o el dato personal ha perdido actualidad o dejado de ser relevante por el paso del tiempo, pero no es falsa, ni su vinculación con su titular es ilícita. Sobre este punto, </w:t>
      </w:r>
      <w:proofErr w:type="spellStart"/>
      <w:r w:rsidRPr="002C0AEF">
        <w:rPr>
          <w:lang w:val="es-AR"/>
        </w:rPr>
        <w:t>Palazzi</w:t>
      </w:r>
      <w:proofErr w:type="spellEnd"/>
      <w:r w:rsidRPr="002C0AEF">
        <w:rPr>
          <w:rStyle w:val="Refdenotaalpie"/>
          <w:lang w:val="es-AR"/>
        </w:rPr>
        <w:footnoteReference w:id="36"/>
      </w:r>
      <w:r w:rsidRPr="002C0AEF">
        <w:rPr>
          <w:lang w:val="es-AR"/>
        </w:rPr>
        <w:t xml:space="preserve"> aclara que; “</w:t>
      </w:r>
      <w:r w:rsidRPr="002C0AEF">
        <w:rPr>
          <w:i/>
          <w:lang w:val="es-AR"/>
        </w:rPr>
        <w:t>el derecho al olvido se aplica sobre información verdadera. Si la información es falsa cabe suprimirla por lesionar el honor y ser incorrecta”</w:t>
      </w:r>
      <w:r w:rsidRPr="002C0AEF">
        <w:rPr>
          <w:lang w:val="es-AR"/>
        </w:rPr>
        <w:t>.</w:t>
      </w:r>
    </w:p>
    <w:p w:rsidR="0098116B" w:rsidRDefault="0098116B" w:rsidP="0098116B">
      <w:pPr>
        <w:widowControl w:val="0"/>
        <w:suppressAutoHyphens/>
        <w:autoSpaceDE w:val="0"/>
        <w:autoSpaceDN w:val="0"/>
        <w:adjustRightInd w:val="0"/>
        <w:spacing w:line="360" w:lineRule="auto"/>
        <w:ind w:firstLine="567"/>
        <w:jc w:val="both"/>
        <w:rPr>
          <w:b/>
          <w:lang w:val="es-AR"/>
        </w:rPr>
      </w:pPr>
    </w:p>
    <w:p w:rsidR="0098116B" w:rsidRPr="00AF725B" w:rsidRDefault="0098116B" w:rsidP="0098116B">
      <w:pPr>
        <w:widowControl w:val="0"/>
        <w:suppressAutoHyphens/>
        <w:autoSpaceDE w:val="0"/>
        <w:autoSpaceDN w:val="0"/>
        <w:adjustRightInd w:val="0"/>
        <w:spacing w:line="360" w:lineRule="auto"/>
        <w:ind w:firstLine="567"/>
        <w:jc w:val="both"/>
        <w:rPr>
          <w:b/>
          <w:lang w:val="es-AR"/>
        </w:rPr>
      </w:pPr>
      <w:r w:rsidRPr="00AF725B">
        <w:rPr>
          <w:b/>
          <w:lang w:val="es-AR"/>
        </w:rPr>
        <w:t>4.2</w:t>
      </w:r>
      <w:r>
        <w:rPr>
          <w:b/>
          <w:lang w:val="es-AR"/>
        </w:rPr>
        <w:t xml:space="preserve"> El derecho al olvido en materia penal.</w:t>
      </w:r>
    </w:p>
    <w:p w:rsidR="0098116B" w:rsidRPr="002C0AEF" w:rsidRDefault="0098116B" w:rsidP="0098116B">
      <w:pPr>
        <w:widowControl w:val="0"/>
        <w:suppressAutoHyphens/>
        <w:autoSpaceDE w:val="0"/>
        <w:autoSpaceDN w:val="0"/>
        <w:adjustRightInd w:val="0"/>
        <w:spacing w:line="360" w:lineRule="auto"/>
        <w:ind w:firstLine="567"/>
        <w:jc w:val="both"/>
        <w:rPr>
          <w:lang w:val="es-AR"/>
        </w:rPr>
      </w:pPr>
      <w:r w:rsidRPr="002C0AEF">
        <w:rPr>
          <w:lang w:val="es-AR"/>
        </w:rPr>
        <w:t>Hasta hace no mucho tiempo, cuando hablábamos de derecho al olvido nos referíamos a éste sólo en relación con las informaciones crediticias adversas, que la mayoría de las legislaciones sobre Protección de Datos Personales había consagrado desde hace varios años.</w:t>
      </w:r>
    </w:p>
    <w:p w:rsidR="0098116B" w:rsidRPr="002C0AEF" w:rsidRDefault="0098116B" w:rsidP="0098116B">
      <w:pPr>
        <w:widowControl w:val="0"/>
        <w:suppressAutoHyphens/>
        <w:autoSpaceDE w:val="0"/>
        <w:autoSpaceDN w:val="0"/>
        <w:adjustRightInd w:val="0"/>
        <w:spacing w:line="360" w:lineRule="auto"/>
        <w:ind w:firstLine="567"/>
        <w:jc w:val="both"/>
        <w:rPr>
          <w:lang w:val="es-AR"/>
        </w:rPr>
      </w:pPr>
      <w:r w:rsidRPr="002C0AEF">
        <w:rPr>
          <w:lang w:val="es-AR"/>
        </w:rPr>
        <w:t>Con el reciente desarrollo del derecho al olvido en un sentido más amplio, que se ha denominado el derecho al olvido en el ámbito virtual de Internet</w:t>
      </w:r>
      <w:r w:rsidRPr="002C0AEF">
        <w:rPr>
          <w:rStyle w:val="Refdenotaalpie"/>
          <w:lang w:val="es-AR"/>
        </w:rPr>
        <w:footnoteReference w:id="37"/>
      </w:r>
      <w:r w:rsidRPr="002C0AEF">
        <w:rPr>
          <w:lang w:val="es-AR"/>
        </w:rPr>
        <w:t>, es válido preguntarse si este derecho que pretende hacerse valer en Internet no significa ni más ni menos que la posibilidad de borrar el pasado de las personas o permitir que estas reescriban su historia.</w:t>
      </w:r>
    </w:p>
    <w:p w:rsidR="0098116B" w:rsidRPr="002C0AEF" w:rsidRDefault="0098116B" w:rsidP="0098116B">
      <w:pPr>
        <w:widowControl w:val="0"/>
        <w:suppressAutoHyphens/>
        <w:autoSpaceDE w:val="0"/>
        <w:autoSpaceDN w:val="0"/>
        <w:adjustRightInd w:val="0"/>
        <w:spacing w:line="360" w:lineRule="auto"/>
        <w:ind w:firstLine="567"/>
        <w:jc w:val="both"/>
      </w:pPr>
      <w:r w:rsidRPr="002C0AEF">
        <w:rPr>
          <w:lang w:val="es-AR"/>
        </w:rPr>
        <w:t xml:space="preserve">Al respecto, </w:t>
      </w:r>
      <w:r w:rsidRPr="002C0AEF">
        <w:t xml:space="preserve">parte de la doctrina ha enfatizado que el olvidar en determinados ámbitos puede ser algo muy sensible, como el caso de los delitos recientes. A mayor abundamiento, se explica que </w:t>
      </w:r>
      <w:r w:rsidRPr="002C0AEF">
        <w:rPr>
          <w:i/>
        </w:rPr>
        <w:t>“Si la condena estuviera firme, tampoco correspondería aplicar, el plazo previsto en las leyes especiales para purgar el registro condenatorio (...). Estas normas en general se refieren solo a los registros estatales, y tienen incidencia en el proceso penal pero no impiden a un medio periodístico o un buscador difundir información sobre la existencia del proceso o de la condena penal"</w:t>
      </w:r>
      <w:r w:rsidRPr="002C0AEF">
        <w:rPr>
          <w:rStyle w:val="Refdenotaalpie"/>
        </w:rPr>
        <w:footnoteReference w:id="38"/>
      </w:r>
      <w:r w:rsidRPr="002C0AEF">
        <w:t xml:space="preserve">. </w:t>
      </w:r>
    </w:p>
    <w:p w:rsidR="0098116B" w:rsidRPr="00F6566F" w:rsidRDefault="0098116B" w:rsidP="00F6566F">
      <w:pPr>
        <w:widowControl w:val="0"/>
        <w:suppressAutoHyphens/>
        <w:autoSpaceDE w:val="0"/>
        <w:autoSpaceDN w:val="0"/>
        <w:adjustRightInd w:val="0"/>
        <w:spacing w:line="360" w:lineRule="auto"/>
        <w:ind w:firstLine="567"/>
        <w:jc w:val="both"/>
      </w:pPr>
      <w:r>
        <w:t>C</w:t>
      </w:r>
      <w:r w:rsidRPr="002C0AEF">
        <w:t xml:space="preserve">oincidimos con la doctrina mencionada, que por otra parte es coincidente con la del reciente fallo del Tribunal de Primera Instancia en lo Civil de </w:t>
      </w:r>
      <w:proofErr w:type="spellStart"/>
      <w:r w:rsidRPr="002C0AEF">
        <w:t>Amsterdam</w:t>
      </w:r>
      <w:proofErr w:type="spellEnd"/>
      <w:r w:rsidRPr="002C0AEF">
        <w:rPr>
          <w:rStyle w:val="Refdenotaalpie"/>
        </w:rPr>
        <w:footnoteReference w:id="39"/>
      </w:r>
      <w:r w:rsidRPr="002C0AEF">
        <w:t>, precedente que</w:t>
      </w:r>
      <w:r w:rsidR="00F6566F">
        <w:t xml:space="preserve"> </w:t>
      </w:r>
      <w:r w:rsidR="00F6566F">
        <w:lastRenderedPageBreak/>
        <w:t xml:space="preserve">advierte </w:t>
      </w:r>
      <w:r w:rsidRPr="002C0AEF">
        <w:t>con acierto; "La condena por un delito serio tal como el que fue objeto de juzgamiento y la publicidad negativa que ello implica, en general creará información sobre el individuo que permanecerá relevante. Las calificaciones negativas relativas a ese delito solo serán "excesivas" o "innecesariamente difamatorias" en casos muy excepcionales, por ejemplo cuando la ofensa cometida es publicada y difundida sin una clara razón, con el sólo fin de dañar al involucrado, y si el reporte no es factual sino más bien un intento de injuriar"</w:t>
      </w:r>
      <w:r w:rsidRPr="002C0AEF">
        <w:rPr>
          <w:rStyle w:val="Refdenotaalpie"/>
        </w:rPr>
        <w:footnoteReference w:id="40"/>
      </w:r>
      <w:r w:rsidRPr="002C0AEF">
        <w:t>.</w:t>
      </w:r>
    </w:p>
    <w:p w:rsidR="0098116B" w:rsidRPr="00854C30" w:rsidRDefault="0098116B" w:rsidP="0098116B">
      <w:pPr>
        <w:widowControl w:val="0"/>
        <w:suppressAutoHyphens/>
        <w:autoSpaceDE w:val="0"/>
        <w:autoSpaceDN w:val="0"/>
        <w:adjustRightInd w:val="0"/>
        <w:spacing w:line="360" w:lineRule="auto"/>
        <w:ind w:firstLine="567"/>
        <w:jc w:val="both"/>
        <w:rPr>
          <w:lang w:val="es-AR"/>
        </w:rPr>
      </w:pPr>
      <w:r w:rsidRPr="002C0AEF">
        <w:t>Claramente, el derecho al olvido no puede funcionar de igual manera en materia crediticia, que en caso de delitos penales con condena,</w:t>
      </w:r>
      <w:r w:rsidRPr="002C0AEF">
        <w:rPr>
          <w:lang w:val="es-AR"/>
        </w:rPr>
        <w:t xml:space="preserve"> debiendo aplicarse en este último supuesto de manera sumamente restrictiva.</w:t>
      </w:r>
    </w:p>
    <w:p w:rsidR="0098116B" w:rsidRDefault="0098116B" w:rsidP="0098116B">
      <w:pPr>
        <w:spacing w:line="360" w:lineRule="auto"/>
        <w:ind w:firstLine="567"/>
        <w:jc w:val="both"/>
        <w:outlineLvl w:val="0"/>
        <w:rPr>
          <w:b/>
          <w:color w:val="000000" w:themeColor="text1"/>
          <w:lang w:val="es-AR"/>
        </w:rPr>
      </w:pPr>
    </w:p>
    <w:p w:rsidR="0098116B" w:rsidRPr="002C0AEF" w:rsidRDefault="0098116B" w:rsidP="0098116B">
      <w:pPr>
        <w:spacing w:line="360" w:lineRule="auto"/>
        <w:jc w:val="both"/>
        <w:outlineLvl w:val="0"/>
        <w:rPr>
          <w:b/>
          <w:color w:val="000000" w:themeColor="text1"/>
          <w:lang w:val="es-AR"/>
        </w:rPr>
      </w:pPr>
      <w:r>
        <w:rPr>
          <w:b/>
          <w:color w:val="000000" w:themeColor="text1"/>
          <w:lang w:val="es-AR"/>
        </w:rPr>
        <w:t>5</w:t>
      </w:r>
      <w:r w:rsidRPr="002C0AEF">
        <w:rPr>
          <w:b/>
          <w:color w:val="000000" w:themeColor="text1"/>
          <w:lang w:val="es-AR"/>
        </w:rPr>
        <w:t>. La regulación de la actividad en internet y la libertad de expresión. La protección contra el discurso de incitación al odio</w:t>
      </w:r>
      <w:r>
        <w:rPr>
          <w:b/>
          <w:color w:val="000000" w:themeColor="text1"/>
          <w:lang w:val="es-AR"/>
        </w:rPr>
        <w:t>, el honor y la intimidad</w:t>
      </w:r>
      <w:r w:rsidRPr="002C0AEF">
        <w:rPr>
          <w:b/>
          <w:color w:val="000000" w:themeColor="text1"/>
          <w:lang w:val="es-AR"/>
        </w:rPr>
        <w:t>.</w:t>
      </w:r>
    </w:p>
    <w:p w:rsidR="0098116B" w:rsidRDefault="0098116B" w:rsidP="0098116B">
      <w:pPr>
        <w:spacing w:line="360" w:lineRule="auto"/>
        <w:ind w:firstLine="567"/>
        <w:jc w:val="both"/>
        <w:rPr>
          <w:color w:val="000000" w:themeColor="text1"/>
          <w:lang w:val="es-AR"/>
        </w:rPr>
      </w:pPr>
      <w:r>
        <w:rPr>
          <w:color w:val="000000" w:themeColor="text1"/>
          <w:lang w:val="es-AR"/>
        </w:rPr>
        <w:t>U</w:t>
      </w:r>
      <w:r w:rsidRPr="002C0AEF">
        <w:rPr>
          <w:color w:val="000000" w:themeColor="text1"/>
          <w:lang w:val="es-AR"/>
        </w:rPr>
        <w:t xml:space="preserve">n nuevo desafío que se plantea son las agresiones y/o posibles lesiones al honor y a la intimidad que se generan a través de internet; así, como la configuración en algunos casos del denominado discurso del odio. Surge nuevamente la discusión sobre la protección de la libertad de expresión y la regulación de internet.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En este sentido, distintos organismos internacionales y empresas de tecnología han buscado regular o controlar lo que se ha llamado el </w:t>
      </w:r>
      <w:r w:rsidRPr="002C0AEF">
        <w:rPr>
          <w:i/>
          <w:color w:val="000000" w:themeColor="text1"/>
          <w:lang w:val="es-AR"/>
        </w:rPr>
        <w:t>“Discurso del odio”</w:t>
      </w:r>
      <w:r w:rsidRPr="002C0AEF">
        <w:rPr>
          <w:color w:val="000000" w:themeColor="text1"/>
          <w:lang w:val="es-AR"/>
        </w:rPr>
        <w:t>. Este ha sido definido como aquél que ataca a un grupo de personas sobre la base de su orientación sexual, género, religión, etnia o discapacidades de cualquier tipo. Ese discurso, además, debe intentar instalar alguna forma de discriminación contra el grupo que ha elegido como víctima</w:t>
      </w:r>
      <w:r w:rsidRPr="002C0AEF">
        <w:rPr>
          <w:rStyle w:val="Refdenotaalpie"/>
          <w:color w:val="000000" w:themeColor="text1"/>
          <w:lang w:val="es-AR"/>
        </w:rPr>
        <w:footnoteReference w:id="41"/>
      </w:r>
      <w:r w:rsidRPr="002C0AEF">
        <w:rPr>
          <w:color w:val="000000" w:themeColor="text1"/>
          <w:lang w:val="es-AR"/>
        </w:rPr>
        <w:t>.</w:t>
      </w:r>
    </w:p>
    <w:p w:rsidR="0098116B" w:rsidRPr="002C0AEF" w:rsidRDefault="0098116B" w:rsidP="0098116B">
      <w:pPr>
        <w:spacing w:line="360" w:lineRule="auto"/>
        <w:ind w:firstLine="567"/>
        <w:jc w:val="both"/>
        <w:rPr>
          <w:color w:val="000000" w:themeColor="text1"/>
          <w:lang w:val="es-AR"/>
        </w:rPr>
      </w:pPr>
      <w:r>
        <w:rPr>
          <w:color w:val="000000" w:themeColor="text1"/>
          <w:lang w:val="es-AR"/>
        </w:rPr>
        <w:t>L</w:t>
      </w:r>
      <w:r w:rsidRPr="002C0AEF">
        <w:rPr>
          <w:color w:val="000000" w:themeColor="text1"/>
          <w:lang w:val="es-AR"/>
        </w:rPr>
        <w:t xml:space="preserve">a Comisión Europea junto con </w:t>
      </w:r>
      <w:proofErr w:type="spellStart"/>
      <w:r w:rsidRPr="002C0AEF">
        <w:rPr>
          <w:i/>
          <w:color w:val="000000" w:themeColor="text1"/>
          <w:lang w:val="es-AR"/>
        </w:rPr>
        <w:t>Facebook</w:t>
      </w:r>
      <w:proofErr w:type="spellEnd"/>
      <w:r w:rsidRPr="002C0AEF">
        <w:rPr>
          <w:color w:val="000000" w:themeColor="text1"/>
          <w:lang w:val="es-AR"/>
        </w:rPr>
        <w:t xml:space="preserve">, </w:t>
      </w:r>
      <w:proofErr w:type="spellStart"/>
      <w:r w:rsidRPr="002C0AEF">
        <w:rPr>
          <w:i/>
          <w:color w:val="000000" w:themeColor="text1"/>
          <w:lang w:val="es-AR"/>
        </w:rPr>
        <w:t>Twitter</w:t>
      </w:r>
      <w:proofErr w:type="spellEnd"/>
      <w:r w:rsidRPr="002C0AEF">
        <w:rPr>
          <w:color w:val="000000" w:themeColor="text1"/>
          <w:lang w:val="es-AR"/>
        </w:rPr>
        <w:t xml:space="preserve">, </w:t>
      </w:r>
      <w:proofErr w:type="spellStart"/>
      <w:r w:rsidRPr="002C0AEF">
        <w:rPr>
          <w:i/>
          <w:color w:val="000000" w:themeColor="text1"/>
          <w:lang w:val="es-AR"/>
        </w:rPr>
        <w:t>YouTube</w:t>
      </w:r>
      <w:proofErr w:type="spellEnd"/>
      <w:r w:rsidRPr="002C0AEF">
        <w:rPr>
          <w:color w:val="000000" w:themeColor="text1"/>
          <w:lang w:val="es-AR"/>
        </w:rPr>
        <w:t xml:space="preserve"> y </w:t>
      </w:r>
      <w:r w:rsidRPr="002C0AEF">
        <w:rPr>
          <w:i/>
          <w:color w:val="000000" w:themeColor="text1"/>
          <w:lang w:val="es-AR"/>
        </w:rPr>
        <w:t>Microsoft,</w:t>
      </w:r>
      <w:r w:rsidRPr="002C0AEF">
        <w:rPr>
          <w:color w:val="000000" w:themeColor="text1"/>
          <w:lang w:val="es-AR"/>
        </w:rPr>
        <w:t xml:space="preserve"> han suscripto un Código de conducta que incluye una serie de compromisos para luchar contra la propagación de la incitación ilegal al odio en Internet en el ámbito de la Unión Europea.</w:t>
      </w:r>
    </w:p>
    <w:p w:rsidR="0098116B" w:rsidRPr="00C66A79" w:rsidRDefault="0098116B" w:rsidP="0098116B">
      <w:pPr>
        <w:spacing w:line="360" w:lineRule="auto"/>
        <w:ind w:firstLine="567"/>
        <w:jc w:val="both"/>
        <w:rPr>
          <w:i/>
          <w:color w:val="000000" w:themeColor="text1"/>
          <w:lang w:val="es-AR"/>
        </w:rPr>
      </w:pPr>
      <w:r>
        <w:rPr>
          <w:color w:val="000000" w:themeColor="text1"/>
          <w:lang w:val="es-AR"/>
        </w:rPr>
        <w:lastRenderedPageBreak/>
        <w:t>En esta línea, l</w:t>
      </w:r>
      <w:r w:rsidRPr="002C0AEF">
        <w:rPr>
          <w:color w:val="000000" w:themeColor="text1"/>
          <w:lang w:val="es-AR"/>
        </w:rPr>
        <w:t>a Comisión Euro</w:t>
      </w:r>
      <w:r w:rsidR="00EC6770">
        <w:rPr>
          <w:color w:val="000000" w:themeColor="text1"/>
          <w:lang w:val="es-AR"/>
        </w:rPr>
        <w:t>pea de Derechos Humanos ha manifest</w:t>
      </w:r>
      <w:r w:rsidRPr="002C0AEF">
        <w:rPr>
          <w:color w:val="000000" w:themeColor="text1"/>
          <w:lang w:val="es-AR"/>
        </w:rPr>
        <w:t>ado: “</w:t>
      </w:r>
      <w:r w:rsidRPr="002C0AEF">
        <w:rPr>
          <w:i/>
          <w:color w:val="000000" w:themeColor="text1"/>
          <w:lang w:val="es-AR"/>
        </w:rPr>
        <w:t>Las empresas de IT apoyan a la Comisión Europea y a los Estados miembros de la UE en el esfuerzo por responder al desafío de garantizar que las</w:t>
      </w:r>
      <w:r>
        <w:rPr>
          <w:i/>
          <w:color w:val="000000" w:themeColor="text1"/>
          <w:lang w:val="es-AR"/>
        </w:rPr>
        <w:t xml:space="preserve"> plataformas en línea no ofrecen</w:t>
      </w:r>
      <w:r w:rsidRPr="002C0AEF">
        <w:rPr>
          <w:i/>
          <w:color w:val="000000" w:themeColor="text1"/>
          <w:lang w:val="es-AR"/>
        </w:rPr>
        <w:t xml:space="preserve"> oportunidades de propagarse viralmente al discurso de incitación ilegal al odio en Internet.  Comparten, junto con otras plataformas y empresas de medios de comunicación social, una responsabilidad colectiva y un sentimiento de orgullo por promover y facilitar la libertad de expresión en línea en todo el mundo. Sin embargo, la Comisión y las empresas de IT reconocen que la difusión de la incitación ilegal al odio en Internet no solo afecta negativamente a los grupos o individuos contra los que se dirige, sino que también incide negativamente en quienes defienden la libertad, la tolerancia y la no discriminación en nuestras sociedades abiertas, y tiene un efecto disuasorio sobre el discurso democrático en las plataformas en línea”.</w:t>
      </w:r>
    </w:p>
    <w:p w:rsidR="0098116B" w:rsidRPr="009D74D4" w:rsidRDefault="0098116B" w:rsidP="0098116B">
      <w:pPr>
        <w:spacing w:line="360" w:lineRule="auto"/>
        <w:ind w:firstLine="567"/>
        <w:jc w:val="both"/>
        <w:rPr>
          <w:color w:val="000000" w:themeColor="text1"/>
          <w:lang w:val="es-AR"/>
        </w:rPr>
      </w:pPr>
      <w:r w:rsidRPr="009D74D4">
        <w:rPr>
          <w:color w:val="000000" w:themeColor="text1"/>
          <w:lang w:val="es-AR"/>
        </w:rPr>
        <w:t>Además en forma concordante, la firma de este documento implicó que las empresas de Tecnología asuman la obligación de desarrollar procedimientos internos, así como de capacitar al personal para garantizar que éste examine la mayoría de las notificaciones válidas para eliminar los contenidos que impliquen manifestaciones de incitación ilegal al odio, en un plazo menos a 24 horas; y en caso que sea necesario, retire tales contenidos o inhabilite el acceso a los mismos</w:t>
      </w:r>
      <w:r w:rsidRPr="009D74D4">
        <w:rPr>
          <w:rStyle w:val="Refdenotaalpie"/>
          <w:color w:val="000000" w:themeColor="text1"/>
          <w:lang w:val="es-AR"/>
        </w:rPr>
        <w:footnoteReference w:id="42"/>
      </w:r>
      <w:r w:rsidRPr="009D74D4">
        <w:rPr>
          <w:color w:val="000000" w:themeColor="text1"/>
          <w:lang w:val="es-AR"/>
        </w:rPr>
        <w:t xml:space="preserve">.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Torres</w:t>
      </w:r>
      <w:r w:rsidRPr="002C0AEF">
        <w:rPr>
          <w:rStyle w:val="Refdenotaalpie"/>
          <w:color w:val="000000" w:themeColor="text1"/>
          <w:lang w:val="es-AR"/>
        </w:rPr>
        <w:footnoteReference w:id="43"/>
      </w:r>
      <w:r w:rsidRPr="002C0AEF">
        <w:rPr>
          <w:color w:val="000000" w:themeColor="text1"/>
          <w:lang w:val="es-AR"/>
        </w:rPr>
        <w:t xml:space="preserve"> </w:t>
      </w:r>
      <w:r w:rsidR="0058207D">
        <w:rPr>
          <w:color w:val="000000" w:themeColor="text1"/>
          <w:lang w:val="es-AR"/>
        </w:rPr>
        <w:t xml:space="preserve">advierte </w:t>
      </w:r>
      <w:r w:rsidRPr="002C0AEF">
        <w:rPr>
          <w:color w:val="000000" w:themeColor="text1"/>
          <w:lang w:val="es-AR"/>
        </w:rPr>
        <w:t xml:space="preserve">con excelente criterio, que el inconveniente de la regulación de internet es que ataca a su misma esencia: </w:t>
      </w:r>
      <w:r w:rsidRPr="002C0AEF">
        <w:rPr>
          <w:i/>
          <w:color w:val="000000" w:themeColor="text1"/>
          <w:lang w:val="es-AR"/>
        </w:rPr>
        <w:t>“Es simple, o tenemos internet con libertad de expresión o no tenemos internet, sino un corralito digital”</w:t>
      </w:r>
      <w:r w:rsidRPr="002C0AEF">
        <w:rPr>
          <w:color w:val="000000" w:themeColor="text1"/>
          <w:lang w:val="es-AR"/>
        </w:rPr>
        <w:t xml:space="preserve">. </w:t>
      </w:r>
    </w:p>
    <w:p w:rsidR="0098116B" w:rsidRPr="002C0AEF" w:rsidRDefault="0098116B" w:rsidP="0098116B">
      <w:pPr>
        <w:spacing w:line="360" w:lineRule="auto"/>
        <w:ind w:firstLine="567"/>
        <w:jc w:val="both"/>
        <w:rPr>
          <w:i/>
          <w:color w:val="000000" w:themeColor="text1"/>
          <w:lang w:val="es-AR"/>
        </w:rPr>
      </w:pPr>
      <w:r w:rsidRPr="002C0AEF">
        <w:rPr>
          <w:color w:val="000000" w:themeColor="text1"/>
          <w:lang w:val="es-AR"/>
        </w:rPr>
        <w:t xml:space="preserve">El legislador </w:t>
      </w:r>
      <w:r w:rsidR="003442C9">
        <w:rPr>
          <w:color w:val="000000" w:themeColor="text1"/>
          <w:lang w:val="es-AR"/>
        </w:rPr>
        <w:t>era consciente de esta</w:t>
      </w:r>
      <w:r w:rsidRPr="002C0AEF">
        <w:rPr>
          <w:color w:val="000000" w:themeColor="text1"/>
          <w:lang w:val="es-AR"/>
        </w:rPr>
        <w:t xml:space="preserve"> problemática al sancionar la ley N° 26.032</w:t>
      </w:r>
      <w:r w:rsidRPr="002C0AEF">
        <w:rPr>
          <w:rStyle w:val="Refdenotaalpie"/>
          <w:color w:val="000000" w:themeColor="text1"/>
          <w:lang w:val="es-AR"/>
        </w:rPr>
        <w:footnoteReference w:id="44"/>
      </w:r>
      <w:r w:rsidRPr="002C0AEF">
        <w:rPr>
          <w:color w:val="000000" w:themeColor="text1"/>
          <w:lang w:val="es-AR"/>
        </w:rPr>
        <w:t xml:space="preserve">, que en su  artículo 1° dispone: </w:t>
      </w:r>
      <w:r w:rsidRPr="002C0AEF">
        <w:rPr>
          <w:i/>
          <w:color w:val="000000" w:themeColor="text1"/>
          <w:lang w:val="es-AR"/>
        </w:rPr>
        <w:t>“La búsqueda, recepción y difusión de información e ideas de toda índole, a través del servicio de Internet, se considera comprendido dentro de la garantía constitucional que ampara la libertad de expresión”.</w:t>
      </w:r>
    </w:p>
    <w:p w:rsidR="0098116B" w:rsidRPr="002C0AEF" w:rsidRDefault="0098116B" w:rsidP="0098116B">
      <w:pPr>
        <w:spacing w:line="360" w:lineRule="auto"/>
        <w:ind w:firstLine="567"/>
        <w:jc w:val="both"/>
        <w:rPr>
          <w:color w:val="000000" w:themeColor="text1"/>
          <w:lang w:val="es-AR"/>
        </w:rPr>
      </w:pPr>
      <w:r>
        <w:rPr>
          <w:color w:val="000000" w:themeColor="text1"/>
          <w:lang w:val="es-AR"/>
        </w:rPr>
        <w:lastRenderedPageBreak/>
        <w:t xml:space="preserve">A nivel local podemos </w:t>
      </w:r>
      <w:r w:rsidRPr="002C0AEF">
        <w:rPr>
          <w:color w:val="000000" w:themeColor="text1"/>
          <w:lang w:val="es-AR"/>
        </w:rPr>
        <w:t>mencionar el fallo</w:t>
      </w:r>
      <w:r>
        <w:rPr>
          <w:color w:val="000000" w:themeColor="text1"/>
          <w:lang w:val="es-AR"/>
        </w:rPr>
        <w:t xml:space="preserve"> </w:t>
      </w:r>
      <w:r w:rsidRPr="002C0AEF">
        <w:rPr>
          <w:i/>
          <w:color w:val="000000" w:themeColor="text1"/>
          <w:lang w:val="es-AR"/>
        </w:rPr>
        <w:t>“</w:t>
      </w:r>
      <w:proofErr w:type="spellStart"/>
      <w:r w:rsidRPr="002C0AEF">
        <w:rPr>
          <w:i/>
          <w:color w:val="000000" w:themeColor="text1"/>
          <w:lang w:val="es-AR"/>
        </w:rPr>
        <w:t>Vanucci</w:t>
      </w:r>
      <w:proofErr w:type="spellEnd"/>
      <w:r w:rsidRPr="002C0AEF">
        <w:rPr>
          <w:i/>
          <w:color w:val="000000" w:themeColor="text1"/>
          <w:lang w:val="es-AR"/>
        </w:rPr>
        <w:t xml:space="preserve">, María Victoria c/ </w:t>
      </w:r>
      <w:proofErr w:type="spellStart"/>
      <w:r w:rsidRPr="002C0AEF">
        <w:rPr>
          <w:i/>
          <w:color w:val="000000" w:themeColor="text1"/>
          <w:lang w:val="es-AR"/>
        </w:rPr>
        <w:t>Twitter</w:t>
      </w:r>
      <w:proofErr w:type="spellEnd"/>
      <w:r w:rsidRPr="002C0AEF">
        <w:rPr>
          <w:i/>
          <w:color w:val="000000" w:themeColor="text1"/>
          <w:lang w:val="es-AR"/>
        </w:rPr>
        <w:t xml:space="preserve"> Inc. s/ acción preventiva de daños”</w:t>
      </w:r>
      <w:r w:rsidRPr="002C0AEF">
        <w:rPr>
          <w:color w:val="000000" w:themeColor="text1"/>
          <w:lang w:val="es-AR"/>
        </w:rPr>
        <w:t xml:space="preserve"> del juzgado civil y comercial federal N° 2</w:t>
      </w:r>
      <w:r w:rsidRPr="002C0AEF">
        <w:rPr>
          <w:rStyle w:val="Refdenotaalpie"/>
          <w:color w:val="000000" w:themeColor="text1"/>
          <w:lang w:val="es-AR"/>
        </w:rPr>
        <w:footnoteReference w:id="45"/>
      </w:r>
      <w:r w:rsidRPr="002C0AEF">
        <w:rPr>
          <w:color w:val="000000" w:themeColor="text1"/>
          <w:lang w:val="es-AR"/>
        </w:rPr>
        <w:t xml:space="preserve">. </w:t>
      </w:r>
    </w:p>
    <w:p w:rsidR="0098116B" w:rsidRPr="002C0AEF" w:rsidRDefault="0098116B" w:rsidP="0098116B">
      <w:pPr>
        <w:spacing w:line="360" w:lineRule="auto"/>
        <w:ind w:firstLine="567"/>
        <w:jc w:val="both"/>
        <w:rPr>
          <w:b/>
          <w:color w:val="000000" w:themeColor="text1"/>
          <w:lang w:val="es-AR"/>
        </w:rPr>
      </w:pPr>
      <w:r w:rsidRPr="002C0AEF">
        <w:rPr>
          <w:color w:val="000000" w:themeColor="text1"/>
          <w:lang w:val="es-AR"/>
        </w:rPr>
        <w:t>En este</w:t>
      </w:r>
      <w:r w:rsidR="00DD0392">
        <w:rPr>
          <w:color w:val="000000" w:themeColor="text1"/>
          <w:lang w:val="es-AR"/>
        </w:rPr>
        <w:t xml:space="preserve"> caso</w:t>
      </w:r>
      <w:r w:rsidRPr="002C0AEF">
        <w:rPr>
          <w:color w:val="000000" w:themeColor="text1"/>
          <w:lang w:val="es-AR"/>
        </w:rPr>
        <w:t xml:space="preserve">, la actora interpuso una acción preventiva de daños a fin de que se obligue a </w:t>
      </w:r>
      <w:proofErr w:type="spellStart"/>
      <w:r w:rsidRPr="002C0AEF">
        <w:rPr>
          <w:i/>
          <w:color w:val="000000" w:themeColor="text1"/>
          <w:lang w:val="es-AR"/>
        </w:rPr>
        <w:t>Twitter</w:t>
      </w:r>
      <w:proofErr w:type="spellEnd"/>
      <w:r w:rsidRPr="002C0AEF">
        <w:rPr>
          <w:i/>
          <w:color w:val="000000" w:themeColor="text1"/>
          <w:lang w:val="es-AR"/>
        </w:rPr>
        <w:t xml:space="preserve"> </w:t>
      </w:r>
      <w:r w:rsidRPr="002C0AEF">
        <w:rPr>
          <w:color w:val="000000" w:themeColor="text1"/>
          <w:lang w:val="es-AR"/>
        </w:rPr>
        <w:t>a eliminar todos los dichos y montajes fotográficos que se refieren a su persona como; “asesina”, “puta”, “judía” (puesto que se adjetiva su credo insultándolo), “lacra”, “no grata”, “cucaracha”, “perra”. También la acusan de drogadicta y afirman que le desean su “muerte”, “suf</w:t>
      </w:r>
      <w:r>
        <w:rPr>
          <w:color w:val="000000" w:themeColor="text1"/>
          <w:lang w:val="es-AR"/>
        </w:rPr>
        <w:t>rimiento” y “dolor”, manif</w:t>
      </w:r>
      <w:r w:rsidRPr="002C0AEF">
        <w:rPr>
          <w:color w:val="000000" w:themeColor="text1"/>
          <w:lang w:val="es-AR"/>
        </w:rPr>
        <w:t xml:space="preserve">estando sentir por ella un profundo “odio”, entre muchos otros improperios e incitaciones a la violencia, al odio y a la discriminación.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A fin de resolver la solicitud, el tribunal señaló que la inclusión del nombre, fotografías y comentarios que refieren a la actora en el marco de la red social </w:t>
      </w:r>
      <w:proofErr w:type="spellStart"/>
      <w:r w:rsidRPr="002C0AEF">
        <w:rPr>
          <w:i/>
          <w:color w:val="000000" w:themeColor="text1"/>
          <w:lang w:val="es-AR"/>
        </w:rPr>
        <w:t>Twitter</w:t>
      </w:r>
      <w:proofErr w:type="spellEnd"/>
      <w:r w:rsidRPr="002C0AEF">
        <w:rPr>
          <w:color w:val="000000" w:themeColor="text1"/>
          <w:lang w:val="es-AR"/>
        </w:rPr>
        <w:t xml:space="preserve">, sin su autorización, constituye un uso indebido del nombre e imagen, que su titular tiene derecho a preservar, pues hace a su intimidad y honor. </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No obstante, agrega que la medida solicitada por la actora no puede ser admitida en forma generalizada, pues ello violaría la libertad de expresión, sino que: </w:t>
      </w:r>
      <w:r w:rsidRPr="002C0AEF">
        <w:rPr>
          <w:i/>
          <w:color w:val="000000" w:themeColor="text1"/>
          <w:lang w:val="es-AR"/>
        </w:rPr>
        <w:t>“debe circunscribirse a las publicaciones ya mencionadas por la requirente o las que individualice en el futuro y que por su naturaleza, resulten lesivas para cualquier persona en tanto atacan la dignidad humana (cuerpo, imagen y su intimidad) y que puedan ser valorados con criterios de razonabilidad y equilibrio entre los derechos fundamentales en juego (libertad de expresión y acceso a la información por un lado; y derechos subjetivos integrados en el derecho a la personalidad de carácter individual, por otro)”.</w:t>
      </w:r>
      <w:r w:rsidRPr="002C0AEF">
        <w:rPr>
          <w:color w:val="000000" w:themeColor="text1"/>
          <w:lang w:val="es-AR"/>
        </w:rPr>
        <w:t xml:space="preserve">  </w:t>
      </w:r>
    </w:p>
    <w:p w:rsidR="0098116B" w:rsidRPr="002C0AEF" w:rsidRDefault="0098116B" w:rsidP="0098116B">
      <w:pPr>
        <w:spacing w:line="360" w:lineRule="auto"/>
        <w:ind w:firstLine="567"/>
        <w:jc w:val="both"/>
        <w:rPr>
          <w:color w:val="000000" w:themeColor="text1"/>
          <w:lang w:val="es-AR"/>
        </w:rPr>
      </w:pPr>
      <w:r>
        <w:rPr>
          <w:color w:val="000000" w:themeColor="text1"/>
          <w:lang w:val="es-AR"/>
        </w:rPr>
        <w:t>Asimismo</w:t>
      </w:r>
      <w:r w:rsidRPr="002C0AEF">
        <w:rPr>
          <w:color w:val="000000" w:themeColor="text1"/>
          <w:lang w:val="es-AR"/>
        </w:rPr>
        <w:t xml:space="preserve"> enfatiza que la responsabilidad de indicar cuáles son las publicaciones lesivas que solicita que se eliminen de la red, corresponde a la actora y no a la demandada:</w:t>
      </w:r>
      <w:r w:rsidRPr="002C0AEF">
        <w:rPr>
          <w:i/>
          <w:color w:val="000000" w:themeColor="text1"/>
          <w:lang w:val="es-AR"/>
        </w:rPr>
        <w:t xml:space="preserve">“(…) corresponde circunscribir la medida a las páginas que detecte la propia interesada pues no puede exigírsele TWITTER INC. </w:t>
      </w:r>
      <w:proofErr w:type="gramStart"/>
      <w:r w:rsidRPr="002C0AEF">
        <w:rPr>
          <w:i/>
          <w:color w:val="000000" w:themeColor="text1"/>
          <w:lang w:val="es-AR"/>
        </w:rPr>
        <w:t>un</w:t>
      </w:r>
      <w:proofErr w:type="gramEnd"/>
      <w:r w:rsidRPr="002C0AEF">
        <w:rPr>
          <w:i/>
          <w:color w:val="000000" w:themeColor="text1"/>
          <w:lang w:val="es-AR"/>
        </w:rPr>
        <w:t xml:space="preserve"> examen ex- ante de los contenidos alojados, dado que la manipulación de datos reviste una magnitud y escala considerables”</w:t>
      </w:r>
      <w:r w:rsidRPr="002C0AEF">
        <w:rPr>
          <w:color w:val="000000" w:themeColor="text1"/>
          <w:lang w:val="es-AR"/>
        </w:rPr>
        <w:t xml:space="preserve">.  </w:t>
      </w:r>
    </w:p>
    <w:p w:rsidR="0098116B" w:rsidRDefault="0098116B" w:rsidP="0098116B">
      <w:pPr>
        <w:spacing w:line="360" w:lineRule="auto"/>
        <w:ind w:firstLine="567"/>
        <w:jc w:val="both"/>
        <w:rPr>
          <w:color w:val="000000" w:themeColor="text1"/>
          <w:lang w:val="es-AR"/>
        </w:rPr>
      </w:pPr>
      <w:r w:rsidRPr="002C0AEF">
        <w:rPr>
          <w:color w:val="000000" w:themeColor="text1"/>
          <w:lang w:val="es-AR"/>
        </w:rPr>
        <w:t>Por otro lado, destaca que:</w:t>
      </w:r>
      <w:r w:rsidRPr="002C0AEF">
        <w:rPr>
          <w:i/>
          <w:color w:val="000000" w:themeColor="text1"/>
          <w:lang w:val="es-AR"/>
        </w:rPr>
        <w:t xml:space="preserve"> “(…) en los hechos se transparenta quien es el autor del comentario, en virtud de la cita de que emana, lo cual permite a los lectores relacionarlas </w:t>
      </w:r>
      <w:r w:rsidRPr="002C0AEF">
        <w:rPr>
          <w:i/>
          <w:color w:val="000000" w:themeColor="text1"/>
          <w:lang w:val="es-AR"/>
        </w:rPr>
        <w:lastRenderedPageBreak/>
        <w:t>no con el medio por el cual los ha recibido, sino con la especifica fuente con lo que lo ha generado”</w:t>
      </w:r>
      <w:r w:rsidRPr="002C0AEF">
        <w:rPr>
          <w:color w:val="000000" w:themeColor="text1"/>
          <w:lang w:val="es-AR"/>
        </w:rPr>
        <w:t xml:space="preserve">. </w:t>
      </w:r>
    </w:p>
    <w:p w:rsidR="0098116B" w:rsidRDefault="0098116B" w:rsidP="0098116B">
      <w:pPr>
        <w:spacing w:line="360" w:lineRule="auto"/>
        <w:ind w:firstLine="567"/>
        <w:jc w:val="both"/>
      </w:pPr>
      <w:r>
        <w:rPr>
          <w:color w:val="000000" w:themeColor="text1"/>
          <w:lang w:val="es-AR"/>
        </w:rPr>
        <w:t xml:space="preserve">Aún más reciente es el fallo </w:t>
      </w:r>
      <w:r w:rsidRPr="009870EC">
        <w:rPr>
          <w:i/>
          <w:color w:val="000000" w:themeColor="text1"/>
          <w:lang w:val="es-AR"/>
        </w:rPr>
        <w:t>“</w:t>
      </w:r>
      <w:r w:rsidRPr="009870EC">
        <w:rPr>
          <w:i/>
        </w:rPr>
        <w:t>M. S. F. c. M. V. L s/ calumnias e injurias</w:t>
      </w:r>
      <w:r>
        <w:rPr>
          <w:rStyle w:val="Refdenotaalpie"/>
        </w:rPr>
        <w:t>”</w:t>
      </w:r>
      <w:r>
        <w:rPr>
          <w:rStyle w:val="Refdenotaalpie"/>
        </w:rPr>
        <w:footnoteReference w:id="46"/>
      </w:r>
      <w:r>
        <w:t xml:space="preserve">. Es este precedente el querellante demandó a M.V.L por las expresiones </w:t>
      </w:r>
      <w:proofErr w:type="spellStart"/>
      <w:r>
        <w:t>calumniantes</w:t>
      </w:r>
      <w:proofErr w:type="spellEnd"/>
      <w:r>
        <w:t xml:space="preserve"> e injuriantes realizadas a través de la red social “</w:t>
      </w:r>
      <w:proofErr w:type="spellStart"/>
      <w:r>
        <w:t>Twitter</w:t>
      </w:r>
      <w:proofErr w:type="spellEnd"/>
      <w:r>
        <w:t>” en las que lo acusó por un delito que no cometió.</w:t>
      </w:r>
    </w:p>
    <w:p w:rsidR="0098116B" w:rsidRPr="002C0AEF" w:rsidRDefault="0098116B" w:rsidP="0098116B">
      <w:pPr>
        <w:spacing w:line="360" w:lineRule="auto"/>
        <w:ind w:firstLine="567"/>
        <w:jc w:val="both"/>
        <w:rPr>
          <w:i/>
          <w:color w:val="000000" w:themeColor="text1"/>
          <w:lang w:val="es-AR"/>
        </w:rPr>
      </w:pPr>
      <w:r>
        <w:t>En el mismo el juez dispuso sobreseer a la demandada del delito de calumnias e injurias por haber llegado a una conciliación con la querella e imponerle que realice ciento cincuenta horas de tareas comunitarias y la publicación de la parte dispositiva de la sentencia por el término de tres días consecutivos, uno de ellos domingo, en los diarios “La Nación” y “Clarín”.</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 xml:space="preserve">Coincidimos con el </w:t>
      </w:r>
      <w:r>
        <w:rPr>
          <w:color w:val="000000" w:themeColor="text1"/>
          <w:lang w:val="es-AR"/>
        </w:rPr>
        <w:t xml:space="preserve">primer </w:t>
      </w:r>
      <w:r w:rsidRPr="002C0AEF">
        <w:rPr>
          <w:color w:val="000000" w:themeColor="text1"/>
          <w:lang w:val="es-AR"/>
        </w:rPr>
        <w:t xml:space="preserve">fallo comentado, en que de ninguna manera se pueden prohibir </w:t>
      </w:r>
      <w:r w:rsidRPr="002C0AEF">
        <w:rPr>
          <w:i/>
          <w:color w:val="000000" w:themeColor="text1"/>
          <w:lang w:val="es-AR"/>
        </w:rPr>
        <w:t>ex ante</w:t>
      </w:r>
      <w:r w:rsidRPr="002C0AEF">
        <w:rPr>
          <w:color w:val="000000" w:themeColor="text1"/>
          <w:lang w:val="es-AR"/>
        </w:rPr>
        <w:t xml:space="preserve"> las manifestaciones en internet, en tanto implica un caso concreto de censura previa y con ello, una clara lesión a la libertad de expresión amparada por los artículos 14, 32, 33, 68 y 83 de la Constitución Nacional, así como de toda la normativa de protección que surge de los T</w:t>
      </w:r>
      <w:r>
        <w:rPr>
          <w:color w:val="000000" w:themeColor="text1"/>
          <w:lang w:val="es-AR"/>
        </w:rPr>
        <w:t>r</w:t>
      </w:r>
      <w:r w:rsidRPr="002C0AEF">
        <w:rPr>
          <w:color w:val="000000" w:themeColor="text1"/>
          <w:lang w:val="es-AR"/>
        </w:rPr>
        <w:t>atados de derechos humanos con igual jerarquía, como el artículo 13.1 de la Convención Americana de Derechos Humanos</w:t>
      </w:r>
      <w:r w:rsidRPr="002C0AEF">
        <w:rPr>
          <w:rStyle w:val="Refdenotaalpie"/>
          <w:color w:val="000000" w:themeColor="text1"/>
          <w:lang w:val="es-AR"/>
        </w:rPr>
        <w:footnoteReference w:id="47"/>
      </w:r>
      <w:r w:rsidRPr="002C0AEF">
        <w:rPr>
          <w:color w:val="000000" w:themeColor="text1"/>
          <w:lang w:val="es-AR"/>
        </w:rPr>
        <w:t>.</w:t>
      </w:r>
    </w:p>
    <w:p w:rsidR="0098116B" w:rsidRPr="002C0AEF" w:rsidRDefault="0098116B" w:rsidP="0098116B">
      <w:pPr>
        <w:spacing w:line="360" w:lineRule="auto"/>
        <w:ind w:firstLine="567"/>
        <w:jc w:val="both"/>
        <w:rPr>
          <w:color w:val="000000" w:themeColor="text1"/>
          <w:lang w:val="es-AR"/>
        </w:rPr>
      </w:pPr>
      <w:r w:rsidRPr="002C0AEF">
        <w:rPr>
          <w:color w:val="000000" w:themeColor="text1"/>
          <w:lang w:val="es-AR"/>
        </w:rPr>
        <w:t>No obstante, reforzamos la idea de que internet no es un espacio donde las conductas ilegales no tienen consecuencias jurídicas, toda vez que la libertad de expresión no ampara el llamado discurso de odio</w:t>
      </w:r>
      <w:r w:rsidRPr="002C0AEF">
        <w:rPr>
          <w:rStyle w:val="Refdenotaalpie"/>
          <w:color w:val="000000" w:themeColor="text1"/>
          <w:lang w:val="es-AR"/>
        </w:rPr>
        <w:footnoteReference w:id="48"/>
      </w:r>
      <w:r w:rsidRPr="002C0AEF">
        <w:rPr>
          <w:color w:val="000000" w:themeColor="text1"/>
          <w:lang w:val="es-AR"/>
        </w:rPr>
        <w:t xml:space="preserve">, ni las expresiones injuriantes. </w:t>
      </w:r>
    </w:p>
    <w:p w:rsidR="0098116B" w:rsidRPr="002C0AEF" w:rsidRDefault="0098116B" w:rsidP="0098116B">
      <w:pPr>
        <w:spacing w:line="360" w:lineRule="auto"/>
        <w:ind w:firstLine="567"/>
        <w:jc w:val="both"/>
        <w:rPr>
          <w:color w:val="000000" w:themeColor="text1"/>
          <w:lang w:val="es-AR"/>
        </w:rPr>
      </w:pPr>
      <w:r>
        <w:rPr>
          <w:color w:val="000000" w:themeColor="text1"/>
          <w:lang w:val="es-AR"/>
        </w:rPr>
        <w:lastRenderedPageBreak/>
        <w:t xml:space="preserve">Por ello, </w:t>
      </w:r>
      <w:r w:rsidRPr="002C0AEF">
        <w:rPr>
          <w:color w:val="000000" w:themeColor="text1"/>
          <w:lang w:val="es-AR"/>
        </w:rPr>
        <w:t xml:space="preserve">quien resulte lesionado por expresiones y/o manifestaciones realizadas en la </w:t>
      </w:r>
      <w:r w:rsidRPr="002C0AEF">
        <w:rPr>
          <w:i/>
          <w:color w:val="000000" w:themeColor="text1"/>
          <w:lang w:val="es-AR"/>
        </w:rPr>
        <w:t>web</w:t>
      </w:r>
      <w:r w:rsidRPr="002C0AEF">
        <w:rPr>
          <w:color w:val="000000" w:themeColor="text1"/>
          <w:lang w:val="es-AR"/>
        </w:rPr>
        <w:t xml:space="preserve"> o a través de distintas redes sociales, debe tener la posibilidad de solicitar tanto al administrador de éstas, como al dueño o usuario de un perfil la eliminación de las mismas.</w:t>
      </w:r>
    </w:p>
    <w:p w:rsidR="0098116B" w:rsidRPr="002C0AEF" w:rsidRDefault="0098116B" w:rsidP="0098116B">
      <w:pPr>
        <w:spacing w:line="360" w:lineRule="auto"/>
        <w:ind w:firstLine="567"/>
        <w:jc w:val="both"/>
        <w:rPr>
          <w:b/>
          <w:color w:val="000000" w:themeColor="text1"/>
          <w:lang w:val="es-AR"/>
        </w:rPr>
      </w:pPr>
      <w:r w:rsidRPr="002C0AEF">
        <w:rPr>
          <w:color w:val="000000" w:themeColor="text1"/>
          <w:lang w:val="es-AR"/>
        </w:rPr>
        <w:t xml:space="preserve">Concuerdan con este criterio las </w:t>
      </w:r>
      <w:r w:rsidR="00F655A7">
        <w:rPr>
          <w:color w:val="000000" w:themeColor="text1"/>
          <w:lang w:val="es-AR"/>
        </w:rPr>
        <w:t xml:space="preserve">consideraciones </w:t>
      </w:r>
      <w:r w:rsidRPr="002C0AEF">
        <w:rPr>
          <w:color w:val="000000" w:themeColor="text1"/>
          <w:lang w:val="es-AR"/>
        </w:rPr>
        <w:t>realizadas por la Comisión Europea</w:t>
      </w:r>
      <w:r w:rsidRPr="002C0AEF">
        <w:rPr>
          <w:rStyle w:val="Refdenotaalpie"/>
          <w:color w:val="000000" w:themeColor="text1"/>
          <w:lang w:val="es-AR"/>
        </w:rPr>
        <w:footnoteReference w:id="49"/>
      </w:r>
      <w:r w:rsidRPr="002C0AEF">
        <w:rPr>
          <w:color w:val="000000" w:themeColor="text1"/>
          <w:lang w:val="es-AR"/>
        </w:rPr>
        <w:t xml:space="preserve"> al momento de suscribir con las empresas de Tecnología</w:t>
      </w:r>
      <w:r w:rsidRPr="002C0AEF">
        <w:rPr>
          <w:rStyle w:val="Refdenotaalpie"/>
          <w:color w:val="000000" w:themeColor="text1"/>
          <w:lang w:val="es-AR"/>
        </w:rPr>
        <w:t xml:space="preserve"> </w:t>
      </w:r>
      <w:r w:rsidRPr="002C0AEF">
        <w:rPr>
          <w:color w:val="000000" w:themeColor="text1"/>
          <w:lang w:val="es-AR"/>
        </w:rPr>
        <w:t>(TI), el Código de conducta en materia de incitación ilegal al odio en Internet</w:t>
      </w:r>
      <w:r w:rsidRPr="002C0AEF">
        <w:rPr>
          <w:rStyle w:val="Refdenotaalpie"/>
          <w:color w:val="000000" w:themeColor="text1"/>
          <w:lang w:val="es-AR"/>
        </w:rPr>
        <w:footnoteReference w:id="50"/>
      </w:r>
      <w:r w:rsidRPr="002C0AEF">
        <w:rPr>
          <w:color w:val="000000" w:themeColor="text1"/>
          <w:lang w:val="es-AR"/>
        </w:rPr>
        <w:t xml:space="preserve">. </w:t>
      </w:r>
    </w:p>
    <w:p w:rsidR="0098116B" w:rsidRPr="009D74D4" w:rsidRDefault="0098116B" w:rsidP="0098116B">
      <w:pPr>
        <w:spacing w:line="360" w:lineRule="auto"/>
        <w:ind w:firstLine="567"/>
        <w:jc w:val="both"/>
        <w:rPr>
          <w:color w:val="000000" w:themeColor="text1"/>
          <w:lang w:val="es-AR"/>
        </w:rPr>
      </w:pPr>
      <w:r w:rsidRPr="009D74D4">
        <w:rPr>
          <w:color w:val="000000" w:themeColor="text1"/>
          <w:lang w:val="es-AR"/>
        </w:rPr>
        <w:t xml:space="preserve">En esa oportunidad, la Comisión señaló que; </w:t>
      </w:r>
      <w:r w:rsidRPr="009D74D4">
        <w:rPr>
          <w:i/>
          <w:color w:val="000000" w:themeColor="text1"/>
          <w:lang w:val="es-AR"/>
        </w:rPr>
        <w:t>“Si bien la aplicación efectiva de disposiciones que tipifican la incitación al odio depende de un sistema sólido de imposición de sanciones penales a los individuos que cometen actos de incitación al odio, este trabajo debe complementarse con acciones encaminadas a garantizar que los intermediarios en línea y las plataformas de comunicación social examinen diligentemente los casos de incitación ilegal al odio en Internet, previa recepción de una notificación válida y en un plazo adecuado. Para ser considerada válida a este respecto, la notificación deberá ser suficientemente precisa y estar debidamente fundamentada”</w:t>
      </w:r>
      <w:r w:rsidRPr="009D74D4">
        <w:rPr>
          <w:rStyle w:val="Refdenotaalpie"/>
          <w:i/>
          <w:color w:val="000000" w:themeColor="text1"/>
          <w:lang w:val="es-AR"/>
        </w:rPr>
        <w:footnoteReference w:id="51"/>
      </w:r>
      <w:r w:rsidRPr="009D74D4">
        <w:rPr>
          <w:color w:val="000000" w:themeColor="text1"/>
          <w:lang w:val="es-AR"/>
        </w:rPr>
        <w:t>.</w:t>
      </w:r>
    </w:p>
    <w:p w:rsidR="0098116B" w:rsidRPr="00FF44BD" w:rsidRDefault="0098116B" w:rsidP="0098116B">
      <w:pPr>
        <w:spacing w:line="360" w:lineRule="auto"/>
        <w:ind w:firstLine="567"/>
        <w:jc w:val="both"/>
        <w:rPr>
          <w:color w:val="000000" w:themeColor="text1"/>
          <w:lang w:val="es-AR"/>
        </w:rPr>
      </w:pPr>
      <w:r w:rsidRPr="00FF44BD">
        <w:rPr>
          <w:color w:val="000000" w:themeColor="text1"/>
          <w:lang w:val="es-AR"/>
        </w:rPr>
        <w:t xml:space="preserve">Por su parte, </w:t>
      </w:r>
      <w:r>
        <w:rPr>
          <w:color w:val="000000" w:themeColor="text1"/>
          <w:lang w:val="es-AR"/>
        </w:rPr>
        <w:t xml:space="preserve">el juez del segundo de los fallos comentados el Dr. </w:t>
      </w:r>
      <w:proofErr w:type="spellStart"/>
      <w:r>
        <w:rPr>
          <w:color w:val="000000" w:themeColor="text1"/>
          <w:lang w:val="es-AR"/>
        </w:rPr>
        <w:t>Nardiello</w:t>
      </w:r>
      <w:proofErr w:type="spellEnd"/>
      <w:r>
        <w:rPr>
          <w:color w:val="000000" w:themeColor="text1"/>
          <w:lang w:val="es-AR"/>
        </w:rPr>
        <w:t xml:space="preserve">, considera que tiene que haber una responsabilidad de las redes sociales, como </w:t>
      </w:r>
      <w:proofErr w:type="spellStart"/>
      <w:r w:rsidRPr="00FF44BD">
        <w:rPr>
          <w:i/>
          <w:color w:val="000000" w:themeColor="text1"/>
          <w:lang w:val="es-AR"/>
        </w:rPr>
        <w:t>Twitter</w:t>
      </w:r>
      <w:proofErr w:type="spellEnd"/>
      <w:r w:rsidRPr="00FF44BD">
        <w:rPr>
          <w:i/>
          <w:color w:val="000000" w:themeColor="text1"/>
          <w:lang w:val="es-AR"/>
        </w:rPr>
        <w:t xml:space="preserve"> </w:t>
      </w:r>
      <w:r>
        <w:rPr>
          <w:color w:val="000000" w:themeColor="text1"/>
          <w:lang w:val="es-AR"/>
        </w:rPr>
        <w:t xml:space="preserve">en este caso. Al respecto </w:t>
      </w:r>
      <w:r w:rsidR="00F6566F">
        <w:rPr>
          <w:color w:val="000000" w:themeColor="text1"/>
          <w:lang w:val="es-AR"/>
        </w:rPr>
        <w:t xml:space="preserve">entiende </w:t>
      </w:r>
      <w:r>
        <w:rPr>
          <w:color w:val="000000" w:themeColor="text1"/>
          <w:lang w:val="es-AR"/>
        </w:rPr>
        <w:t xml:space="preserve">que acusaciones como las que realizó la demandada no hubieran existido si las redes sociales tuvieran un sistema de verificación para saber si los datos del usuario </w:t>
      </w:r>
      <w:r>
        <w:rPr>
          <w:color w:val="000000" w:themeColor="text1"/>
          <w:lang w:val="es-AR"/>
        </w:rPr>
        <w:lastRenderedPageBreak/>
        <w:t>son verdaderos. Asimismo agrega que hay que restringir el anonimato y que si existen ejércitos de “</w:t>
      </w:r>
      <w:proofErr w:type="spellStart"/>
      <w:r>
        <w:rPr>
          <w:color w:val="000000" w:themeColor="text1"/>
          <w:lang w:val="es-AR"/>
        </w:rPr>
        <w:t>trolls</w:t>
      </w:r>
      <w:proofErr w:type="spellEnd"/>
      <w:r>
        <w:rPr>
          <w:color w:val="000000" w:themeColor="text1"/>
          <w:lang w:val="es-AR"/>
        </w:rPr>
        <w:t>” o “</w:t>
      </w:r>
      <w:proofErr w:type="spellStart"/>
      <w:r>
        <w:rPr>
          <w:color w:val="000000" w:themeColor="text1"/>
          <w:lang w:val="es-AR"/>
        </w:rPr>
        <w:t>hatters</w:t>
      </w:r>
      <w:proofErr w:type="spellEnd"/>
      <w:r>
        <w:rPr>
          <w:color w:val="000000" w:themeColor="text1"/>
          <w:lang w:val="es-AR"/>
        </w:rPr>
        <w:t>” es porque las redes sociales facilitan su existencia</w:t>
      </w:r>
      <w:r>
        <w:rPr>
          <w:rStyle w:val="Refdenotaalpie"/>
          <w:color w:val="000000" w:themeColor="text1"/>
          <w:lang w:val="es-AR"/>
        </w:rPr>
        <w:footnoteReference w:id="52"/>
      </w:r>
      <w:r>
        <w:rPr>
          <w:color w:val="000000" w:themeColor="text1"/>
          <w:lang w:val="es-AR"/>
        </w:rPr>
        <w:t>.</w:t>
      </w:r>
    </w:p>
    <w:p w:rsidR="0098116B" w:rsidRPr="00FF44BD" w:rsidRDefault="0098116B" w:rsidP="0098116B">
      <w:pPr>
        <w:spacing w:line="360" w:lineRule="auto"/>
        <w:ind w:firstLine="567"/>
        <w:jc w:val="both"/>
        <w:rPr>
          <w:b/>
          <w:iCs/>
          <w:lang w:val="es-AR"/>
        </w:rPr>
      </w:pPr>
    </w:p>
    <w:p w:rsidR="0098116B" w:rsidRPr="002C0AEF" w:rsidRDefault="0098116B" w:rsidP="0098116B">
      <w:pPr>
        <w:spacing w:line="360" w:lineRule="auto"/>
        <w:jc w:val="both"/>
        <w:rPr>
          <w:b/>
          <w:iCs/>
          <w:lang w:val="es-AR"/>
        </w:rPr>
      </w:pPr>
      <w:r>
        <w:rPr>
          <w:b/>
          <w:iCs/>
          <w:lang w:val="es-AR"/>
        </w:rPr>
        <w:t>6.</w:t>
      </w:r>
      <w:r w:rsidRPr="002C0AEF">
        <w:rPr>
          <w:b/>
          <w:iCs/>
          <w:lang w:val="es-AR"/>
        </w:rPr>
        <w:t xml:space="preserve"> </w:t>
      </w:r>
      <w:r w:rsidRPr="002C0AEF">
        <w:rPr>
          <w:b/>
          <w:iCs/>
          <w:lang w:val="es-ES_tradnl"/>
        </w:rPr>
        <w:t>Usuarios y responsables de bancos o archivos de datos</w:t>
      </w:r>
      <w:r w:rsidRPr="002C0AEF">
        <w:rPr>
          <w:b/>
          <w:iCs/>
          <w:lang w:val="es-AR"/>
        </w:rPr>
        <w:t xml:space="preserve"> y </w:t>
      </w:r>
      <w:r w:rsidRPr="002C0AEF">
        <w:rPr>
          <w:b/>
          <w:i/>
          <w:iCs/>
          <w:lang w:val="es-AR"/>
        </w:rPr>
        <w:t>Cloud Computing</w:t>
      </w:r>
      <w:r w:rsidRPr="002C0AEF">
        <w:rPr>
          <w:b/>
          <w:iCs/>
          <w:lang w:val="es-AR"/>
        </w:rPr>
        <w:t>.</w:t>
      </w:r>
    </w:p>
    <w:p w:rsidR="0098116B" w:rsidRPr="002C0AEF" w:rsidRDefault="0098116B" w:rsidP="0098116B">
      <w:pPr>
        <w:spacing w:line="360" w:lineRule="auto"/>
        <w:ind w:firstLine="567"/>
        <w:jc w:val="both"/>
        <w:rPr>
          <w:iCs/>
          <w:highlight w:val="magenta"/>
          <w:lang w:val="es-ES_tradnl"/>
        </w:rPr>
      </w:pPr>
      <w:r w:rsidRPr="002C0AEF">
        <w:rPr>
          <w:iCs/>
          <w:lang w:val="es-ES_tradnl"/>
        </w:rPr>
        <w:t xml:space="preserve">A través de diferentes reglamentaciones, en nuestro país se ha avanzado en el diseño de medidas más efectivas respecto a las responsabilidades y deberes de los usuarios y responsables de bancos o archivos de datos. </w:t>
      </w:r>
    </w:p>
    <w:p w:rsidR="0098116B" w:rsidRPr="002C0AEF" w:rsidRDefault="0098116B" w:rsidP="0098116B">
      <w:pPr>
        <w:spacing w:line="360" w:lineRule="auto"/>
        <w:ind w:firstLine="567"/>
        <w:jc w:val="both"/>
      </w:pPr>
      <w:r w:rsidRPr="002C0AEF">
        <w:t xml:space="preserve">En esta </w:t>
      </w:r>
      <w:r w:rsidR="00113266">
        <w:t>dirección el artículo 9º de la l</w:t>
      </w:r>
      <w:r w:rsidRPr="002C0AEF">
        <w:t xml:space="preserve">ey </w:t>
      </w:r>
      <w:r w:rsidR="00113266">
        <w:t xml:space="preserve">N° </w:t>
      </w:r>
      <w:r w:rsidRPr="002C0AEF">
        <w:t>25.326, establece la responsabilidad del usuario o responsable de la base de datos, disponiendo que el "</w:t>
      </w:r>
      <w:r w:rsidRPr="002C0AEF">
        <w:rPr>
          <w:i/>
        </w:rPr>
        <w:t>(...) responsable o us</w:t>
      </w:r>
      <w:r w:rsidR="007848E8">
        <w:rPr>
          <w:i/>
        </w:rPr>
        <w:t>uario del archivo de datos debe</w:t>
      </w:r>
      <w:r w:rsidRPr="002C0AEF">
        <w:rPr>
          <w:i/>
        </w:rPr>
        <w:t xml:space="preserve"> adoptar las medidas técnicas y organizativas que resulten necesarias para garantizar la seguridad y confidencialidad de los datos personales, de modo de evitar su adulteración, pérdida, consulta o tratamiento no autorizado, y que permitan detectar desviaciones, intencionales o no, de información, ya sea que los riesgos provengan de la acción humana o del medio técnico utilizado. </w:t>
      </w:r>
      <w:r w:rsidR="007848E8">
        <w:rPr>
          <w:i/>
        </w:rPr>
        <w:t xml:space="preserve">2. </w:t>
      </w:r>
      <w:r w:rsidRPr="002C0AEF">
        <w:rPr>
          <w:i/>
        </w:rPr>
        <w:t>Queda prohibido registrar datos personales en archivos, registros o bancos que no reúnan condiciones técnicas de integridad y seguridad"</w:t>
      </w:r>
      <w:r w:rsidRPr="002C0AEF">
        <w:t xml:space="preserve">. </w:t>
      </w:r>
    </w:p>
    <w:p w:rsidR="0098116B" w:rsidRPr="002C0AEF" w:rsidRDefault="0098116B" w:rsidP="0098116B">
      <w:pPr>
        <w:spacing w:line="360" w:lineRule="auto"/>
        <w:ind w:firstLine="567"/>
        <w:jc w:val="both"/>
        <w:rPr>
          <w:lang w:val="es-AR"/>
        </w:rPr>
      </w:pPr>
      <w:r w:rsidRPr="002C0AEF">
        <w:t>Asimismo, en el artículo 25 del Decreto 1558/2001, reglamentario de la Ley de Protección de Datos Personales, se prevé que</w:t>
      </w:r>
      <w:r w:rsidRPr="002C0AEF">
        <w:rPr>
          <w:lang w:val="es-AR"/>
        </w:rPr>
        <w:t xml:space="preserve"> los contratos de prestación de servicios de tratamiento de datos personales deberán contener los niveles de seguridad previstos en la Ley de Protección de Datos Personales y las normas complementarias que dicte la Dirección Nacional de Protección de Datos Personales. Agrega que el encargado del tratamiento sólo actúa siguiendo instrucciones del responsable del tratamiento y que las obligaciones del artículo 9º de la ley </w:t>
      </w:r>
      <w:r w:rsidR="00113266">
        <w:rPr>
          <w:lang w:val="es-AR"/>
        </w:rPr>
        <w:t xml:space="preserve">N° </w:t>
      </w:r>
      <w:r w:rsidRPr="002C0AEF">
        <w:rPr>
          <w:lang w:val="es-AR"/>
        </w:rPr>
        <w:t>25.326, incumben también al encargado del tratamiento.</w:t>
      </w:r>
    </w:p>
    <w:p w:rsidR="0098116B" w:rsidRPr="002C0AEF" w:rsidRDefault="0098116B" w:rsidP="0098116B">
      <w:pPr>
        <w:pStyle w:val="content"/>
        <w:shd w:val="clear" w:color="auto" w:fill="FFFFFF"/>
        <w:spacing w:before="0" w:beforeAutospacing="0" w:after="0" w:afterAutospacing="0" w:line="360" w:lineRule="auto"/>
        <w:ind w:firstLine="567"/>
        <w:jc w:val="both"/>
        <w:textAlignment w:val="baseline"/>
      </w:pPr>
      <w:r w:rsidRPr="002C0AEF">
        <w:t>De manera complementaria, la Dirección Nacional de Protección de Datos Personales emitió en el año 2006 la Disposición DNPDP 11/06, para aquellas bases de datos que se encuadren en el nivel medio o crítico de las medidas de seguridad comprendidas por la normativa; es decir, la mayoría de las empresas que manejan datos personales.</w:t>
      </w:r>
    </w:p>
    <w:p w:rsidR="0098116B" w:rsidRPr="002C0AEF" w:rsidRDefault="0098116B" w:rsidP="0098116B">
      <w:pPr>
        <w:pStyle w:val="content"/>
        <w:shd w:val="clear" w:color="auto" w:fill="FFFFFF"/>
        <w:spacing w:before="0" w:beforeAutospacing="0" w:after="0" w:afterAutospacing="0" w:line="360" w:lineRule="auto"/>
        <w:ind w:firstLine="567"/>
        <w:jc w:val="both"/>
        <w:textAlignment w:val="baseline"/>
      </w:pPr>
      <w:r w:rsidRPr="002C0AEF">
        <w:lastRenderedPageBreak/>
        <w:t>Siguiendo esta línea, Travieso</w:t>
      </w:r>
      <w:r w:rsidRPr="002C0AEF">
        <w:rPr>
          <w:rStyle w:val="Refdenotaalpie"/>
          <w:rFonts w:eastAsia="MS Mincho"/>
        </w:rPr>
        <w:footnoteReference w:id="53"/>
      </w:r>
      <w:r w:rsidRPr="002C0AEF">
        <w:t xml:space="preserve"> </w:t>
      </w:r>
      <w:r w:rsidR="001A70D4">
        <w:t xml:space="preserve">considera </w:t>
      </w:r>
      <w:r w:rsidRPr="002C0AEF">
        <w:t>que “</w:t>
      </w:r>
      <w:r w:rsidRPr="002C0AEF">
        <w:rPr>
          <w:i/>
        </w:rPr>
        <w:t>se debe verificar que cada empresa cuente con un protocolo de salvaguarda de datos personales (política de privacidad), que comprenda las medidas previstas desde la recolección del dato personal hasta su destrucción”</w:t>
      </w:r>
      <w:r w:rsidRPr="002C0AEF">
        <w:t>.</w:t>
      </w:r>
    </w:p>
    <w:p w:rsidR="0098116B" w:rsidRPr="002C0AEF" w:rsidRDefault="0098116B" w:rsidP="0098116B">
      <w:pPr>
        <w:spacing w:line="360" w:lineRule="auto"/>
        <w:ind w:firstLine="567"/>
        <w:jc w:val="both"/>
      </w:pPr>
      <w:r w:rsidRPr="002C0AEF">
        <w:t>Agrega que la política en la materia</w:t>
      </w:r>
      <w:r w:rsidRPr="002C0AEF">
        <w:rPr>
          <w:i/>
        </w:rPr>
        <w:t xml:space="preserve"> “debe adecuarse a estándares internacionales, tomando como referencia los más altos niveles de protección actualmente vigentes, adaptándolos en forma razonable para conformar un producto que pueda calificar según las normas de "protección adecuada". Esa calificación, para empresas radicadas en la Argentina y relacionadas con Europa u otros países del mundo, les permitirá posicionarse a las filiales o sucursales de manera compatible con las casas matrices</w:t>
      </w:r>
      <w:r w:rsidRPr="002C0AEF">
        <w:t>”.</w:t>
      </w:r>
    </w:p>
    <w:p w:rsidR="0098116B" w:rsidRPr="002C0AEF" w:rsidRDefault="0098116B" w:rsidP="0098116B">
      <w:pPr>
        <w:spacing w:line="360" w:lineRule="auto"/>
        <w:ind w:firstLine="567"/>
        <w:jc w:val="both"/>
        <w:rPr>
          <w:iCs/>
          <w:lang w:val="es-AR"/>
        </w:rPr>
      </w:pPr>
      <w:r w:rsidRPr="002C0AEF">
        <w:rPr>
          <w:iCs/>
          <w:lang w:val="es-AR"/>
        </w:rPr>
        <w:t>El “</w:t>
      </w:r>
      <w:proofErr w:type="spellStart"/>
      <w:r w:rsidRPr="002C0AEF">
        <w:rPr>
          <w:i/>
          <w:iCs/>
          <w:lang w:val="es-AR"/>
        </w:rPr>
        <w:t>cloud</w:t>
      </w:r>
      <w:proofErr w:type="spellEnd"/>
      <w:r w:rsidRPr="002C0AEF">
        <w:rPr>
          <w:i/>
          <w:iCs/>
          <w:lang w:val="es-AR"/>
        </w:rPr>
        <w:t xml:space="preserve"> </w:t>
      </w:r>
      <w:proofErr w:type="spellStart"/>
      <w:r w:rsidRPr="002C0AEF">
        <w:rPr>
          <w:i/>
          <w:iCs/>
          <w:lang w:val="es-AR"/>
        </w:rPr>
        <w:t>computing</w:t>
      </w:r>
      <w:proofErr w:type="spellEnd"/>
      <w:r w:rsidRPr="002C0AEF">
        <w:rPr>
          <w:iCs/>
          <w:lang w:val="es-AR"/>
        </w:rPr>
        <w:t>”, “computación en la nube” o “servici</w:t>
      </w:r>
      <w:r w:rsidR="000048A9">
        <w:rPr>
          <w:iCs/>
          <w:lang w:val="es-AR"/>
        </w:rPr>
        <w:t>os en la nube” ha sido definido</w:t>
      </w:r>
      <w:r w:rsidRPr="002C0AEF">
        <w:rPr>
          <w:iCs/>
          <w:lang w:val="es-AR"/>
        </w:rPr>
        <w:t xml:space="preserve"> por el NIST (Instituto Nacional de Estándares y Tecnología Estadounidense) como </w:t>
      </w:r>
      <w:r w:rsidRPr="002C0AEF">
        <w:rPr>
          <w:i/>
          <w:iCs/>
          <w:lang w:val="es-AR"/>
        </w:rPr>
        <w:t>“un modelo que permite el acceso bajo demanda a través de la red a un conjunto compartido de recursos de computación configurables (como por ejemplo red, servidores, almacenamiento, aplicaciones y servicios) que pueden ser rápidamente aprovisionados con el mínimo esfuerzo de gestión o interacción del proveedor de servicio”</w:t>
      </w:r>
      <w:r w:rsidRPr="002C0AEF">
        <w:rPr>
          <w:rStyle w:val="Refdenotaalpie"/>
          <w:iCs/>
          <w:lang w:val="es-AR"/>
        </w:rPr>
        <w:footnoteReference w:id="54"/>
      </w:r>
      <w:r w:rsidRPr="002C0AEF">
        <w:rPr>
          <w:iCs/>
          <w:lang w:val="es-AR"/>
        </w:rPr>
        <w:t>.</w:t>
      </w:r>
    </w:p>
    <w:p w:rsidR="0098116B" w:rsidRPr="002C0AEF" w:rsidRDefault="0098116B" w:rsidP="0098116B">
      <w:pPr>
        <w:spacing w:line="360" w:lineRule="auto"/>
        <w:ind w:firstLine="567"/>
        <w:jc w:val="both"/>
      </w:pPr>
      <w:r w:rsidRPr="002C0AEF">
        <w:t>Esta nueva tecnología permite tener archivos, información y aplicaciones informáticas en Internet pudiendo acceder a ellos desde cualquier computadora sin necesidad de tenerla almacenada en un espacio propio.</w:t>
      </w:r>
    </w:p>
    <w:p w:rsidR="0098116B" w:rsidRPr="002C0AEF" w:rsidRDefault="0098116B" w:rsidP="0098116B">
      <w:pPr>
        <w:spacing w:line="360" w:lineRule="auto"/>
        <w:ind w:firstLine="567"/>
        <w:jc w:val="both"/>
      </w:pPr>
      <w:r w:rsidRPr="002C0AEF">
        <w:t xml:space="preserve">Se ha señalado que </w:t>
      </w:r>
      <w:r w:rsidRPr="002C0AEF">
        <w:rPr>
          <w:i/>
        </w:rPr>
        <w:t xml:space="preserve">“todo lo que está en Internet está en la nube”. En definitiva, los servicios que permiten a los usuarios almacenar dichos contenidos, acceder a ellos, procesarlos –por sí o por terceros- y ofrecer servicios asociados a los usuarios finales, son “servicios en la nube”  provistos masivamente a través de una red (usualmente Internet), </w:t>
      </w:r>
      <w:r w:rsidRPr="002C0AEF">
        <w:rPr>
          <w:i/>
        </w:rPr>
        <w:lastRenderedPageBreak/>
        <w:t>accesibles en forma inmediata y desde cualquier punto. Todo ese contenido “en la nube” está compuesto por “datos personales”</w:t>
      </w:r>
      <w:r w:rsidRPr="002C0AEF">
        <w:rPr>
          <w:rStyle w:val="Refdenotaalpie"/>
        </w:rPr>
        <w:footnoteReference w:id="55"/>
      </w:r>
      <w:r w:rsidRPr="002C0AEF">
        <w:t xml:space="preserve">. </w:t>
      </w:r>
    </w:p>
    <w:p w:rsidR="0098116B" w:rsidRPr="00074575" w:rsidRDefault="0098116B" w:rsidP="0098116B">
      <w:pPr>
        <w:spacing w:line="360" w:lineRule="auto"/>
        <w:ind w:firstLine="567"/>
        <w:jc w:val="both"/>
      </w:pPr>
      <w:r w:rsidRPr="00074575">
        <w:t>En consecuencia, la posibilidad de tratamiento de datos fuera del territorio nacional, es una característica propia del</w:t>
      </w:r>
      <w:r w:rsidRPr="00074575">
        <w:rPr>
          <w:i/>
        </w:rPr>
        <w:t xml:space="preserve"> Cloud Computing </w:t>
      </w:r>
      <w:r w:rsidRPr="00074575">
        <w:t>y constituye un elemento de especial relevancia que debe tenerse en cuenta</w:t>
      </w:r>
      <w:r>
        <w:t>, en la medida que</w:t>
      </w:r>
      <w:r w:rsidRPr="00074575">
        <w:t xml:space="preserve"> no puede ejercerse un control completo del tratamiento de los mismos.</w:t>
      </w:r>
    </w:p>
    <w:p w:rsidR="0098116B" w:rsidRPr="002C0AEF" w:rsidRDefault="0098116B" w:rsidP="0098116B">
      <w:pPr>
        <w:spacing w:line="360" w:lineRule="auto"/>
        <w:ind w:firstLine="567"/>
        <w:jc w:val="both"/>
      </w:pPr>
      <w:r w:rsidRPr="002C0AEF">
        <w:t>Actualmente en Argentina no existe una regulación específica para la “computación en la nube” pero coincido con parte de la doctrina</w:t>
      </w:r>
      <w:r w:rsidRPr="002C0AEF">
        <w:rPr>
          <w:rStyle w:val="Refdenotaalpie"/>
        </w:rPr>
        <w:footnoteReference w:id="56"/>
      </w:r>
      <w:r w:rsidRPr="002C0AEF">
        <w:t xml:space="preserve"> en que el contenido que está en la nube está compuesto por “datos personales”, y en consecuencia la normativa sobre protección de datos personales le resulta aplicable. </w:t>
      </w:r>
    </w:p>
    <w:p w:rsidR="0098116B" w:rsidRDefault="0098116B" w:rsidP="0098116B">
      <w:pPr>
        <w:spacing w:line="360" w:lineRule="auto"/>
        <w:ind w:firstLine="567"/>
        <w:jc w:val="both"/>
        <w:rPr>
          <w:lang w:val="es-AR"/>
        </w:rPr>
      </w:pPr>
      <w:r w:rsidRPr="002C0AEF">
        <w:t>En este sentido, los servicios en la nube constituyen un tratamiento informatizado de datos personales por cuenta de terceros en los términos del artículo 25 de la Ley de Protección de Datos Personales. Al respecto, dicho artículo establece</w:t>
      </w:r>
      <w:r w:rsidRPr="002C0AEF">
        <w:rPr>
          <w:i/>
        </w:rPr>
        <w:t xml:space="preserve"> </w:t>
      </w:r>
      <w:r w:rsidRPr="002C0AEF">
        <w:t>que los datos personales “</w:t>
      </w:r>
      <w:r w:rsidRPr="002C0AEF">
        <w:rPr>
          <w:i/>
          <w:lang w:val="es-AR"/>
        </w:rPr>
        <w:t>no podrán aplicarse o utilizarse con un fin distinto al que figure en el contrato de servicios, ni cederlos a otras personas, ni aun para su conservación”</w:t>
      </w:r>
      <w:r w:rsidRPr="002C0AEF">
        <w:rPr>
          <w:lang w:val="es-AR"/>
        </w:rPr>
        <w:t xml:space="preserve"> y agrega que </w:t>
      </w:r>
      <w:r w:rsidRPr="002C0AEF">
        <w:rPr>
          <w:i/>
          <w:lang w:val="es-AR"/>
        </w:rPr>
        <w:t>“una vez cumplida la prestación contractual los datos personales tratados deberán ser destruidos, salvo que medie autorización expresa de aquel por cuenta de quien se prestan tales servicios cuando razonablemente se presuma la posibilidad de ulteriores encargos, en cuyo caso se podrá almacenar con las debidas condiciones de seguridad por un período de hasta dos años”</w:t>
      </w:r>
      <w:r w:rsidRPr="002C0AEF">
        <w:rPr>
          <w:lang w:val="es-AR"/>
        </w:rPr>
        <w:t>.</w:t>
      </w:r>
    </w:p>
    <w:p w:rsidR="0098116B" w:rsidRPr="008400BC" w:rsidRDefault="0098116B" w:rsidP="0098116B">
      <w:pPr>
        <w:spacing w:line="360" w:lineRule="auto"/>
        <w:ind w:firstLine="567"/>
        <w:jc w:val="both"/>
        <w:rPr>
          <w:lang w:val="es-AR"/>
        </w:rPr>
      </w:pPr>
      <w:r>
        <w:rPr>
          <w:lang w:val="es-AR"/>
        </w:rPr>
        <w:t xml:space="preserve">En cuanto a normativa local podemos destacar a </w:t>
      </w:r>
      <w:r w:rsidRPr="008400BC">
        <w:rPr>
          <w:lang w:val="es-AR"/>
        </w:rPr>
        <w:t xml:space="preserve">la Ciudad </w:t>
      </w:r>
      <w:r>
        <w:rPr>
          <w:lang w:val="es-AR"/>
        </w:rPr>
        <w:t xml:space="preserve">Autónoma de Buenos </w:t>
      </w:r>
      <w:r w:rsidRPr="008400BC">
        <w:rPr>
          <w:lang w:val="es-AR"/>
        </w:rPr>
        <w:t>que en enero de</w:t>
      </w:r>
      <w:r>
        <w:rPr>
          <w:lang w:val="es-AR"/>
        </w:rPr>
        <w:t>l año 2017</w:t>
      </w:r>
      <w:r w:rsidRPr="008400BC">
        <w:rPr>
          <w:lang w:val="es-AR"/>
        </w:rPr>
        <w:t xml:space="preserve"> por Resolución N° 12/2017</w:t>
      </w:r>
      <w:r w:rsidRPr="008400BC">
        <w:rPr>
          <w:rStyle w:val="Refdenotaalpie"/>
          <w:lang w:val="es-AR"/>
        </w:rPr>
        <w:footnoteReference w:id="57"/>
      </w:r>
      <w:r w:rsidRPr="008400BC">
        <w:rPr>
          <w:lang w:val="es-AR"/>
        </w:rPr>
        <w:t xml:space="preserve"> aprobó el “Marco Normativo del Cloud Computing”, al cual deberán atenerse todos los organismos centralizados y descentralizados del Poder Ejecutivo local que tengan interés en llevar a cabo un proyecto a implementarse en el </w:t>
      </w:r>
      <w:r w:rsidRPr="008400BC">
        <w:rPr>
          <w:i/>
          <w:lang w:val="es-AR"/>
        </w:rPr>
        <w:t>“</w:t>
      </w:r>
      <w:proofErr w:type="spellStart"/>
      <w:r w:rsidRPr="008400BC">
        <w:rPr>
          <w:i/>
          <w:lang w:val="es-AR"/>
        </w:rPr>
        <w:t>cloud</w:t>
      </w:r>
      <w:proofErr w:type="spellEnd"/>
      <w:r w:rsidRPr="008400BC">
        <w:rPr>
          <w:i/>
          <w:lang w:val="es-AR"/>
        </w:rPr>
        <w:t>”</w:t>
      </w:r>
      <w:r w:rsidRPr="008400BC">
        <w:rPr>
          <w:lang w:val="es-AR"/>
        </w:rPr>
        <w:t xml:space="preserve">.  </w:t>
      </w:r>
    </w:p>
    <w:p w:rsidR="0098116B" w:rsidRPr="008400BC" w:rsidRDefault="0098116B" w:rsidP="0098116B">
      <w:pPr>
        <w:spacing w:line="360" w:lineRule="auto"/>
        <w:ind w:firstLine="567"/>
        <w:jc w:val="both"/>
        <w:rPr>
          <w:lang w:val="es-AR"/>
        </w:rPr>
      </w:pPr>
      <w:r w:rsidRPr="008400BC">
        <w:rPr>
          <w:lang w:val="es-AR"/>
        </w:rPr>
        <w:lastRenderedPageBreak/>
        <w:t>El objetivo de esta</w:t>
      </w:r>
      <w:r>
        <w:rPr>
          <w:lang w:val="es-AR"/>
        </w:rPr>
        <w:t xml:space="preserve"> resolución</w:t>
      </w:r>
      <w:r w:rsidRPr="008400BC">
        <w:rPr>
          <w:lang w:val="es-AR"/>
        </w:rPr>
        <w:t xml:space="preserve"> es establecer los criterios que se deben considerar para proteger la información del Gobierno de la Ciudad, seleccionando el escenario más acorde de acuerdo al tipo de información que se desea publicar. </w:t>
      </w:r>
      <w:r w:rsidRPr="007910BA">
        <w:t>De igual forma</w:t>
      </w:r>
      <w:r>
        <w:t>,</w:t>
      </w:r>
      <w:r w:rsidRPr="008400BC">
        <w:t xml:space="preserve"> </w:t>
      </w:r>
      <w:r>
        <w:t xml:space="preserve">la norma </w:t>
      </w:r>
      <w:r w:rsidRPr="008400BC">
        <w:t>agrega que el tratamiento de datos personales se sujetará a las medidas de seguridad establecidas en el artículo 17 de la Ley A – N° 1845</w:t>
      </w:r>
      <w:r>
        <w:rPr>
          <w:rStyle w:val="Refdenotaalpie"/>
        </w:rPr>
        <w:footnoteReference w:id="58"/>
      </w:r>
      <w:r w:rsidRPr="008400BC">
        <w:t>.</w:t>
      </w:r>
    </w:p>
    <w:p w:rsidR="0098116B" w:rsidRDefault="0098116B" w:rsidP="0098116B">
      <w:pPr>
        <w:spacing w:line="360" w:lineRule="auto"/>
        <w:jc w:val="both"/>
        <w:outlineLvl w:val="0"/>
        <w:rPr>
          <w:b/>
          <w:iCs/>
          <w:lang w:val="es-AR"/>
        </w:rPr>
      </w:pPr>
    </w:p>
    <w:p w:rsidR="0098116B" w:rsidRPr="007B5F5F" w:rsidRDefault="0098116B" w:rsidP="0098116B">
      <w:pPr>
        <w:spacing w:line="360" w:lineRule="auto"/>
        <w:jc w:val="both"/>
        <w:outlineLvl w:val="0"/>
        <w:rPr>
          <w:b/>
          <w:iCs/>
          <w:lang w:val="es-AR"/>
        </w:rPr>
      </w:pPr>
      <w:r>
        <w:rPr>
          <w:b/>
          <w:iCs/>
          <w:lang w:val="es-AR"/>
        </w:rPr>
        <w:t>7</w:t>
      </w:r>
      <w:r w:rsidRPr="007B5F5F">
        <w:rPr>
          <w:b/>
          <w:iCs/>
          <w:lang w:val="es-AR"/>
        </w:rPr>
        <w:t>.</w:t>
      </w:r>
      <w:r>
        <w:rPr>
          <w:b/>
          <w:iCs/>
          <w:lang w:val="es-AR"/>
        </w:rPr>
        <w:t xml:space="preserve"> Data </w:t>
      </w:r>
      <w:proofErr w:type="spellStart"/>
      <w:r>
        <w:rPr>
          <w:b/>
          <w:iCs/>
          <w:lang w:val="es-AR"/>
        </w:rPr>
        <w:t>mining</w:t>
      </w:r>
      <w:proofErr w:type="spellEnd"/>
      <w:r>
        <w:rPr>
          <w:b/>
          <w:iCs/>
          <w:lang w:val="es-AR"/>
        </w:rPr>
        <w:t>.</w:t>
      </w:r>
      <w:r w:rsidRPr="007B5F5F">
        <w:rPr>
          <w:b/>
          <w:iCs/>
          <w:lang w:val="es-AR"/>
        </w:rPr>
        <w:t xml:space="preserve"> </w:t>
      </w:r>
    </w:p>
    <w:p w:rsidR="0098116B" w:rsidRDefault="0098116B" w:rsidP="0098116B">
      <w:pPr>
        <w:spacing w:line="360" w:lineRule="auto"/>
        <w:ind w:firstLine="567"/>
        <w:jc w:val="both"/>
        <w:rPr>
          <w:iCs/>
          <w:lang w:val="es-AR"/>
        </w:rPr>
      </w:pPr>
      <w:r w:rsidRPr="002C0AEF">
        <w:rPr>
          <w:iCs/>
          <w:lang w:val="es-AR"/>
        </w:rPr>
        <w:t xml:space="preserve">El avance de la informática ha dado lugar a nuevas técnicas de tratamiento de datos. Entre ellas, las que se basan en el </w:t>
      </w:r>
      <w:r>
        <w:rPr>
          <w:iCs/>
          <w:lang w:val="es-AR"/>
        </w:rPr>
        <w:t>cruce de información procedente</w:t>
      </w:r>
      <w:r w:rsidRPr="002C0AEF">
        <w:rPr>
          <w:iCs/>
          <w:lang w:val="es-AR"/>
        </w:rPr>
        <w:t xml:space="preserve"> de distintos bancos o ficheros para extraer perfiles ya sea con fines come</w:t>
      </w:r>
      <w:r>
        <w:rPr>
          <w:iCs/>
          <w:lang w:val="es-AR"/>
        </w:rPr>
        <w:t>rciales o publicitarios, o para</w:t>
      </w:r>
      <w:r w:rsidRPr="002C0AEF">
        <w:rPr>
          <w:iCs/>
          <w:lang w:val="es-AR"/>
        </w:rPr>
        <w:t xml:space="preserve"> al Estado tener un perfil completo de sus gobernados y orientar la toma de decisiones</w:t>
      </w:r>
      <w:r>
        <w:rPr>
          <w:iCs/>
          <w:lang w:val="es-AR"/>
        </w:rPr>
        <w:t>.</w:t>
      </w:r>
    </w:p>
    <w:p w:rsidR="0098116B" w:rsidRPr="00043F9B" w:rsidRDefault="0098116B" w:rsidP="0098116B">
      <w:pPr>
        <w:spacing w:line="360" w:lineRule="auto"/>
        <w:ind w:firstLine="567"/>
        <w:jc w:val="both"/>
        <w:rPr>
          <w:b/>
          <w:iCs/>
          <w:lang w:val="es-AR"/>
        </w:rPr>
      </w:pPr>
      <w:r>
        <w:rPr>
          <w:iCs/>
          <w:lang w:val="es-AR"/>
        </w:rPr>
        <w:t>En definitiva l</w:t>
      </w:r>
      <w:r w:rsidRPr="002C0AEF">
        <w:rPr>
          <w:iCs/>
          <w:lang w:val="es-AR"/>
        </w:rPr>
        <w:t>os recursos informáticos, permiten la consolidación de información personal proveniente de distintas fuentes -aún públicas-, de modo de obtener un conocimiento de la vida de los individuos que no era posible antes de la utilización de los mismos</w:t>
      </w:r>
      <w:r w:rsidRPr="002C0AEF">
        <w:rPr>
          <w:rStyle w:val="Refdenotaalpie"/>
          <w:iCs/>
          <w:lang w:val="es-AR"/>
        </w:rPr>
        <w:footnoteReference w:id="59"/>
      </w:r>
      <w:r w:rsidRPr="002C0AEF">
        <w:rPr>
          <w:iCs/>
          <w:lang w:val="es-AR"/>
        </w:rPr>
        <w:t>.</w:t>
      </w:r>
    </w:p>
    <w:p w:rsidR="0098116B" w:rsidRPr="002C0AEF" w:rsidRDefault="0098116B" w:rsidP="0098116B">
      <w:pPr>
        <w:spacing w:line="360" w:lineRule="auto"/>
        <w:ind w:firstLine="567"/>
        <w:jc w:val="both"/>
        <w:rPr>
          <w:iCs/>
          <w:lang w:val="es-AR"/>
        </w:rPr>
      </w:pPr>
      <w:r>
        <w:rPr>
          <w:iCs/>
          <w:lang w:val="es-AR"/>
        </w:rPr>
        <w:t>E</w:t>
      </w:r>
      <w:r w:rsidRPr="002C0AEF">
        <w:rPr>
          <w:iCs/>
          <w:lang w:val="es-AR"/>
        </w:rPr>
        <w:t>xisten grandes intereses detrás del análisis de datos por parte de las empresas y los Estados, siendo uno de los principales objetivos conocer más al consumidor y el ciudadano</w:t>
      </w:r>
      <w:r w:rsidRPr="002C0AEF">
        <w:rPr>
          <w:rStyle w:val="Refdenotaalpie"/>
          <w:iCs/>
          <w:lang w:val="es-AR"/>
        </w:rPr>
        <w:footnoteReference w:id="60"/>
      </w:r>
      <w:r w:rsidRPr="002C0AEF">
        <w:rPr>
          <w:iCs/>
          <w:lang w:val="es-AR"/>
        </w:rPr>
        <w:t xml:space="preserve">. </w:t>
      </w:r>
    </w:p>
    <w:p w:rsidR="0098116B" w:rsidRPr="002C0AEF" w:rsidRDefault="0098116B" w:rsidP="0098116B">
      <w:pPr>
        <w:spacing w:line="360" w:lineRule="auto"/>
        <w:ind w:firstLine="567"/>
        <w:jc w:val="both"/>
        <w:rPr>
          <w:iCs/>
          <w:lang w:val="es-AR"/>
        </w:rPr>
      </w:pPr>
      <w:r w:rsidRPr="002C0AEF">
        <w:rPr>
          <w:iCs/>
          <w:lang w:val="es-AR"/>
        </w:rPr>
        <w:t>Estas técnicas han proliferado de manera notoria con la llegada de</w:t>
      </w:r>
      <w:r w:rsidRPr="002C0AEF">
        <w:rPr>
          <w:i/>
          <w:iCs/>
          <w:lang w:val="es-AR"/>
        </w:rPr>
        <w:t xml:space="preserve"> Internet</w:t>
      </w:r>
      <w:r w:rsidRPr="002C0AEF">
        <w:rPr>
          <w:iCs/>
          <w:lang w:val="es-AR"/>
        </w:rPr>
        <w:t xml:space="preserve">, aunque ya eran utilizadas en empresas de gran volumen en las que existe diversificación de productos e incluso en grupos de empresas de diferentes sectores. </w:t>
      </w:r>
    </w:p>
    <w:p w:rsidR="0098116B" w:rsidRPr="002C0AEF" w:rsidRDefault="0098116B" w:rsidP="0098116B">
      <w:pPr>
        <w:spacing w:line="360" w:lineRule="auto"/>
        <w:ind w:firstLine="567"/>
        <w:jc w:val="both"/>
        <w:rPr>
          <w:iCs/>
          <w:lang w:val="es-AR"/>
        </w:rPr>
      </w:pPr>
      <w:r w:rsidRPr="002C0AEF">
        <w:rPr>
          <w:iCs/>
          <w:lang w:val="es-AR"/>
        </w:rPr>
        <w:t xml:space="preserve">A la infraestructura de equipos dispuesta para realizar el cruzamiento de datos se la denomina </w:t>
      </w:r>
      <w:r w:rsidRPr="002C0AEF">
        <w:rPr>
          <w:i/>
          <w:iCs/>
          <w:lang w:val="es-AR"/>
        </w:rPr>
        <w:t xml:space="preserve">Data </w:t>
      </w:r>
      <w:proofErr w:type="spellStart"/>
      <w:r w:rsidRPr="002C0AEF">
        <w:rPr>
          <w:i/>
          <w:iCs/>
          <w:lang w:val="es-AR"/>
        </w:rPr>
        <w:t>warehouse</w:t>
      </w:r>
      <w:proofErr w:type="spellEnd"/>
      <w:r w:rsidRPr="002C0AEF">
        <w:rPr>
          <w:i/>
          <w:iCs/>
          <w:lang w:val="es-AR"/>
        </w:rPr>
        <w:t>,</w:t>
      </w:r>
      <w:r w:rsidRPr="002C0AEF">
        <w:rPr>
          <w:iCs/>
          <w:lang w:val="es-AR"/>
        </w:rPr>
        <w:t xml:space="preserve"> y al tratamiento concreto que se efectúa con los datos </w:t>
      </w:r>
      <w:r w:rsidRPr="002C0AEF">
        <w:rPr>
          <w:i/>
          <w:iCs/>
          <w:lang w:val="es-AR"/>
        </w:rPr>
        <w:t xml:space="preserve">Data </w:t>
      </w:r>
      <w:proofErr w:type="spellStart"/>
      <w:r w:rsidRPr="002C0AEF">
        <w:rPr>
          <w:i/>
          <w:iCs/>
          <w:lang w:val="es-AR"/>
        </w:rPr>
        <w:t>mining</w:t>
      </w:r>
      <w:proofErr w:type="spellEnd"/>
      <w:r w:rsidRPr="002C0AEF">
        <w:rPr>
          <w:iCs/>
          <w:lang w:val="es-AR"/>
        </w:rPr>
        <w:t xml:space="preserve"> o “minería de datos”. La propia denominación nos permite descubrir su finalidad, que no es otra que indagar en distintas bases de información donde las personas </w:t>
      </w:r>
      <w:r w:rsidRPr="002C0AEF">
        <w:rPr>
          <w:iCs/>
          <w:lang w:val="es-AR"/>
        </w:rPr>
        <w:lastRenderedPageBreak/>
        <w:t>consintieron su tratamiento, con el objeto de obtener a su vez, una nueva base de datos como resultante del entrecruzamiento de las anteriores</w:t>
      </w:r>
      <w:r w:rsidRPr="002C0AEF">
        <w:rPr>
          <w:rStyle w:val="Refdenotaalpie"/>
          <w:iCs/>
          <w:lang w:val="es-AR"/>
        </w:rPr>
        <w:footnoteReference w:id="61"/>
      </w:r>
      <w:r w:rsidRPr="002C0AEF">
        <w:rPr>
          <w:iCs/>
          <w:lang w:val="es-AR"/>
        </w:rPr>
        <w:t xml:space="preserve">. </w:t>
      </w:r>
    </w:p>
    <w:p w:rsidR="0098116B" w:rsidRPr="002C0AEF" w:rsidRDefault="0098116B" w:rsidP="0098116B">
      <w:pPr>
        <w:spacing w:line="360" w:lineRule="auto"/>
        <w:ind w:firstLine="567"/>
        <w:jc w:val="both"/>
        <w:rPr>
          <w:iCs/>
          <w:lang w:val="es-AR"/>
        </w:rPr>
      </w:pPr>
      <w:r w:rsidRPr="002C0AEF">
        <w:rPr>
          <w:iCs/>
          <w:lang w:val="es-AR"/>
        </w:rPr>
        <w:t xml:space="preserve">A los efectos, por regla general los tratamientos de </w:t>
      </w:r>
      <w:r w:rsidRPr="002C0AEF">
        <w:rPr>
          <w:i/>
          <w:iCs/>
          <w:lang w:val="es-AR"/>
        </w:rPr>
        <w:t xml:space="preserve">data </w:t>
      </w:r>
      <w:proofErr w:type="spellStart"/>
      <w:r w:rsidRPr="002C0AEF">
        <w:rPr>
          <w:i/>
          <w:iCs/>
          <w:lang w:val="es-AR"/>
        </w:rPr>
        <w:t>mining</w:t>
      </w:r>
      <w:proofErr w:type="spellEnd"/>
      <w:r w:rsidRPr="002C0AEF">
        <w:rPr>
          <w:iCs/>
          <w:lang w:val="es-AR"/>
        </w:rPr>
        <w:t xml:space="preserve"> se efectúan en sistemas informáticos distintos a los del resto de la empresa, incluyendo en los mismos los datos procedentes del resto de ficheros para su interrelación (</w:t>
      </w:r>
      <w:r w:rsidRPr="002C0AEF">
        <w:rPr>
          <w:i/>
          <w:iCs/>
          <w:lang w:val="es-AR"/>
        </w:rPr>
        <w:t xml:space="preserve">data </w:t>
      </w:r>
      <w:proofErr w:type="spellStart"/>
      <w:r w:rsidRPr="002C0AEF">
        <w:rPr>
          <w:i/>
          <w:iCs/>
          <w:lang w:val="es-AR"/>
        </w:rPr>
        <w:t>warehouse</w:t>
      </w:r>
      <w:proofErr w:type="spellEnd"/>
      <w:r w:rsidRPr="002C0AEF">
        <w:rPr>
          <w:iCs/>
          <w:lang w:val="es-AR"/>
        </w:rPr>
        <w:t>)</w:t>
      </w:r>
      <w:r w:rsidRPr="002C0AEF">
        <w:rPr>
          <w:iCs/>
          <w:vertAlign w:val="superscript"/>
          <w:lang w:val="es-AR"/>
        </w:rPr>
        <w:footnoteReference w:id="62"/>
      </w:r>
      <w:r w:rsidRPr="002C0AEF">
        <w:rPr>
          <w:iCs/>
          <w:lang w:val="es-AR"/>
        </w:rPr>
        <w:t>. Estas prácticas en algunos casos dan lugar a conductas al margen de la normativa sobre protección de datos personales, de allí los resgua</w:t>
      </w:r>
      <w:r>
        <w:rPr>
          <w:iCs/>
          <w:lang w:val="es-AR"/>
        </w:rPr>
        <w:t>r</w:t>
      </w:r>
      <w:r w:rsidRPr="002C0AEF">
        <w:rPr>
          <w:iCs/>
          <w:lang w:val="es-AR"/>
        </w:rPr>
        <w:t xml:space="preserve">dos que se deben tomar. </w:t>
      </w:r>
    </w:p>
    <w:p w:rsidR="0098116B" w:rsidRPr="002C0AEF" w:rsidRDefault="0098116B" w:rsidP="0098116B">
      <w:pPr>
        <w:spacing w:line="360" w:lineRule="auto"/>
        <w:ind w:firstLine="567"/>
        <w:jc w:val="both"/>
        <w:rPr>
          <w:i/>
          <w:iCs/>
          <w:lang w:val="es-AR"/>
        </w:rPr>
      </w:pPr>
      <w:r w:rsidRPr="002C0AEF">
        <w:rPr>
          <w:iCs/>
          <w:lang w:val="es-AR"/>
        </w:rPr>
        <w:t xml:space="preserve">En principio, salvo las excepciones del art. 5 de la ley </w:t>
      </w:r>
      <w:r w:rsidR="00113266">
        <w:rPr>
          <w:iCs/>
          <w:lang w:val="es-AR"/>
        </w:rPr>
        <w:t xml:space="preserve">N° </w:t>
      </w:r>
      <w:r w:rsidRPr="002C0AEF">
        <w:rPr>
          <w:iCs/>
          <w:lang w:val="es-AR"/>
        </w:rPr>
        <w:t xml:space="preserve">25.326 y en la medida que no resulten directa o indirectamente en el tratamiento de datos sensibles (art. 2.2 LPDP), cualquier técnica de </w:t>
      </w:r>
      <w:r w:rsidRPr="002C0AEF">
        <w:rPr>
          <w:i/>
          <w:iCs/>
          <w:lang w:val="es-AR"/>
        </w:rPr>
        <w:t xml:space="preserve">data </w:t>
      </w:r>
      <w:proofErr w:type="spellStart"/>
      <w:r w:rsidRPr="002C0AEF">
        <w:rPr>
          <w:i/>
          <w:iCs/>
          <w:lang w:val="es-AR"/>
        </w:rPr>
        <w:t>mining</w:t>
      </w:r>
      <w:proofErr w:type="spellEnd"/>
      <w:r w:rsidRPr="002C0AEF">
        <w:rPr>
          <w:iCs/>
          <w:lang w:val="es-AR"/>
        </w:rPr>
        <w:t xml:space="preserve"> exigirá el consentimiento previo del sujeto titular del dato. El hecho que exista consentimiento del titular para el tratamiento de su información personal en otros casos, no significa que se pueda efectuar un tratamiento paralelo dado que supondría una vulneración del principio de finalidad contenido en los arts. 4.1 y 4.3 de la Ley de Protección de Datos Personales</w:t>
      </w:r>
      <w:r>
        <w:rPr>
          <w:rStyle w:val="Refdenotaalpie"/>
          <w:iCs/>
          <w:lang w:val="es-AR"/>
        </w:rPr>
        <w:footnoteReference w:id="63"/>
      </w:r>
      <w:r w:rsidRPr="002C0AEF">
        <w:rPr>
          <w:i/>
          <w:iCs/>
          <w:lang w:val="es-AR"/>
        </w:rPr>
        <w:t>.</w:t>
      </w:r>
    </w:p>
    <w:p w:rsidR="0098116B" w:rsidRPr="002C0AEF" w:rsidRDefault="0098116B" w:rsidP="0098116B">
      <w:pPr>
        <w:spacing w:line="360" w:lineRule="auto"/>
        <w:ind w:firstLine="567"/>
        <w:jc w:val="both"/>
        <w:rPr>
          <w:iCs/>
          <w:lang w:val="es-AR"/>
        </w:rPr>
      </w:pPr>
      <w:r w:rsidRPr="002C0AEF">
        <w:rPr>
          <w:iCs/>
          <w:lang w:val="es-AR"/>
        </w:rPr>
        <w:t xml:space="preserve">Los titulares de los datos en algunos casos no comprendan que su información puede ser combinada con otros datos de perfil existentes de una manera que revele aspectos íntimos de un individuo, y normalmente carecen de una íntegra comprensión de las interpretaciones, inferencias y/o deducciones que se pueden extraer de sus datos combinados con técnicas de </w:t>
      </w:r>
      <w:r w:rsidRPr="002C0AEF">
        <w:rPr>
          <w:i/>
          <w:iCs/>
          <w:lang w:val="es-AR"/>
        </w:rPr>
        <w:t xml:space="preserve">data </w:t>
      </w:r>
      <w:proofErr w:type="spellStart"/>
      <w:r w:rsidRPr="002C0AEF">
        <w:rPr>
          <w:i/>
          <w:iCs/>
          <w:lang w:val="es-AR"/>
        </w:rPr>
        <w:t>minning</w:t>
      </w:r>
      <w:proofErr w:type="spellEnd"/>
      <w:r w:rsidRPr="002C0AEF">
        <w:rPr>
          <w:iCs/>
          <w:lang w:val="es-AR"/>
        </w:rPr>
        <w:t xml:space="preserve"> o análisis</w:t>
      </w:r>
      <w:r w:rsidRPr="002C0AEF">
        <w:rPr>
          <w:rStyle w:val="Refdenotaalpie"/>
          <w:iCs/>
          <w:lang w:val="es-AR"/>
        </w:rPr>
        <w:footnoteReference w:id="64"/>
      </w:r>
      <w:r w:rsidRPr="002C0AEF">
        <w:rPr>
          <w:iCs/>
          <w:lang w:val="es-AR"/>
        </w:rPr>
        <w:t>.</w:t>
      </w:r>
    </w:p>
    <w:p w:rsidR="0098116B" w:rsidRPr="002C0AEF" w:rsidRDefault="0098116B" w:rsidP="0098116B">
      <w:pPr>
        <w:spacing w:line="360" w:lineRule="auto"/>
        <w:ind w:firstLine="567"/>
        <w:jc w:val="both"/>
        <w:rPr>
          <w:iCs/>
          <w:lang w:val="es-AR"/>
        </w:rPr>
      </w:pPr>
      <w:r w:rsidRPr="002C0AEF">
        <w:rPr>
          <w:iCs/>
          <w:lang w:val="es-AR"/>
        </w:rPr>
        <w:t xml:space="preserve">Actualmente, la metodología de </w:t>
      </w:r>
      <w:r w:rsidRPr="002C0AEF">
        <w:rPr>
          <w:i/>
          <w:iCs/>
          <w:lang w:val="es-AR"/>
        </w:rPr>
        <w:t xml:space="preserve">data </w:t>
      </w:r>
      <w:proofErr w:type="spellStart"/>
      <w:r w:rsidRPr="002C0AEF">
        <w:rPr>
          <w:i/>
          <w:iCs/>
          <w:lang w:val="es-AR"/>
        </w:rPr>
        <w:t>mining</w:t>
      </w:r>
      <w:proofErr w:type="spellEnd"/>
      <w:r w:rsidRPr="002C0AEF">
        <w:rPr>
          <w:iCs/>
          <w:lang w:val="es-AR"/>
        </w:rPr>
        <w:t xml:space="preserve"> ha logrado un gran impulso con la llegada y evolución de la red. La cantidad de datos de un usuario que puede combinar un portal de comercio electrónico es inmensa, partiendo de los datos voluntariamente introducidos por el usuario registrado, a los hábitos de navegación que demuestre en su utilización diaria de los servicios de la</w:t>
      </w:r>
      <w:r w:rsidRPr="002C0AEF">
        <w:rPr>
          <w:i/>
          <w:iCs/>
          <w:lang w:val="es-AR"/>
        </w:rPr>
        <w:t xml:space="preserve"> web</w:t>
      </w:r>
      <w:r w:rsidRPr="002C0AEF">
        <w:rPr>
          <w:iCs/>
          <w:lang w:val="es-AR"/>
        </w:rPr>
        <w:t xml:space="preserve">. </w:t>
      </w:r>
    </w:p>
    <w:p w:rsidR="0098116B" w:rsidRPr="002C0AEF" w:rsidRDefault="0098116B" w:rsidP="0098116B">
      <w:pPr>
        <w:spacing w:line="360" w:lineRule="auto"/>
        <w:ind w:firstLine="567"/>
        <w:jc w:val="both"/>
        <w:rPr>
          <w:iCs/>
          <w:lang w:val="es-AR"/>
        </w:rPr>
      </w:pPr>
      <w:r w:rsidRPr="002C0AEF">
        <w:rPr>
          <w:iCs/>
          <w:lang w:val="es-AR"/>
        </w:rPr>
        <w:lastRenderedPageBreak/>
        <w:t xml:space="preserve">La personalización a la vez que permite seleccionar de forma voluntaria los contenidos que son de interés del usuario, también facilitará a la empresa propietaria conocer mejor qué productos pueden ser de su interés. </w:t>
      </w:r>
    </w:p>
    <w:p w:rsidR="0098116B" w:rsidRPr="002C0AEF" w:rsidRDefault="0098116B" w:rsidP="0098116B">
      <w:pPr>
        <w:spacing w:line="360" w:lineRule="auto"/>
        <w:ind w:firstLine="567"/>
        <w:jc w:val="both"/>
        <w:rPr>
          <w:iCs/>
          <w:lang w:val="es-AR"/>
        </w:rPr>
      </w:pPr>
      <w:r w:rsidRPr="002C0AEF">
        <w:rPr>
          <w:iCs/>
          <w:lang w:val="es-AR"/>
        </w:rPr>
        <w:t xml:space="preserve">Sin embargo, muy pocos portales informan de la existencia de ficheros de </w:t>
      </w:r>
      <w:r w:rsidRPr="002C0AEF">
        <w:rPr>
          <w:i/>
          <w:iCs/>
          <w:lang w:val="es-AR"/>
        </w:rPr>
        <w:t xml:space="preserve">data </w:t>
      </w:r>
      <w:proofErr w:type="spellStart"/>
      <w:r w:rsidRPr="002C0AEF">
        <w:rPr>
          <w:i/>
          <w:iCs/>
          <w:lang w:val="es-AR"/>
        </w:rPr>
        <w:t>mining</w:t>
      </w:r>
      <w:proofErr w:type="spellEnd"/>
      <w:r w:rsidRPr="002C0AEF">
        <w:rPr>
          <w:iCs/>
          <w:lang w:val="es-AR"/>
        </w:rPr>
        <w:t xml:space="preserve"> y de la finalidad del tratamiento que efectúan con los datos de los registrados. Esta situación en principio, constit</w:t>
      </w:r>
      <w:r w:rsidR="00113266">
        <w:rPr>
          <w:iCs/>
          <w:lang w:val="es-AR"/>
        </w:rPr>
        <w:t>uiría una grave violación a la l</w:t>
      </w:r>
      <w:r w:rsidRPr="002C0AEF">
        <w:rPr>
          <w:iCs/>
          <w:lang w:val="es-AR"/>
        </w:rPr>
        <w:t xml:space="preserve">ey N° 25.326 en los puntos referidos. Para que </w:t>
      </w:r>
      <w:proofErr w:type="gramStart"/>
      <w:r w:rsidRPr="002C0AEF">
        <w:rPr>
          <w:iCs/>
          <w:lang w:val="es-AR"/>
        </w:rPr>
        <w:t>así</w:t>
      </w:r>
      <w:proofErr w:type="gramEnd"/>
      <w:r w:rsidRPr="002C0AEF">
        <w:rPr>
          <w:iCs/>
          <w:lang w:val="es-AR"/>
        </w:rPr>
        <w:t xml:space="preserve"> no fuera, deberá tratarse de casos en los que sea notorio que se busca sólo formar perfiles con miras a ofrecer un bien o servicio, del que se infiera claramente que no es posible su utilización con finalidad discriminatoria alguna</w:t>
      </w:r>
      <w:r w:rsidRPr="002C0AEF">
        <w:rPr>
          <w:rStyle w:val="Refdenotaalpie"/>
          <w:iCs/>
          <w:lang w:val="es-AR"/>
        </w:rPr>
        <w:footnoteReference w:id="65"/>
      </w:r>
      <w:r w:rsidRPr="002C0AEF">
        <w:rPr>
          <w:iCs/>
          <w:lang w:val="es-AR"/>
        </w:rPr>
        <w:t xml:space="preserve">. </w:t>
      </w:r>
    </w:p>
    <w:p w:rsidR="0098116B" w:rsidRPr="002C0AEF" w:rsidRDefault="0098116B" w:rsidP="0098116B">
      <w:pPr>
        <w:spacing w:line="360" w:lineRule="auto"/>
        <w:ind w:firstLine="567"/>
        <w:jc w:val="both"/>
        <w:rPr>
          <w:iCs/>
          <w:lang w:val="es-AR"/>
        </w:rPr>
      </w:pPr>
      <w:r w:rsidRPr="002C0AEF">
        <w:rPr>
          <w:iCs/>
          <w:lang w:val="es-AR"/>
        </w:rPr>
        <w:t xml:space="preserve">Igualmente, la empresa que lleve a cabo el cruce de datos deberá notificar el resultado a su titular, y en caso de no contar con el consentimiento o si éste fuera revocado, automáticamente sacar el dato del correspondiente registro. </w:t>
      </w:r>
    </w:p>
    <w:p w:rsidR="0098116B" w:rsidRPr="002C0AEF" w:rsidRDefault="0098116B" w:rsidP="0098116B">
      <w:pPr>
        <w:spacing w:line="360" w:lineRule="auto"/>
        <w:ind w:firstLine="567"/>
        <w:jc w:val="both"/>
        <w:rPr>
          <w:iCs/>
          <w:lang w:val="es-AR"/>
        </w:rPr>
      </w:pPr>
      <w:r w:rsidRPr="002C0AEF">
        <w:rPr>
          <w:iCs/>
          <w:lang w:val="es-AR"/>
        </w:rPr>
        <w:t>También pesa sobre el titular del registro la adopción de medidas técnicas y organizativas aplicables a los mecanismos de disociación de datos, que resulten necesarias para garantizar la seguridad y confidencialidad de los mismos</w:t>
      </w:r>
      <w:r w:rsidRPr="002C0AEF">
        <w:rPr>
          <w:rStyle w:val="Refdenotaalpie"/>
          <w:iCs/>
          <w:lang w:val="es-AR"/>
        </w:rPr>
        <w:footnoteReference w:id="66"/>
      </w:r>
      <w:r w:rsidRPr="002C0AEF">
        <w:rPr>
          <w:iCs/>
          <w:lang w:val="es-AR"/>
        </w:rPr>
        <w:t>.</w:t>
      </w:r>
    </w:p>
    <w:p w:rsidR="0098116B" w:rsidRPr="002C0AEF" w:rsidRDefault="0098116B" w:rsidP="0098116B">
      <w:pPr>
        <w:spacing w:line="360" w:lineRule="auto"/>
        <w:jc w:val="both"/>
        <w:rPr>
          <w:b/>
          <w:lang w:val="es-AR"/>
        </w:rPr>
      </w:pPr>
      <w:r w:rsidRPr="002C0AEF">
        <w:rPr>
          <w:b/>
          <w:iCs/>
        </w:rPr>
        <w:t xml:space="preserve"> </w:t>
      </w:r>
    </w:p>
    <w:p w:rsidR="0098116B" w:rsidRDefault="0098116B" w:rsidP="0098116B">
      <w:pPr>
        <w:spacing w:line="360" w:lineRule="auto"/>
        <w:jc w:val="both"/>
        <w:rPr>
          <w:b/>
          <w:lang w:val="es-AR"/>
        </w:rPr>
      </w:pPr>
      <w:r>
        <w:rPr>
          <w:b/>
          <w:lang w:val="es-AR"/>
        </w:rPr>
        <w:t>8. Proyecto de ley para regular la responsabilidad de los proveedores de internet.</w:t>
      </w:r>
    </w:p>
    <w:p w:rsidR="0098116B" w:rsidRPr="0071160C" w:rsidRDefault="0098116B" w:rsidP="0098116B">
      <w:pPr>
        <w:autoSpaceDE w:val="0"/>
        <w:autoSpaceDN w:val="0"/>
        <w:adjustRightInd w:val="0"/>
        <w:spacing w:line="360" w:lineRule="auto"/>
        <w:ind w:firstLine="567"/>
        <w:jc w:val="both"/>
        <w:rPr>
          <w:iCs/>
          <w:lang w:val="es-ES_tradnl"/>
        </w:rPr>
      </w:pPr>
      <w:r w:rsidRPr="002C0AEF">
        <w:t xml:space="preserve">Nuestro país </w:t>
      </w:r>
      <w:r w:rsidRPr="002C0AEF">
        <w:rPr>
          <w:iCs/>
          <w:lang w:val="es-ES_tradnl"/>
        </w:rPr>
        <w:t xml:space="preserve">no escapa a la </w:t>
      </w:r>
      <w:r>
        <w:rPr>
          <w:iCs/>
          <w:lang w:val="es-ES_tradnl"/>
        </w:rPr>
        <w:t>necesidad de avances normativos</w:t>
      </w:r>
      <w:r w:rsidRPr="002C0AEF">
        <w:rPr>
          <w:iCs/>
          <w:lang w:val="es-ES_tradnl"/>
        </w:rPr>
        <w:t xml:space="preserve">, que a través de reformas a las leyes de protección de datos o mediante la presentación de proyectos específicos, </w:t>
      </w:r>
      <w:r>
        <w:rPr>
          <w:iCs/>
          <w:lang w:val="es-ES_tradnl"/>
        </w:rPr>
        <w:t>incorporen</w:t>
      </w:r>
      <w:r w:rsidRPr="002C0AEF">
        <w:rPr>
          <w:iCs/>
          <w:lang w:val="es-ES_tradnl"/>
        </w:rPr>
        <w:t xml:space="preserve"> un nivel más avanzado de resguardo legal respecto de los derechos de l</w:t>
      </w:r>
      <w:r>
        <w:rPr>
          <w:iCs/>
          <w:lang w:val="es-ES_tradnl"/>
        </w:rPr>
        <w:t xml:space="preserve">os titulares de la información. </w:t>
      </w:r>
      <w:r>
        <w:rPr>
          <w:rFonts w:eastAsiaTheme="minorHAnsi"/>
          <w:szCs w:val="19"/>
          <w:lang w:val="es-AR" w:eastAsia="en-US"/>
        </w:rPr>
        <w:t xml:space="preserve">Asimismo es importante que estas innovaciones a nivel legislativo den respuesta a </w:t>
      </w:r>
      <w:r w:rsidRPr="001C2EC4">
        <w:rPr>
          <w:rFonts w:eastAsiaTheme="minorHAnsi"/>
          <w:szCs w:val="19"/>
          <w:lang w:val="es-AR" w:eastAsia="en-US"/>
        </w:rPr>
        <w:t xml:space="preserve">la urgente necesidad de armonizar la libertad de expresión con los derechos fundamentales individuales </w:t>
      </w:r>
      <w:r>
        <w:rPr>
          <w:rFonts w:eastAsiaTheme="minorHAnsi"/>
          <w:szCs w:val="19"/>
          <w:lang w:val="es-AR" w:eastAsia="en-US"/>
        </w:rPr>
        <w:t>y colectivos de las personas</w:t>
      </w:r>
      <w:r>
        <w:rPr>
          <w:rStyle w:val="Refdenotaalpie"/>
          <w:rFonts w:eastAsiaTheme="minorHAnsi"/>
          <w:szCs w:val="19"/>
          <w:lang w:val="es-AR" w:eastAsia="en-US"/>
        </w:rPr>
        <w:footnoteReference w:id="67"/>
      </w:r>
      <w:r w:rsidRPr="001C2EC4">
        <w:rPr>
          <w:rFonts w:eastAsiaTheme="minorHAnsi"/>
          <w:szCs w:val="19"/>
          <w:lang w:val="es-AR" w:eastAsia="en-US"/>
        </w:rPr>
        <w:t>.</w:t>
      </w:r>
    </w:p>
    <w:p w:rsidR="0098116B" w:rsidRPr="005534F4" w:rsidRDefault="0098116B" w:rsidP="0098116B">
      <w:pPr>
        <w:spacing w:line="360" w:lineRule="auto"/>
        <w:ind w:firstLine="567"/>
        <w:jc w:val="both"/>
        <w:rPr>
          <w:lang w:val="es-AR"/>
        </w:rPr>
      </w:pPr>
      <w:r>
        <w:rPr>
          <w:lang w:val="es-ES_tradnl"/>
        </w:rPr>
        <w:t>En esta línea, c</w:t>
      </w:r>
      <w:proofErr w:type="spellStart"/>
      <w:r>
        <w:rPr>
          <w:lang w:val="es-AR"/>
        </w:rPr>
        <w:t>on</w:t>
      </w:r>
      <w:proofErr w:type="spellEnd"/>
      <w:r>
        <w:rPr>
          <w:lang w:val="es-AR"/>
        </w:rPr>
        <w:t xml:space="preserve"> fecha 2 de noviembre de 2016 la Cámara de Senadores de la Nación dio media sanción al proyecto de ley para regular la responsabilidad de los proveedores de servicios de internet (PSI). Con posterioridad, el 15 de noviembre de 2017, </w:t>
      </w:r>
      <w:r>
        <w:rPr>
          <w:lang w:val="es-AR"/>
        </w:rPr>
        <w:lastRenderedPageBreak/>
        <w:t xml:space="preserve">las </w:t>
      </w:r>
      <w:r w:rsidRPr="005534F4">
        <w:rPr>
          <w:lang w:val="es-AR"/>
        </w:rPr>
        <w:t>comisiones de Comunicaciones e Informática,</w:t>
      </w:r>
      <w:r>
        <w:rPr>
          <w:lang w:val="es-AR"/>
        </w:rPr>
        <w:t xml:space="preserve"> </w:t>
      </w:r>
      <w:r w:rsidRPr="005534F4">
        <w:rPr>
          <w:lang w:val="es-AR"/>
        </w:rPr>
        <w:t>de Defensa del Consumidor, del Usuario y de la Competencia</w:t>
      </w:r>
      <w:r>
        <w:rPr>
          <w:lang w:val="es-AR"/>
        </w:rPr>
        <w:t xml:space="preserve"> </w:t>
      </w:r>
      <w:r w:rsidRPr="005534F4">
        <w:rPr>
          <w:lang w:val="es-AR"/>
        </w:rPr>
        <w:t>y de Justicia</w:t>
      </w:r>
      <w:r>
        <w:rPr>
          <w:lang w:val="es-AR"/>
        </w:rPr>
        <w:t xml:space="preserve"> de la Cámara de Diputados de la Nación emitieron dictamen favorable  al proyecto aconsejando la sanción del mismo</w:t>
      </w:r>
      <w:r>
        <w:rPr>
          <w:rStyle w:val="Refdenotaalpie"/>
          <w:lang w:val="es-AR"/>
        </w:rPr>
        <w:footnoteReference w:id="68"/>
      </w:r>
      <w:r>
        <w:rPr>
          <w:lang w:val="es-AR"/>
        </w:rPr>
        <w:t xml:space="preserve">. </w:t>
      </w:r>
    </w:p>
    <w:p w:rsidR="0098116B" w:rsidRDefault="0098116B" w:rsidP="0098116B">
      <w:pPr>
        <w:autoSpaceDE w:val="0"/>
        <w:autoSpaceDN w:val="0"/>
        <w:adjustRightInd w:val="0"/>
        <w:spacing w:line="360" w:lineRule="auto"/>
        <w:ind w:firstLine="567"/>
        <w:jc w:val="both"/>
        <w:rPr>
          <w:rFonts w:eastAsiaTheme="minorHAnsi"/>
          <w:i/>
          <w:szCs w:val="19"/>
          <w:lang w:val="es-AR" w:eastAsia="en-US"/>
        </w:rPr>
      </w:pPr>
      <w:r w:rsidRPr="005D5EBB">
        <w:rPr>
          <w:iCs/>
          <w:lang w:val="es-AR"/>
        </w:rPr>
        <w:t xml:space="preserve">El </w:t>
      </w:r>
      <w:r>
        <w:rPr>
          <w:iCs/>
          <w:lang w:val="es-AR"/>
        </w:rPr>
        <w:t xml:space="preserve">artículo 1° delimita su </w:t>
      </w:r>
      <w:r w:rsidRPr="005D5EBB">
        <w:rPr>
          <w:iCs/>
          <w:lang w:val="es-AR"/>
        </w:rPr>
        <w:t>objeto</w:t>
      </w:r>
      <w:r>
        <w:rPr>
          <w:iCs/>
          <w:lang w:val="es-AR"/>
        </w:rPr>
        <w:t>;</w:t>
      </w:r>
      <w:r w:rsidRPr="005D5EBB">
        <w:rPr>
          <w:rFonts w:eastAsiaTheme="minorHAnsi"/>
          <w:szCs w:val="19"/>
          <w:lang w:val="es-AR" w:eastAsia="en-US"/>
        </w:rPr>
        <w:t xml:space="preserve"> </w:t>
      </w:r>
      <w:r w:rsidRPr="005D5EBB">
        <w:rPr>
          <w:rFonts w:eastAsiaTheme="minorHAnsi"/>
          <w:i/>
          <w:szCs w:val="19"/>
          <w:lang w:val="es-AR" w:eastAsia="en-US"/>
        </w:rPr>
        <w:t>“(…) regular la responsabilidad de los Proveedores de Servicios de Internet, a efectos de garantizar la libertad de expresión y el derecho a la información, preservando los derechos al honor, a la intimidad y a la imagen de las personas, y cualquier otro derecho que resulte afectado</w:t>
      </w:r>
      <w:r>
        <w:rPr>
          <w:rFonts w:eastAsiaTheme="minorHAnsi"/>
          <w:i/>
          <w:szCs w:val="19"/>
          <w:lang w:val="es-AR" w:eastAsia="en-US"/>
        </w:rPr>
        <w:t xml:space="preserve">”. </w:t>
      </w:r>
    </w:p>
    <w:p w:rsidR="0098116B" w:rsidRPr="001C2EC4" w:rsidRDefault="0098116B" w:rsidP="0098116B">
      <w:pPr>
        <w:autoSpaceDE w:val="0"/>
        <w:autoSpaceDN w:val="0"/>
        <w:adjustRightInd w:val="0"/>
        <w:spacing w:line="360" w:lineRule="auto"/>
        <w:ind w:firstLine="567"/>
        <w:jc w:val="both"/>
        <w:rPr>
          <w:rFonts w:eastAsiaTheme="minorHAnsi"/>
          <w:szCs w:val="19"/>
          <w:lang w:val="es-AR" w:eastAsia="en-US"/>
        </w:rPr>
      </w:pPr>
      <w:r>
        <w:rPr>
          <w:rFonts w:eastAsiaTheme="minorHAnsi"/>
          <w:szCs w:val="19"/>
          <w:lang w:val="es-AR" w:eastAsia="en-US"/>
        </w:rPr>
        <w:t xml:space="preserve">Como se puede ver el objeto del mismo es ambicioso y busca dar soluciones a muchos de los conflictos y debates jurisprudenciales y doctrinarios sobre esta temática que hemos intentado abordar </w:t>
      </w:r>
      <w:r w:rsidR="000048A9">
        <w:rPr>
          <w:rFonts w:eastAsiaTheme="minorHAnsi"/>
          <w:szCs w:val="19"/>
          <w:lang w:val="es-AR" w:eastAsia="en-US"/>
        </w:rPr>
        <w:t xml:space="preserve">en el presente </w:t>
      </w:r>
      <w:r>
        <w:rPr>
          <w:rFonts w:eastAsiaTheme="minorHAnsi"/>
          <w:szCs w:val="19"/>
          <w:lang w:val="es-AR" w:eastAsia="en-US"/>
        </w:rPr>
        <w:t>trabajo.</w:t>
      </w:r>
    </w:p>
    <w:p w:rsidR="0098116B" w:rsidRPr="00773496" w:rsidRDefault="0098116B" w:rsidP="0098116B">
      <w:pPr>
        <w:autoSpaceDE w:val="0"/>
        <w:autoSpaceDN w:val="0"/>
        <w:adjustRightInd w:val="0"/>
        <w:spacing w:line="360" w:lineRule="auto"/>
        <w:ind w:firstLine="567"/>
        <w:jc w:val="both"/>
        <w:rPr>
          <w:rFonts w:eastAsiaTheme="minorHAnsi"/>
          <w:lang w:val="es-AR" w:eastAsia="en-US"/>
        </w:rPr>
      </w:pPr>
      <w:r>
        <w:rPr>
          <w:rFonts w:eastAsiaTheme="minorHAnsi"/>
          <w:szCs w:val="19"/>
          <w:lang w:val="es-AR" w:eastAsia="en-US"/>
        </w:rPr>
        <w:t xml:space="preserve">Si bien en forma coloquial se ha llamado a este proyecto “Ley de responsabilidad de los buscadores de internet” o “Ley Google” es importante destacar que el mismo regula la responsabilidad de los PSI </w:t>
      </w:r>
      <w:r>
        <w:rPr>
          <w:rFonts w:eastAsiaTheme="minorHAnsi"/>
          <w:lang w:val="es-AR" w:eastAsia="en-US"/>
        </w:rPr>
        <w:t>que no son solamente los buscadores de internet</w:t>
      </w:r>
      <w:r w:rsidRPr="00773496">
        <w:rPr>
          <w:rFonts w:eastAsiaTheme="minorHAnsi"/>
          <w:lang w:val="es-AR" w:eastAsia="en-US"/>
        </w:rPr>
        <w:t>.</w:t>
      </w:r>
    </w:p>
    <w:p w:rsidR="0098116B" w:rsidRPr="001C6194" w:rsidRDefault="0098116B" w:rsidP="0098116B">
      <w:pPr>
        <w:autoSpaceDE w:val="0"/>
        <w:autoSpaceDN w:val="0"/>
        <w:adjustRightInd w:val="0"/>
        <w:spacing w:line="360" w:lineRule="auto"/>
        <w:ind w:firstLine="567"/>
        <w:jc w:val="both"/>
        <w:rPr>
          <w:rFonts w:eastAsiaTheme="minorHAnsi"/>
          <w:lang w:val="es-AR" w:eastAsia="en-US"/>
        </w:rPr>
      </w:pPr>
      <w:r w:rsidRPr="00773496">
        <w:rPr>
          <w:rFonts w:eastAsiaTheme="minorHAnsi"/>
          <w:lang w:val="es-AR" w:eastAsia="en-US"/>
        </w:rPr>
        <w:t xml:space="preserve">En este sentido el proyecto brinda una definición amplia acerca de que considera proveedores de servicios de internet: </w:t>
      </w:r>
      <w:r w:rsidRPr="007C1F66">
        <w:rPr>
          <w:rFonts w:eastAsiaTheme="minorHAnsi"/>
          <w:i/>
          <w:lang w:val="es-AR" w:eastAsia="en-US"/>
        </w:rPr>
        <w:t>“(…) son las personas físicas o jurídicas, que ponen a disposición de terceros, servicios, aplicaciones o recursos tecnológicos que permiten el aprovechamiento de las redes que componen Internet y de los contenidos, servicios y aplicaciones disponibles en la misma</w:t>
      </w:r>
      <w:r>
        <w:rPr>
          <w:rFonts w:eastAsiaTheme="minorHAnsi"/>
          <w:lang w:val="es-AR" w:eastAsia="en-US"/>
        </w:rPr>
        <w:t>”</w:t>
      </w:r>
      <w:r w:rsidRPr="00773496">
        <w:rPr>
          <w:rFonts w:eastAsiaTheme="minorHAnsi"/>
          <w:lang w:val="es-AR" w:eastAsia="en-US"/>
        </w:rPr>
        <w:t>. Asimismo agrega que considera como tales a: 1) Proveedores de acceso, interconexión, transmisión y/o direccionamiento de contenidos, 2) Proveedores de servicios de almacenamiento automático o memoria temporal (cache) de contenidos, 3) Proveedores de servicios de publicación y alojamiento de contenidos; 4</w:t>
      </w:r>
      <w:r>
        <w:rPr>
          <w:rFonts w:eastAsiaTheme="minorHAnsi"/>
          <w:lang w:val="es-AR" w:eastAsia="en-US"/>
        </w:rPr>
        <w:t>)</w:t>
      </w:r>
      <w:r w:rsidRPr="00773496">
        <w:rPr>
          <w:rFonts w:eastAsiaTheme="minorHAnsi"/>
          <w:lang w:val="es-AR" w:eastAsia="en-US"/>
        </w:rPr>
        <w:t xml:space="preserve"> Proveedores de servicios de comercio electrónico, 5) Proveedores de servicios de enlace y búsqueda de contenidos</w:t>
      </w:r>
      <w:r>
        <w:rPr>
          <w:rStyle w:val="Refdenotaalpie"/>
          <w:rFonts w:eastAsiaTheme="minorHAnsi"/>
          <w:lang w:val="es-AR" w:eastAsia="en-US"/>
        </w:rPr>
        <w:footnoteReference w:id="69"/>
      </w:r>
      <w:r w:rsidRPr="00773496">
        <w:rPr>
          <w:rFonts w:eastAsiaTheme="minorHAnsi"/>
          <w:lang w:val="es-AR" w:eastAsia="en-US"/>
        </w:rPr>
        <w:t>.</w:t>
      </w:r>
    </w:p>
    <w:p w:rsidR="0098116B" w:rsidRDefault="0098116B" w:rsidP="0098116B">
      <w:pPr>
        <w:autoSpaceDE w:val="0"/>
        <w:autoSpaceDN w:val="0"/>
        <w:adjustRightInd w:val="0"/>
        <w:spacing w:line="360" w:lineRule="auto"/>
        <w:ind w:firstLine="567"/>
        <w:jc w:val="both"/>
        <w:rPr>
          <w:rFonts w:eastAsiaTheme="minorHAnsi"/>
          <w:lang w:val="es-AR" w:eastAsia="en-US"/>
        </w:rPr>
      </w:pPr>
      <w:r w:rsidRPr="001C6194">
        <w:rPr>
          <w:rFonts w:eastAsiaTheme="minorHAnsi"/>
          <w:lang w:val="es-AR" w:eastAsia="en-US"/>
        </w:rPr>
        <w:t>El artículo 4° se refiere expresamente a la responsabilidad de los PSI</w:t>
      </w:r>
      <w:r>
        <w:rPr>
          <w:rFonts w:eastAsiaTheme="minorHAnsi"/>
          <w:lang w:val="es-AR" w:eastAsia="en-US"/>
        </w:rPr>
        <w:t xml:space="preserve"> adoptando un factor de atribución subjetivo.</w:t>
      </w:r>
      <w:r w:rsidRPr="001C6194">
        <w:rPr>
          <w:rFonts w:eastAsiaTheme="minorHAnsi"/>
          <w:lang w:val="es-AR" w:eastAsia="en-US"/>
        </w:rPr>
        <w:t xml:space="preserve"> </w:t>
      </w:r>
      <w:r>
        <w:rPr>
          <w:rFonts w:eastAsiaTheme="minorHAnsi"/>
          <w:lang w:val="es-AR" w:eastAsia="en-US"/>
        </w:rPr>
        <w:t xml:space="preserve">Asimismo recepta </w:t>
      </w:r>
      <w:r w:rsidRPr="001C6194">
        <w:rPr>
          <w:rFonts w:eastAsiaTheme="minorHAnsi"/>
          <w:lang w:val="es-AR" w:eastAsia="en-US"/>
        </w:rPr>
        <w:t>un sistema como el que ha llamado parte de la doctrina de “noticia y baja”</w:t>
      </w:r>
      <w:r>
        <w:rPr>
          <w:rStyle w:val="Refdenotaalpie"/>
          <w:rFonts w:eastAsiaTheme="minorHAnsi"/>
          <w:lang w:val="es-AR" w:eastAsia="en-US"/>
        </w:rPr>
        <w:footnoteReference w:id="70"/>
      </w:r>
      <w:r w:rsidRPr="001C6194">
        <w:rPr>
          <w:rFonts w:eastAsiaTheme="minorHAnsi"/>
          <w:lang w:val="es-AR" w:eastAsia="en-US"/>
        </w:rPr>
        <w:t xml:space="preserve">. </w:t>
      </w:r>
    </w:p>
    <w:p w:rsidR="0098116B" w:rsidRPr="001C6194" w:rsidRDefault="000048A9" w:rsidP="0098116B">
      <w:pPr>
        <w:autoSpaceDE w:val="0"/>
        <w:autoSpaceDN w:val="0"/>
        <w:adjustRightInd w:val="0"/>
        <w:spacing w:line="360" w:lineRule="auto"/>
        <w:ind w:firstLine="567"/>
        <w:jc w:val="both"/>
        <w:rPr>
          <w:rFonts w:eastAsiaTheme="minorHAnsi"/>
          <w:lang w:val="es-AR" w:eastAsia="en-US"/>
        </w:rPr>
      </w:pPr>
      <w:r>
        <w:rPr>
          <w:rFonts w:eastAsiaTheme="minorHAnsi"/>
          <w:lang w:val="es-AR" w:eastAsia="en-US"/>
        </w:rPr>
        <w:lastRenderedPageBreak/>
        <w:t>D</w:t>
      </w:r>
      <w:r w:rsidR="0098116B" w:rsidRPr="001C6194">
        <w:rPr>
          <w:rFonts w:eastAsiaTheme="minorHAnsi"/>
          <w:lang w:val="es-AR" w:eastAsia="en-US"/>
        </w:rPr>
        <w:t>etermina que los mismos no serán responsables por los contenidos generados por terceros, excepto cuando habiendo sido debidamente notificados de una orden judicial de remoción o bloqueo, omitan dar cumplimiento a la misma, en el plazo correspondiente.</w:t>
      </w:r>
    </w:p>
    <w:p w:rsidR="0098116B" w:rsidRPr="004C47E4" w:rsidRDefault="0098116B" w:rsidP="0098116B">
      <w:pPr>
        <w:autoSpaceDE w:val="0"/>
        <w:autoSpaceDN w:val="0"/>
        <w:adjustRightInd w:val="0"/>
        <w:spacing w:line="360" w:lineRule="auto"/>
        <w:ind w:firstLine="567"/>
        <w:jc w:val="both"/>
        <w:rPr>
          <w:rFonts w:eastAsiaTheme="minorHAnsi"/>
          <w:lang w:val="es-AR" w:eastAsia="en-US"/>
        </w:rPr>
      </w:pPr>
      <w:r>
        <w:rPr>
          <w:rFonts w:eastAsiaTheme="minorHAnsi"/>
          <w:lang w:val="es-AR" w:eastAsia="en-US"/>
        </w:rPr>
        <w:t xml:space="preserve">En concordancia con lo señalado previamente el proyecto exime a los proveedores de servicio de internet de la obligación de monitorear o supervisar los contenidos generados </w:t>
      </w:r>
      <w:r w:rsidRPr="004C47E4">
        <w:rPr>
          <w:rFonts w:eastAsiaTheme="minorHAnsi"/>
          <w:lang w:val="es-AR" w:eastAsia="en-US"/>
        </w:rPr>
        <w:t>por terceros a fin de detectar o prevenir infracciones a la ley</w:t>
      </w:r>
      <w:r w:rsidRPr="004C47E4">
        <w:rPr>
          <w:rStyle w:val="Refdenotaalpie"/>
          <w:rFonts w:eastAsiaTheme="minorHAnsi"/>
          <w:lang w:val="es-AR" w:eastAsia="en-US"/>
        </w:rPr>
        <w:footnoteReference w:id="71"/>
      </w:r>
      <w:r w:rsidRPr="004C47E4">
        <w:rPr>
          <w:rFonts w:eastAsiaTheme="minorHAnsi"/>
          <w:lang w:val="es-AR" w:eastAsia="en-US"/>
        </w:rPr>
        <w:t xml:space="preserve">. </w:t>
      </w:r>
    </w:p>
    <w:p w:rsidR="0098116B" w:rsidRPr="004C47E4" w:rsidRDefault="0098116B" w:rsidP="0098116B">
      <w:pPr>
        <w:autoSpaceDE w:val="0"/>
        <w:autoSpaceDN w:val="0"/>
        <w:adjustRightInd w:val="0"/>
        <w:spacing w:line="360" w:lineRule="auto"/>
        <w:ind w:firstLine="567"/>
        <w:jc w:val="both"/>
        <w:rPr>
          <w:rFonts w:eastAsiaTheme="minorHAnsi"/>
          <w:lang w:val="es-AR" w:eastAsia="en-US"/>
        </w:rPr>
      </w:pPr>
      <w:r w:rsidRPr="004C47E4">
        <w:rPr>
          <w:rFonts w:eastAsiaTheme="minorHAnsi"/>
          <w:lang w:val="es-AR" w:eastAsia="en-US"/>
        </w:rPr>
        <w:t xml:space="preserve">Por su parte el artículo 6° se ocupa del procedimiento para solicitar que se retire, bloquee, suspenda y/o inhabilite el acceso a los contenidos que los PSI den acceso, interconecten, transmitan y/o direccionen, almacenen, alojen, intermedien, enlacen y/o busquen, que lesionen derechos legalmente reconocidos. El mismo prevé que se podrá promover acción de amparo ante el juez federal con competencia en su domicilio y deja en cabeza del demandante precisar el enlace donde se encuentre alojado el contenido cuestionado o los procedimientos para acceder al mismo. </w:t>
      </w:r>
    </w:p>
    <w:p w:rsidR="0098116B" w:rsidRPr="004C47E4" w:rsidRDefault="0098116B" w:rsidP="0098116B">
      <w:pPr>
        <w:autoSpaceDE w:val="0"/>
        <w:autoSpaceDN w:val="0"/>
        <w:adjustRightInd w:val="0"/>
        <w:spacing w:line="360" w:lineRule="auto"/>
        <w:ind w:firstLine="567"/>
        <w:jc w:val="both"/>
        <w:rPr>
          <w:rFonts w:eastAsiaTheme="minorHAnsi"/>
          <w:lang w:val="es-AR" w:eastAsia="en-US"/>
        </w:rPr>
      </w:pPr>
      <w:r>
        <w:rPr>
          <w:rFonts w:eastAsiaTheme="minorHAnsi"/>
          <w:lang w:val="es-AR" w:eastAsia="en-US"/>
        </w:rPr>
        <w:t>Con muy buen criterio incorpora la posibilidad de que los PSI acuerden sistemas de autorregulación que establezcan mecanismos alternativos para la notificación, el retiro, bloqueo o suspensión y/o inhabilitación de acceso a contenidos o la suspensión o cancelación de servicios brindados.</w:t>
      </w:r>
    </w:p>
    <w:p w:rsidR="0098116B" w:rsidRDefault="008A165E" w:rsidP="0098116B">
      <w:pPr>
        <w:autoSpaceDE w:val="0"/>
        <w:autoSpaceDN w:val="0"/>
        <w:adjustRightInd w:val="0"/>
        <w:spacing w:line="360" w:lineRule="auto"/>
        <w:ind w:firstLine="567"/>
        <w:jc w:val="both"/>
        <w:rPr>
          <w:rFonts w:eastAsiaTheme="minorHAnsi"/>
          <w:szCs w:val="19"/>
          <w:lang w:val="es-AR" w:eastAsia="en-US"/>
        </w:rPr>
      </w:pPr>
      <w:r>
        <w:rPr>
          <w:rFonts w:eastAsiaTheme="minorHAnsi"/>
          <w:szCs w:val="19"/>
          <w:lang w:val="es-AR" w:eastAsia="en-US"/>
        </w:rPr>
        <w:t>Como manifesté</w:t>
      </w:r>
      <w:r w:rsidR="0098116B">
        <w:rPr>
          <w:rFonts w:eastAsiaTheme="minorHAnsi"/>
          <w:szCs w:val="19"/>
          <w:lang w:val="es-AR" w:eastAsia="en-US"/>
        </w:rPr>
        <w:t xml:space="preserve"> previamente comparto el criterio adoptado por el proyecto en cuanto aplica un factor de atribución subjetivo e incorpora un sistema de notificación para aquellos contenidos que lesionan derechos fundamentales o implican una infracción a la ley</w:t>
      </w:r>
      <w:r w:rsidR="0098116B">
        <w:rPr>
          <w:rStyle w:val="Refdenotaalpie"/>
          <w:rFonts w:eastAsiaTheme="minorHAnsi"/>
          <w:szCs w:val="19"/>
          <w:lang w:val="es-AR" w:eastAsia="en-US"/>
        </w:rPr>
        <w:footnoteReference w:id="72"/>
      </w:r>
      <w:r w:rsidR="0098116B">
        <w:rPr>
          <w:rFonts w:eastAsiaTheme="minorHAnsi"/>
          <w:szCs w:val="19"/>
          <w:lang w:val="es-AR" w:eastAsia="en-US"/>
        </w:rPr>
        <w:t xml:space="preserve">. La aplicación de un factor de atribución objetivo puede generar </w:t>
      </w:r>
      <w:r w:rsidR="0098116B" w:rsidRPr="001C2EC4">
        <w:rPr>
          <w:rFonts w:eastAsiaTheme="minorHAnsi"/>
          <w:szCs w:val="19"/>
          <w:lang w:val="es-AR" w:eastAsia="en-US"/>
        </w:rPr>
        <w:t>una peligrosa censura previa que afecte derechos personales de los proveedores, de la comunidad e, inclusive, del potencial reclamante.</w:t>
      </w:r>
    </w:p>
    <w:p w:rsidR="0098116B" w:rsidRPr="001C2EC4" w:rsidRDefault="0098116B" w:rsidP="0098116B">
      <w:pPr>
        <w:autoSpaceDE w:val="0"/>
        <w:autoSpaceDN w:val="0"/>
        <w:adjustRightInd w:val="0"/>
        <w:spacing w:line="360" w:lineRule="auto"/>
        <w:ind w:firstLine="567"/>
        <w:jc w:val="both"/>
        <w:rPr>
          <w:rFonts w:eastAsiaTheme="minorHAnsi"/>
          <w:szCs w:val="19"/>
          <w:lang w:val="es-AR" w:eastAsia="en-US"/>
        </w:rPr>
      </w:pPr>
      <w:r>
        <w:rPr>
          <w:rFonts w:eastAsiaTheme="minorHAnsi"/>
          <w:szCs w:val="19"/>
          <w:lang w:val="es-AR" w:eastAsia="en-US"/>
        </w:rPr>
        <w:t>Por otro lado resulta imposible para los PSI controlar antes todos los contenidos que indexan</w:t>
      </w:r>
      <w:r w:rsidRPr="001C2EC4">
        <w:rPr>
          <w:rFonts w:eastAsiaTheme="minorHAnsi"/>
          <w:szCs w:val="19"/>
          <w:lang w:val="es-AR" w:eastAsia="en-US"/>
        </w:rPr>
        <w:t>. A su vez, la consiguiente internalización de costos por futuras condenas podría trasladarse al usuario o bien limitar o hacer desaparecer una actividad de valor incon</w:t>
      </w:r>
      <w:r>
        <w:rPr>
          <w:rFonts w:eastAsiaTheme="minorHAnsi"/>
          <w:szCs w:val="19"/>
          <w:lang w:val="es-AR" w:eastAsia="en-US"/>
        </w:rPr>
        <w:t>mensurable</w:t>
      </w:r>
      <w:r>
        <w:rPr>
          <w:rStyle w:val="Refdenotaalpie"/>
          <w:rFonts w:eastAsiaTheme="minorHAnsi"/>
          <w:szCs w:val="19"/>
          <w:lang w:val="es-AR" w:eastAsia="en-US"/>
        </w:rPr>
        <w:footnoteReference w:id="73"/>
      </w:r>
      <w:r w:rsidRPr="001C2EC4">
        <w:rPr>
          <w:rFonts w:eastAsiaTheme="minorHAnsi"/>
          <w:szCs w:val="19"/>
          <w:lang w:val="es-AR" w:eastAsia="en-US"/>
        </w:rPr>
        <w:t>.</w:t>
      </w:r>
    </w:p>
    <w:p w:rsidR="0098116B" w:rsidRPr="001C2EC4" w:rsidRDefault="0098116B" w:rsidP="0098116B">
      <w:pPr>
        <w:autoSpaceDE w:val="0"/>
        <w:autoSpaceDN w:val="0"/>
        <w:adjustRightInd w:val="0"/>
        <w:spacing w:line="360" w:lineRule="auto"/>
        <w:ind w:firstLine="567"/>
        <w:jc w:val="both"/>
        <w:rPr>
          <w:rFonts w:eastAsiaTheme="minorHAnsi"/>
          <w:szCs w:val="19"/>
          <w:lang w:val="es-AR" w:eastAsia="en-US"/>
        </w:rPr>
      </w:pPr>
      <w:r>
        <w:rPr>
          <w:rFonts w:eastAsiaTheme="minorHAnsi"/>
          <w:szCs w:val="19"/>
          <w:lang w:val="es-AR" w:eastAsia="en-US"/>
        </w:rPr>
        <w:lastRenderedPageBreak/>
        <w:t xml:space="preserve">Compartimos la crítica de quienes advierten que el proyecto omitió </w:t>
      </w:r>
      <w:r w:rsidRPr="001C2EC4">
        <w:rPr>
          <w:rFonts w:eastAsiaTheme="minorHAnsi"/>
          <w:szCs w:val="19"/>
          <w:lang w:val="es-AR" w:eastAsia="en-US"/>
        </w:rPr>
        <w:t>la creación de un protocolo para la baja rápida y mediante s</w:t>
      </w:r>
      <w:r>
        <w:rPr>
          <w:rFonts w:eastAsiaTheme="minorHAnsi"/>
          <w:szCs w:val="19"/>
          <w:lang w:val="es-AR" w:eastAsia="en-US"/>
        </w:rPr>
        <w:t xml:space="preserve">imple notificación digital al </w:t>
      </w:r>
      <w:r w:rsidRPr="001C2EC4">
        <w:rPr>
          <w:rFonts w:eastAsiaTheme="minorHAnsi"/>
          <w:szCs w:val="19"/>
          <w:lang w:val="es-AR" w:eastAsia="en-US"/>
        </w:rPr>
        <w:t>P</w:t>
      </w:r>
      <w:r>
        <w:rPr>
          <w:rFonts w:eastAsiaTheme="minorHAnsi"/>
          <w:szCs w:val="19"/>
          <w:lang w:val="es-AR" w:eastAsia="en-US"/>
        </w:rPr>
        <w:t>SI</w:t>
      </w:r>
      <w:r w:rsidRPr="001C2EC4">
        <w:rPr>
          <w:rFonts w:eastAsiaTheme="minorHAnsi"/>
          <w:szCs w:val="19"/>
          <w:lang w:val="es-AR" w:eastAsia="en-US"/>
        </w:rPr>
        <w:t xml:space="preserve">, </w:t>
      </w:r>
      <w:r>
        <w:rPr>
          <w:rFonts w:eastAsiaTheme="minorHAnsi"/>
          <w:szCs w:val="19"/>
          <w:lang w:val="es-AR" w:eastAsia="en-US"/>
        </w:rPr>
        <w:t xml:space="preserve">para aquellos contenidos dañosos que la CSJN consideró que </w:t>
      </w:r>
      <w:r>
        <w:t>son manifiestas las ilicitudes</w:t>
      </w:r>
      <w:r>
        <w:rPr>
          <w:rStyle w:val="Refdenotaalpie"/>
        </w:rPr>
        <w:footnoteReference w:id="74"/>
      </w:r>
      <w:r>
        <w:t>; pornografía infantil, datos que faciliten la comisión de delitos, que instruyan acerca de éstos, que pongan en peligro la vida o la integridad física de alguna o muchas personas, que hagan apología del genocidio, del racismo o de otra discriminación con manifiesta perversidad o incitación a la violencia, que desbaraten o adviertan acerca de investigaciones judiciales en curso y que deban quedar secretas, como también los que importen lesiones contumeliosas al honor, montajes de imágenes notoriamente falsos o que, en forma clara e indiscutible, importen violaciones graves a la privacidad exhibiendo imágenes de actos que por su naturaleza deben ser incuestionablemente privados, aunque no sean necesariamente de contenido sexual</w:t>
      </w:r>
      <w:r>
        <w:rPr>
          <w:rStyle w:val="Refdenotaalpie"/>
        </w:rPr>
        <w:footnoteReference w:id="75"/>
      </w:r>
      <w:r>
        <w:t xml:space="preserve">. </w:t>
      </w:r>
      <w:r w:rsidRPr="001C2EC4">
        <w:rPr>
          <w:rFonts w:eastAsiaTheme="minorHAnsi"/>
          <w:szCs w:val="19"/>
          <w:lang w:val="es-AR" w:eastAsia="en-US"/>
        </w:rPr>
        <w:t xml:space="preserve"> </w:t>
      </w:r>
    </w:p>
    <w:p w:rsidR="0098116B" w:rsidRPr="001C2EC4" w:rsidRDefault="0098116B" w:rsidP="0098116B">
      <w:pPr>
        <w:autoSpaceDE w:val="0"/>
        <w:autoSpaceDN w:val="0"/>
        <w:adjustRightInd w:val="0"/>
        <w:spacing w:line="360" w:lineRule="auto"/>
        <w:ind w:firstLine="567"/>
        <w:jc w:val="both"/>
        <w:rPr>
          <w:rFonts w:eastAsiaTheme="minorHAnsi"/>
          <w:szCs w:val="19"/>
          <w:lang w:val="es-AR" w:eastAsia="en-US"/>
        </w:rPr>
      </w:pPr>
      <w:r>
        <w:rPr>
          <w:rFonts w:eastAsiaTheme="minorHAnsi"/>
          <w:szCs w:val="19"/>
          <w:lang w:val="es-AR" w:eastAsia="en-US"/>
        </w:rPr>
        <w:t>Más allá de la observación realizada, creo que el proyecto implica un avance importante en la materia y celebro que se esté tratando. Soy consciente que es una problemática de difícil regulación por los derechos que están en juego y en la que no hay unanimidad en la jurisprudencia y la doctrina</w:t>
      </w:r>
      <w:r>
        <w:rPr>
          <w:rStyle w:val="Refdenotaalpie"/>
          <w:rFonts w:eastAsiaTheme="minorHAnsi"/>
          <w:szCs w:val="19"/>
          <w:lang w:val="es-AR" w:eastAsia="en-US"/>
        </w:rPr>
        <w:footnoteReference w:id="76"/>
      </w:r>
      <w:r>
        <w:rPr>
          <w:rFonts w:eastAsiaTheme="minorHAnsi"/>
          <w:szCs w:val="19"/>
          <w:lang w:val="es-AR" w:eastAsia="en-US"/>
        </w:rPr>
        <w:t xml:space="preserve">.  </w:t>
      </w:r>
    </w:p>
    <w:p w:rsidR="0098116B" w:rsidRPr="00AD6CA5" w:rsidRDefault="0098116B" w:rsidP="0098116B">
      <w:pPr>
        <w:spacing w:line="360" w:lineRule="auto"/>
        <w:jc w:val="both"/>
        <w:rPr>
          <w:iCs/>
          <w:lang w:val="es-AR"/>
        </w:rPr>
      </w:pPr>
    </w:p>
    <w:p w:rsidR="0098116B" w:rsidRDefault="0098116B" w:rsidP="0098116B">
      <w:pPr>
        <w:spacing w:line="360" w:lineRule="auto"/>
        <w:jc w:val="both"/>
      </w:pPr>
      <w:r>
        <w:rPr>
          <w:b/>
          <w:lang w:val="es-AR"/>
        </w:rPr>
        <w:t>9</w:t>
      </w:r>
      <w:r w:rsidRPr="002C0AEF">
        <w:rPr>
          <w:b/>
          <w:lang w:val="es-AR"/>
        </w:rPr>
        <w:t xml:space="preserve">. </w:t>
      </w:r>
      <w:r>
        <w:rPr>
          <w:b/>
          <w:lang w:val="es-AR"/>
        </w:rPr>
        <w:t>Conclusiones</w:t>
      </w:r>
      <w:r w:rsidRPr="002C0AEF">
        <w:rPr>
          <w:b/>
        </w:rPr>
        <w:t>.</w:t>
      </w:r>
      <w:r w:rsidRPr="00621D60">
        <w:t xml:space="preserve"> </w:t>
      </w:r>
    </w:p>
    <w:p w:rsidR="0098116B" w:rsidRDefault="0098116B" w:rsidP="0098116B">
      <w:pPr>
        <w:spacing w:line="360" w:lineRule="auto"/>
        <w:ind w:firstLine="567"/>
        <w:jc w:val="both"/>
      </w:pPr>
      <w:r>
        <w:t xml:space="preserve">En el presente trabajo hemos tratado de reflexionar acerca de los desafíos y los distintos procedimientos para protección de datos personales, el honor y la intimidad en los medios digitales. </w:t>
      </w:r>
    </w:p>
    <w:p w:rsidR="0098116B" w:rsidRPr="005D550F" w:rsidRDefault="0045590C" w:rsidP="0098116B">
      <w:pPr>
        <w:spacing w:line="360" w:lineRule="auto"/>
        <w:ind w:firstLine="567"/>
        <w:jc w:val="both"/>
      </w:pPr>
      <w:r>
        <w:t>Como ha quedado de manifiesto l</w:t>
      </w:r>
      <w:r w:rsidR="0098116B" w:rsidRPr="000A703F">
        <w:t xml:space="preserve">a protección de los individuos frente al uso abusivo de la informática, que violenta </w:t>
      </w:r>
      <w:r w:rsidR="0098116B">
        <w:t xml:space="preserve">estos </w:t>
      </w:r>
      <w:r w:rsidR="0098116B" w:rsidRPr="000A703F">
        <w:t xml:space="preserve">derechos fundamentales </w:t>
      </w:r>
      <w:r>
        <w:t xml:space="preserve">demanda innovaciones </w:t>
      </w:r>
      <w:r w:rsidR="0098116B" w:rsidRPr="002C0AEF">
        <w:rPr>
          <w:iCs/>
          <w:lang w:val="es-ES_tradnl"/>
        </w:rPr>
        <w:lastRenderedPageBreak/>
        <w:t xml:space="preserve">legislativas, </w:t>
      </w:r>
      <w:r>
        <w:rPr>
          <w:iCs/>
          <w:lang w:val="es-ES_tradnl"/>
        </w:rPr>
        <w:t xml:space="preserve">que garanticen </w:t>
      </w:r>
      <w:r w:rsidR="0098116B" w:rsidRPr="002C0AEF">
        <w:rPr>
          <w:iCs/>
          <w:lang w:val="es-ES_tradnl"/>
        </w:rPr>
        <w:t xml:space="preserve">un </w:t>
      </w:r>
      <w:r>
        <w:rPr>
          <w:iCs/>
          <w:lang w:val="es-ES_tradnl"/>
        </w:rPr>
        <w:t xml:space="preserve">mayor </w:t>
      </w:r>
      <w:r w:rsidR="0098116B" w:rsidRPr="002C0AEF">
        <w:rPr>
          <w:iCs/>
          <w:lang w:val="es-ES_tradnl"/>
        </w:rPr>
        <w:t>resguardo legal respecto de los derechos de los titulares de la infor</w:t>
      </w:r>
      <w:r w:rsidR="0098116B" w:rsidRPr="00EB0373">
        <w:rPr>
          <w:iCs/>
          <w:lang w:val="es-ES_tradnl"/>
        </w:rPr>
        <w:t>m</w:t>
      </w:r>
      <w:r w:rsidR="0098116B" w:rsidRPr="002C0AEF">
        <w:rPr>
          <w:iCs/>
          <w:lang w:val="es-ES_tradnl"/>
        </w:rPr>
        <w:t>ación.</w:t>
      </w:r>
    </w:p>
    <w:p w:rsidR="0098116B" w:rsidRPr="006077FC" w:rsidRDefault="0098116B" w:rsidP="0098116B">
      <w:pPr>
        <w:spacing w:line="360" w:lineRule="auto"/>
        <w:ind w:firstLine="567"/>
        <w:jc w:val="both"/>
        <w:rPr>
          <w:iCs/>
          <w:lang w:val="es-ES_tradnl"/>
        </w:rPr>
      </w:pPr>
      <w:r>
        <w:rPr>
          <w:iCs/>
          <w:lang w:val="es-ES_tradnl"/>
        </w:rPr>
        <w:t xml:space="preserve">Actualmente podríamos decir que </w:t>
      </w:r>
      <w:r w:rsidRPr="002C0AEF">
        <w:rPr>
          <w:iCs/>
          <w:lang w:val="es-ES_tradnl"/>
        </w:rPr>
        <w:t>los</w:t>
      </w:r>
      <w:r>
        <w:rPr>
          <w:iCs/>
          <w:lang w:val="es-ES_tradnl"/>
        </w:rPr>
        <w:t xml:space="preserve"> principales</w:t>
      </w:r>
      <w:r w:rsidRPr="002C0AEF">
        <w:rPr>
          <w:iCs/>
          <w:lang w:val="es-ES_tradnl"/>
        </w:rPr>
        <w:t xml:space="preserve"> puntos en debate son: 1) la incorporación de la protección a los datos personales, no sólo como garantía sino como derecho fundamental, 2) la responsabilid</w:t>
      </w:r>
      <w:r>
        <w:rPr>
          <w:iCs/>
          <w:lang w:val="es-ES_tradnl"/>
        </w:rPr>
        <w:t>ad de los proveedores de internet</w:t>
      </w:r>
      <w:r w:rsidRPr="002C0AEF">
        <w:rPr>
          <w:iCs/>
          <w:lang w:val="es-ES_tradnl"/>
        </w:rPr>
        <w:t xml:space="preserve">, y 3) la consagración del derecho al olvido. </w:t>
      </w:r>
      <w:r w:rsidRPr="002C0AEF">
        <w:t xml:space="preserve">En este sentido, </w:t>
      </w:r>
      <w:r>
        <w:t>celebro el proyecto para regular la responsabilidad de los proveedores de internet</w:t>
      </w:r>
      <w:r w:rsidRPr="002C0AEF">
        <w:rPr>
          <w:lang w:val="es-AR"/>
        </w:rPr>
        <w:t xml:space="preserve">.   </w:t>
      </w:r>
    </w:p>
    <w:p w:rsidR="0098116B" w:rsidRDefault="0098116B" w:rsidP="0098116B">
      <w:pPr>
        <w:spacing w:line="360" w:lineRule="auto"/>
        <w:ind w:firstLine="567"/>
        <w:jc w:val="both"/>
        <w:rPr>
          <w:iCs/>
          <w:lang w:val="es-ES_tradnl"/>
        </w:rPr>
      </w:pPr>
      <w:r>
        <w:rPr>
          <w:iCs/>
          <w:lang w:val="es-ES_tradnl"/>
        </w:rPr>
        <w:t>Por otro lado no podemos omitir que todos los proyectos</w:t>
      </w:r>
      <w:bookmarkStart w:id="2" w:name="_GoBack"/>
      <w:bookmarkEnd w:id="2"/>
      <w:r>
        <w:rPr>
          <w:iCs/>
          <w:lang w:val="es-ES_tradnl"/>
        </w:rPr>
        <w:t xml:space="preserve"> y/o o modificaciones a la actual normativa, así como los jueces al fallar en casos sobre esta problemática deberán tener en consideración la tutela preferente que tradicionalmente ha tenido la libertad de expresión atento el </w:t>
      </w:r>
      <w:r>
        <w:rPr>
          <w:i/>
          <w:iCs/>
          <w:lang w:val="es-ES_tradnl"/>
        </w:rPr>
        <w:t xml:space="preserve">status </w:t>
      </w:r>
      <w:r>
        <w:rPr>
          <w:iCs/>
          <w:lang w:val="es-ES_tradnl"/>
        </w:rPr>
        <w:t>de libertad preferida que ostenta.</w:t>
      </w:r>
    </w:p>
    <w:p w:rsidR="0098116B" w:rsidRPr="00F600DE" w:rsidRDefault="0098116B" w:rsidP="0098116B">
      <w:pPr>
        <w:spacing w:line="360" w:lineRule="auto"/>
        <w:ind w:firstLine="567"/>
        <w:jc w:val="both"/>
        <w:rPr>
          <w:b/>
          <w:lang w:val="es-ES_tradnl"/>
        </w:rPr>
      </w:pPr>
      <w:r>
        <w:rPr>
          <w:iCs/>
          <w:lang w:val="es-ES_tradnl"/>
        </w:rPr>
        <w:t>Obviamente, este rango privilegiado de la libertad de expresión y del derecho a la información, no implica que siempre y en todos los casos que sean confrontados con otros derechos tengan absoluta prioridad, si no que impone la obligación a jueces y legisladores de actuar con especial prudencia al atribuir responsabilidades por su desenvolvimiento a fin de no sacrificar tan excelsa libertad</w:t>
      </w:r>
      <w:r>
        <w:rPr>
          <w:rStyle w:val="Refdenotaalpie"/>
          <w:iCs/>
          <w:lang w:val="es-ES_tradnl"/>
        </w:rPr>
        <w:footnoteReference w:id="77"/>
      </w:r>
      <w:r>
        <w:rPr>
          <w:iCs/>
          <w:lang w:val="es-ES_tradnl"/>
        </w:rPr>
        <w:t xml:space="preserve">.  </w:t>
      </w:r>
    </w:p>
    <w:p w:rsidR="0098116B" w:rsidRDefault="0045590C" w:rsidP="0098116B">
      <w:pPr>
        <w:spacing w:line="360" w:lineRule="auto"/>
        <w:ind w:firstLine="567"/>
        <w:jc w:val="both"/>
        <w:rPr>
          <w:iCs/>
          <w:lang w:val="es-ES_tradnl"/>
        </w:rPr>
      </w:pPr>
      <w:r>
        <w:rPr>
          <w:iCs/>
          <w:lang w:val="es-ES_tradnl"/>
        </w:rPr>
        <w:t xml:space="preserve">Los </w:t>
      </w:r>
      <w:r w:rsidR="0098116B">
        <w:rPr>
          <w:iCs/>
          <w:lang w:val="es-ES_tradnl"/>
        </w:rPr>
        <w:t>distintos supuestos planteados a en este escrito ponen de manifiesto que no sólo está en juego el derecho de quien desea expresarse y/o informarse, si no también el derecho de toda la sociedad a conocer las ideas de los demás y cotejarlas con las propias; así como el interés del sistema democrático en la circulación fluida de toda información.</w:t>
      </w:r>
    </w:p>
    <w:p w:rsidR="0098116B" w:rsidRDefault="007D4907" w:rsidP="0098116B">
      <w:pPr>
        <w:spacing w:line="360" w:lineRule="auto"/>
        <w:ind w:firstLine="567"/>
        <w:jc w:val="both"/>
        <w:rPr>
          <w:iCs/>
          <w:lang w:val="es-ES_tradnl"/>
        </w:rPr>
      </w:pPr>
      <w:r>
        <w:rPr>
          <w:iCs/>
          <w:lang w:val="es-ES_tradnl"/>
        </w:rPr>
        <w:t xml:space="preserve">Esto </w:t>
      </w:r>
      <w:r w:rsidR="0098116B" w:rsidRPr="002C0AEF">
        <w:rPr>
          <w:iCs/>
          <w:lang w:val="es-ES_tradnl"/>
        </w:rPr>
        <w:t>no im</w:t>
      </w:r>
      <w:r w:rsidR="00B04B34">
        <w:rPr>
          <w:iCs/>
          <w:lang w:val="es-ES_tradnl"/>
        </w:rPr>
        <w:t>plica limitar el desarrollo de i</w:t>
      </w:r>
      <w:r w:rsidR="0098116B" w:rsidRPr="002C0AEF">
        <w:rPr>
          <w:iCs/>
          <w:lang w:val="es-ES_tradnl"/>
        </w:rPr>
        <w:t>nternet y demás herramientas tecnológicas, o poner limitaciones a la transferencia de información</w:t>
      </w:r>
      <w:r w:rsidR="0098116B">
        <w:rPr>
          <w:iCs/>
          <w:lang w:val="es-ES_tradnl"/>
        </w:rPr>
        <w:t xml:space="preserve"> o a la libertad de expresión</w:t>
      </w:r>
      <w:r w:rsidR="0098116B" w:rsidRPr="002C0AEF">
        <w:rPr>
          <w:iCs/>
          <w:lang w:val="es-ES_tradnl"/>
        </w:rPr>
        <w:t>, sino buscar una regulación razonable que proteja a los usuarios de Internet y los titulares de datos personales, gara</w:t>
      </w:r>
      <w:r w:rsidR="0098116B">
        <w:rPr>
          <w:iCs/>
          <w:lang w:val="es-ES_tradnl"/>
        </w:rPr>
        <w:t>ntizando su privacidad y</w:t>
      </w:r>
      <w:r w:rsidR="0098116B" w:rsidRPr="002C0AEF">
        <w:rPr>
          <w:iCs/>
          <w:lang w:val="es-ES_tradnl"/>
        </w:rPr>
        <w:t xml:space="preserve"> titularidad</w:t>
      </w:r>
      <w:r w:rsidR="0098116B" w:rsidRPr="002C0AEF">
        <w:rPr>
          <w:rStyle w:val="Refdenotaalpie"/>
          <w:iCs/>
          <w:lang w:val="es-ES_tradnl"/>
        </w:rPr>
        <w:footnoteReference w:id="78"/>
      </w:r>
      <w:r w:rsidR="0098116B" w:rsidRPr="002C0AEF">
        <w:rPr>
          <w:iCs/>
          <w:lang w:val="es-ES_tradnl"/>
        </w:rPr>
        <w:t>.</w:t>
      </w:r>
    </w:p>
    <w:p w:rsidR="0098116B" w:rsidRPr="00821761" w:rsidRDefault="0098116B" w:rsidP="0098116B">
      <w:pPr>
        <w:spacing w:line="360" w:lineRule="auto"/>
        <w:jc w:val="both"/>
        <w:rPr>
          <w:lang w:val="es-ES_tradnl"/>
        </w:rPr>
      </w:pPr>
    </w:p>
    <w:p w:rsidR="009B4B47" w:rsidRPr="0098116B" w:rsidRDefault="008A2DF7">
      <w:pPr>
        <w:rPr>
          <w:lang w:val="es-ES_tradnl"/>
        </w:rPr>
      </w:pPr>
    </w:p>
    <w:sectPr w:rsidR="009B4B47" w:rsidRPr="0098116B" w:rsidSect="0040420C">
      <w:footerReference w:type="default" r:id="rId7"/>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2DF7" w:rsidRDefault="008A2DF7" w:rsidP="0098116B">
      <w:r>
        <w:separator/>
      </w:r>
    </w:p>
  </w:endnote>
  <w:endnote w:type="continuationSeparator" w:id="0">
    <w:p w:rsidR="008A2DF7" w:rsidRDefault="008A2DF7" w:rsidP="0098116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8062426"/>
      <w:docPartObj>
        <w:docPartGallery w:val="Page Numbers (Bottom of Page)"/>
        <w:docPartUnique/>
      </w:docPartObj>
    </w:sdtPr>
    <w:sdtContent>
      <w:p w:rsidR="00767268" w:rsidRDefault="00767268">
        <w:pPr>
          <w:pStyle w:val="Piedepgina"/>
          <w:jc w:val="right"/>
        </w:pPr>
        <w:fldSimple w:instr=" PAGE   \* MERGEFORMAT ">
          <w:r w:rsidR="00F17ACC">
            <w:rPr>
              <w:noProof/>
            </w:rPr>
            <w:t>17</w:t>
          </w:r>
        </w:fldSimple>
      </w:p>
    </w:sdtContent>
  </w:sdt>
  <w:p w:rsidR="00767268" w:rsidRDefault="0076726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2DF7" w:rsidRDefault="008A2DF7" w:rsidP="0098116B">
      <w:r>
        <w:separator/>
      </w:r>
    </w:p>
  </w:footnote>
  <w:footnote w:type="continuationSeparator" w:id="0">
    <w:p w:rsidR="008A2DF7" w:rsidRDefault="008A2DF7" w:rsidP="0098116B">
      <w:r>
        <w:continuationSeparator/>
      </w:r>
    </w:p>
  </w:footnote>
  <w:footnote w:id="1">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lang w:val="es-AR"/>
        </w:rPr>
        <w:t xml:space="preserve"> </w:t>
      </w:r>
      <w:r w:rsidRPr="00984F9C">
        <w:rPr>
          <w:color w:val="000000"/>
        </w:rPr>
        <w:t xml:space="preserve">BASTERRA, Marcela I., </w:t>
      </w:r>
      <w:r w:rsidRPr="00984F9C">
        <w:rPr>
          <w:bCs/>
          <w:color w:val="000000"/>
        </w:rPr>
        <w:t>“Datos personales para fines publicitarios. A propósito de la Disposición 4/2009 de la Dirección Nacional de Protección de Datos Personales”</w:t>
      </w:r>
      <w:r w:rsidRPr="00984F9C">
        <w:rPr>
          <w:color w:val="000000"/>
        </w:rPr>
        <w:t>. La Ley, 2009-B, p. 1037. Cita Online AR/DOC/1357/2009.</w:t>
      </w:r>
    </w:p>
  </w:footnote>
  <w:footnote w:id="2">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bCs/>
          <w:color w:val="000000"/>
        </w:rPr>
        <w:t>BASTERRA, Marcela I.</w:t>
      </w:r>
      <w:r w:rsidRPr="00984F9C">
        <w:rPr>
          <w:color w:val="000000"/>
        </w:rPr>
        <w:t>, “</w:t>
      </w:r>
      <w:r w:rsidRPr="00984F9C">
        <w:rPr>
          <w:color w:val="000000"/>
          <w:shd w:val="clear" w:color="auto" w:fill="FFFFFF"/>
        </w:rPr>
        <w:t>La responsabilidad de los motores de búsqueda de Internet en el centro del debate jurídico”, La Ley 2014-F, p. 145. Cita Online:</w:t>
      </w:r>
      <w:r w:rsidRPr="00984F9C">
        <w:rPr>
          <w:color w:val="505050"/>
          <w:shd w:val="clear" w:color="auto" w:fill="FFFFFF"/>
        </w:rPr>
        <w:t xml:space="preserve"> </w:t>
      </w:r>
      <w:r w:rsidRPr="00984F9C">
        <w:rPr>
          <w:color w:val="000000"/>
          <w:shd w:val="clear" w:color="auto" w:fill="FFFFFF"/>
        </w:rPr>
        <w:t>AR/DOC/4087/2014.  </w:t>
      </w:r>
    </w:p>
  </w:footnote>
  <w:footnote w:id="3">
    <w:p w:rsidR="0098116B" w:rsidRPr="00984F9C" w:rsidRDefault="0098116B" w:rsidP="0098116B">
      <w:pPr>
        <w:pStyle w:val="Textonotapie"/>
        <w:spacing w:line="360" w:lineRule="auto"/>
        <w:jc w:val="both"/>
        <w:rPr>
          <w:color w:val="0000FF"/>
          <w:lang w:val="es-AR"/>
        </w:rPr>
      </w:pPr>
      <w:r w:rsidRPr="00984F9C">
        <w:rPr>
          <w:rStyle w:val="Refdenotaalpie"/>
          <w:color w:val="000000"/>
        </w:rPr>
        <w:footnoteRef/>
      </w:r>
      <w:r w:rsidRPr="00984F9C">
        <w:rPr>
          <w:color w:val="000000"/>
        </w:rPr>
        <w:t xml:space="preserve"> </w:t>
      </w:r>
      <w:r w:rsidRPr="00984F9C">
        <w:rPr>
          <w:lang w:val="es-AR"/>
        </w:rPr>
        <w:t xml:space="preserve">SANTOS, Estefanía, "Las redes sociales: Desafíos para la protección de datos personales", en AA.VV., </w:t>
      </w:r>
      <w:r w:rsidRPr="00984F9C">
        <w:rPr>
          <w:i/>
          <w:lang w:val="es-AR"/>
        </w:rPr>
        <w:t>Régimen jurídico de los datos personales</w:t>
      </w:r>
      <w:r w:rsidRPr="00984F9C">
        <w:rPr>
          <w:lang w:val="es-AR"/>
        </w:rPr>
        <w:t xml:space="preserve">, Director; TRAVIESO, Juan Antonio, </w:t>
      </w:r>
      <w:proofErr w:type="spellStart"/>
      <w:r w:rsidRPr="00984F9C">
        <w:rPr>
          <w:color w:val="000000"/>
          <w:lang w:val="es-AR"/>
        </w:rPr>
        <w:t>Abeledo</w:t>
      </w:r>
      <w:proofErr w:type="spellEnd"/>
      <w:r w:rsidRPr="00984F9C">
        <w:rPr>
          <w:color w:val="000000"/>
          <w:lang w:val="es-AR"/>
        </w:rPr>
        <w:t xml:space="preserve"> </w:t>
      </w:r>
      <w:proofErr w:type="spellStart"/>
      <w:r w:rsidRPr="00984F9C">
        <w:rPr>
          <w:color w:val="000000"/>
          <w:lang w:val="es-AR"/>
        </w:rPr>
        <w:t>Perrot</w:t>
      </w:r>
      <w:proofErr w:type="spellEnd"/>
      <w:r w:rsidRPr="00984F9C">
        <w:rPr>
          <w:color w:val="000000"/>
          <w:lang w:val="es-AR"/>
        </w:rPr>
        <w:t>, Ciudad Autónoma de Buenos Aires, 2014, t.1</w:t>
      </w:r>
      <w:r w:rsidRPr="00984F9C">
        <w:rPr>
          <w:lang w:val="es-AR"/>
        </w:rPr>
        <w:t>, p. 569.</w:t>
      </w:r>
      <w:r w:rsidRPr="00984F9C">
        <w:rPr>
          <w:color w:val="000000"/>
          <w:lang w:val="es-AR"/>
        </w:rPr>
        <w:t xml:space="preserve"> </w:t>
      </w:r>
    </w:p>
  </w:footnote>
  <w:footnote w:id="4">
    <w:p w:rsidR="0098116B" w:rsidRPr="00984F9C" w:rsidRDefault="0098116B" w:rsidP="0098116B">
      <w:pPr>
        <w:pStyle w:val="Textonotapie"/>
        <w:spacing w:line="360" w:lineRule="auto"/>
        <w:jc w:val="both"/>
        <w:rPr>
          <w:color w:val="000000"/>
          <w:lang w:val="es-ES_tradnl"/>
        </w:rPr>
      </w:pPr>
      <w:r w:rsidRPr="00984F9C">
        <w:rPr>
          <w:rStyle w:val="Refdenotaalpie"/>
          <w:color w:val="000000"/>
        </w:rPr>
        <w:footnoteRef/>
      </w:r>
      <w:r w:rsidRPr="00984F9C">
        <w:rPr>
          <w:color w:val="000000"/>
          <w:lang w:val="es-ES_tradnl"/>
        </w:rPr>
        <w:t xml:space="preserve"> </w:t>
      </w:r>
      <w:r w:rsidRPr="00984F9C">
        <w:rPr>
          <w:color w:val="000000"/>
          <w:lang w:val="es-AR"/>
        </w:rPr>
        <w:t xml:space="preserve">BASTERRA, Marcela I., </w:t>
      </w:r>
      <w:r w:rsidRPr="00984F9C">
        <w:rPr>
          <w:i/>
          <w:color w:val="000000"/>
          <w:lang w:val="es-AR"/>
        </w:rPr>
        <w:t>Protección de Datos Personales. Ley 25.326 y Dto. 1558/01 Comentados. Derecho Constitucional Provincial, Iberoamérica y México,</w:t>
      </w:r>
      <w:r w:rsidRPr="00984F9C">
        <w:rPr>
          <w:rFonts w:eastAsia="Times New Roman"/>
          <w:i/>
          <w:lang w:val="es-ES_tradnl" w:eastAsia="es-ES"/>
        </w:rPr>
        <w:t xml:space="preserve"> </w:t>
      </w:r>
      <w:proofErr w:type="spellStart"/>
      <w:r w:rsidRPr="00984F9C">
        <w:rPr>
          <w:color w:val="000000"/>
          <w:lang w:val="es-ES_tradnl"/>
        </w:rPr>
        <w:t>Ediar</w:t>
      </w:r>
      <w:proofErr w:type="spellEnd"/>
      <w:r w:rsidRPr="00984F9C">
        <w:rPr>
          <w:color w:val="000000"/>
          <w:lang w:val="es-ES_tradnl"/>
        </w:rPr>
        <w:t xml:space="preserve">, Buenos Aires y Editorial UNAM, México, 2008 </w:t>
      </w:r>
      <w:r w:rsidRPr="00984F9C">
        <w:rPr>
          <w:color w:val="000000"/>
          <w:lang w:val="es-AR"/>
        </w:rPr>
        <w:t>p. 11.</w:t>
      </w:r>
    </w:p>
  </w:footnote>
  <w:footnote w:id="5">
    <w:p w:rsidR="0098116B" w:rsidRPr="00984F9C" w:rsidRDefault="0098116B" w:rsidP="0098116B">
      <w:pPr>
        <w:widowControl w:val="0"/>
        <w:suppressAutoHyphens/>
        <w:autoSpaceDE w:val="0"/>
        <w:autoSpaceDN w:val="0"/>
        <w:adjustRightInd w:val="0"/>
        <w:spacing w:line="360" w:lineRule="auto"/>
        <w:jc w:val="both"/>
        <w:rPr>
          <w:color w:val="000000"/>
          <w:sz w:val="20"/>
          <w:szCs w:val="20"/>
        </w:rPr>
      </w:pPr>
      <w:r w:rsidRPr="00984F9C">
        <w:rPr>
          <w:rStyle w:val="Refdenotaalpie"/>
          <w:color w:val="000000"/>
          <w:sz w:val="20"/>
          <w:szCs w:val="20"/>
        </w:rPr>
        <w:footnoteRef/>
      </w:r>
      <w:r w:rsidRPr="00984F9C">
        <w:rPr>
          <w:color w:val="000000"/>
          <w:sz w:val="20"/>
          <w:szCs w:val="20"/>
        </w:rPr>
        <w:t xml:space="preserve"> BASTERRA, Marcela I.,</w:t>
      </w:r>
      <w:r w:rsidRPr="00984F9C">
        <w:rPr>
          <w:b/>
          <w:bCs/>
          <w:color w:val="000000"/>
          <w:sz w:val="20"/>
          <w:szCs w:val="20"/>
        </w:rPr>
        <w:t xml:space="preserve"> “</w:t>
      </w:r>
      <w:r w:rsidRPr="00984F9C">
        <w:rPr>
          <w:color w:val="000000"/>
          <w:sz w:val="20"/>
          <w:szCs w:val="20"/>
        </w:rPr>
        <w:t>Obligaciones de los responsables de los bancos de datos. El estándar de calidad de la información”, La Ley 2014-F, p. 91, Cita Online AR/DOC/3448/2014.</w:t>
      </w:r>
    </w:p>
  </w:footnote>
  <w:footnote w:id="6">
    <w:p w:rsidR="0098116B" w:rsidRPr="00984F9C" w:rsidRDefault="0098116B" w:rsidP="0098116B">
      <w:pPr>
        <w:pStyle w:val="Textonotapie"/>
        <w:spacing w:line="360" w:lineRule="auto"/>
        <w:jc w:val="both"/>
      </w:pPr>
      <w:r w:rsidRPr="00984F9C">
        <w:rPr>
          <w:rStyle w:val="Refdenotaalpie"/>
        </w:rPr>
        <w:footnoteRef/>
      </w:r>
      <w:r w:rsidRPr="00984F9C">
        <w:t xml:space="preserve"> </w:t>
      </w:r>
      <w:r w:rsidRPr="00984F9C">
        <w:rPr>
          <w:lang w:val="es-AR"/>
        </w:rPr>
        <w:t xml:space="preserve">BASTERRA, Marcela I., “Aspectos constitucionales de la protección de datos personales”, </w:t>
      </w:r>
      <w:r w:rsidRPr="00984F9C">
        <w:rPr>
          <w:color w:val="000000"/>
          <w:lang w:val="es-AR"/>
        </w:rPr>
        <w:t xml:space="preserve">AA.VV., </w:t>
      </w:r>
      <w:r w:rsidRPr="00984F9C">
        <w:rPr>
          <w:i/>
          <w:color w:val="000000"/>
          <w:lang w:val="es-AR"/>
        </w:rPr>
        <w:t>Régimen jurídico de los datos personales</w:t>
      </w:r>
      <w:r w:rsidRPr="00984F9C">
        <w:rPr>
          <w:color w:val="000000"/>
          <w:lang w:val="es-AR"/>
        </w:rPr>
        <w:t>,</w:t>
      </w:r>
      <w:r w:rsidRPr="00984F9C">
        <w:t xml:space="preserve"> </w:t>
      </w:r>
      <w:proofErr w:type="spellStart"/>
      <w:r w:rsidRPr="00984F9C">
        <w:rPr>
          <w:color w:val="000000"/>
          <w:lang w:val="es-AR"/>
        </w:rPr>
        <w:t>Op.Cit</w:t>
      </w:r>
      <w:proofErr w:type="spellEnd"/>
      <w:r w:rsidRPr="00984F9C">
        <w:rPr>
          <w:color w:val="000000"/>
          <w:lang w:val="es-AR"/>
        </w:rPr>
        <w:t>., t.1, p. 82.</w:t>
      </w:r>
      <w:r w:rsidRPr="00984F9C">
        <w:rPr>
          <w:lang w:val="es-AR"/>
        </w:rPr>
        <w:t xml:space="preserve"> </w:t>
      </w:r>
    </w:p>
  </w:footnote>
  <w:footnote w:id="7">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ES_tradnl"/>
        </w:rPr>
        <w:t xml:space="preserve">BIDART CAMPOS, Germán, “¿Habeas data, o qué? ¿Derecho a la verdad, o qué?”, La Ley 1999-A, p. 212. Cita Online: </w:t>
      </w:r>
      <w:r w:rsidRPr="00984F9C">
        <w:rPr>
          <w:color w:val="000000"/>
        </w:rPr>
        <w:t>AR/DOC/14974/2001.</w:t>
      </w:r>
    </w:p>
  </w:footnote>
  <w:footnote w:id="8">
    <w:p w:rsidR="0098116B" w:rsidRPr="00984F9C" w:rsidRDefault="0098116B" w:rsidP="0098116B">
      <w:pPr>
        <w:pStyle w:val="Textonotapie"/>
        <w:spacing w:line="360" w:lineRule="auto"/>
        <w:jc w:val="both"/>
        <w:rPr>
          <w:color w:val="000000"/>
        </w:rPr>
      </w:pPr>
      <w:r w:rsidRPr="00984F9C">
        <w:rPr>
          <w:rStyle w:val="Refdenotaalpie"/>
          <w:color w:val="000000"/>
        </w:rPr>
        <w:footnoteRef/>
      </w:r>
      <w:r w:rsidRPr="00984F9C">
        <w:rPr>
          <w:color w:val="000000"/>
        </w:rPr>
        <w:t xml:space="preserve"> GONZÁLEZ ALLONCA, Juan Cruz, “Los buscadores de internet y la ley de protección de datos personales”, La Ley 2014 – D, p. 715, Cita Online: AR/DOC/2108/2014.</w:t>
      </w:r>
    </w:p>
  </w:footnote>
  <w:footnote w:id="9">
    <w:p w:rsidR="0098116B" w:rsidRPr="00984F9C" w:rsidRDefault="0098116B" w:rsidP="0098116B">
      <w:pPr>
        <w:pStyle w:val="Textonotapie"/>
        <w:spacing w:line="360" w:lineRule="auto"/>
        <w:jc w:val="both"/>
        <w:rPr>
          <w:color w:val="000000"/>
          <w:lang w:val="es-ES_tradnl"/>
        </w:rPr>
      </w:pPr>
      <w:r w:rsidRPr="00984F9C">
        <w:rPr>
          <w:rStyle w:val="Refdenotaalpie"/>
        </w:rPr>
        <w:footnoteRef/>
      </w:r>
      <w:r w:rsidRPr="00984F9C">
        <w:t xml:space="preserve"> </w:t>
      </w:r>
      <w:r w:rsidRPr="00984F9C">
        <w:rPr>
          <w:color w:val="000000"/>
          <w:lang w:val="es-AR"/>
        </w:rPr>
        <w:t xml:space="preserve">BASTERRA, Marcela I., </w:t>
      </w:r>
      <w:r w:rsidRPr="00984F9C">
        <w:rPr>
          <w:i/>
          <w:color w:val="000000"/>
          <w:lang w:val="es-AR"/>
        </w:rPr>
        <w:t>Protección de Datos Personales. Ley 25.326 y Dto. 1558/01 Comentados. Derecho Constitucional Provincial, Iberoamérica y México</w:t>
      </w:r>
      <w:r w:rsidRPr="00984F9C">
        <w:rPr>
          <w:color w:val="000000"/>
          <w:lang w:val="es-AR"/>
        </w:rPr>
        <w:t>,</w:t>
      </w:r>
      <w:r w:rsidRPr="00984F9C">
        <w:rPr>
          <w:rFonts w:eastAsia="Times New Roman"/>
          <w:lang w:val="es-ES_tradnl" w:eastAsia="es-ES"/>
        </w:rPr>
        <w:t xml:space="preserve"> </w:t>
      </w:r>
      <w:proofErr w:type="spellStart"/>
      <w:r w:rsidRPr="00984F9C">
        <w:rPr>
          <w:color w:val="000000"/>
          <w:lang w:val="es-ES_tradnl"/>
        </w:rPr>
        <w:t>Op</w:t>
      </w:r>
      <w:proofErr w:type="spellEnd"/>
      <w:r w:rsidRPr="00984F9C">
        <w:rPr>
          <w:color w:val="000000"/>
          <w:lang w:val="es-ES_tradnl"/>
        </w:rPr>
        <w:t xml:space="preserve">. Cit. </w:t>
      </w:r>
      <w:r w:rsidRPr="00984F9C">
        <w:rPr>
          <w:color w:val="000000"/>
          <w:lang w:val="es-AR"/>
        </w:rPr>
        <w:t>p. 11.</w:t>
      </w:r>
    </w:p>
  </w:footnote>
  <w:footnote w:id="10">
    <w:p w:rsidR="0098116B" w:rsidRPr="00984F9C" w:rsidRDefault="0098116B" w:rsidP="0098116B">
      <w:pPr>
        <w:pStyle w:val="Textonotapie"/>
        <w:spacing w:line="360" w:lineRule="auto"/>
        <w:jc w:val="both"/>
        <w:rPr>
          <w:lang w:val="es-AR"/>
        </w:rPr>
      </w:pPr>
      <w:r w:rsidRPr="00984F9C">
        <w:rPr>
          <w:rStyle w:val="Refdenotaalpie"/>
        </w:rPr>
        <w:footnoteRef/>
      </w:r>
      <w:r w:rsidRPr="00984F9C">
        <w:rPr>
          <w:lang w:val="es-AR"/>
        </w:rPr>
        <w:t xml:space="preserve"> Ver FERNÁNDEZ  DELPECH, Horacio, “Responsabilidades civiles de los proveedores de servicios de internet (ISP)”, La ley, 25/11/2014, p.1, Cita Online: AR/DOC/4202/2014.</w:t>
      </w:r>
    </w:p>
  </w:footnote>
  <w:footnote w:id="11">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t xml:space="preserve">LÓPEZ CARBALL/O, Daniel A., “Presentación del estudio” en AAVV, </w:t>
      </w:r>
      <w:r w:rsidRPr="00984F9C">
        <w:rPr>
          <w:i/>
        </w:rPr>
        <w:t>Protección de datos y habeas data: una visión desde Iberoamérica</w:t>
      </w:r>
      <w:r w:rsidRPr="00984F9C">
        <w:t>, Agencia Española de Protección de Datos, Madrid, España, 2015, p.10.</w:t>
      </w:r>
    </w:p>
  </w:footnote>
  <w:footnote w:id="12">
    <w:p w:rsidR="0098116B" w:rsidRPr="00984F9C" w:rsidRDefault="0098116B" w:rsidP="0098116B">
      <w:pPr>
        <w:pStyle w:val="Textonotapie"/>
        <w:spacing w:line="360" w:lineRule="auto"/>
        <w:jc w:val="both"/>
      </w:pPr>
      <w:r w:rsidRPr="00984F9C">
        <w:rPr>
          <w:rStyle w:val="Refdenotaalpie"/>
        </w:rPr>
        <w:footnoteRef/>
      </w:r>
      <w:r w:rsidRPr="00984F9C">
        <w:t xml:space="preserve"> FRENE, Lisandro, “El ‘</w:t>
      </w:r>
      <w:proofErr w:type="spellStart"/>
      <w:r w:rsidRPr="00984F9C">
        <w:t>Spam</w:t>
      </w:r>
      <w:proofErr w:type="spellEnd"/>
      <w:r w:rsidRPr="00984F9C">
        <w:t>’ a la luz de la Ley de Protección de</w:t>
      </w:r>
      <w:r w:rsidRPr="00984F9C">
        <w:rPr>
          <w:color w:val="000000"/>
        </w:rPr>
        <w:t xml:space="preserve"> Datos Personales”, El Dial, </w:t>
      </w:r>
      <w:hyperlink r:id="rId1" w:history="1">
        <w:r w:rsidRPr="00984F9C">
          <w:rPr>
            <w:rStyle w:val="Hipervnculo"/>
            <w:color w:val="000000"/>
          </w:rPr>
          <w:t>www.eldial.com</w:t>
        </w:r>
      </w:hyperlink>
      <w:r w:rsidRPr="00984F9C">
        <w:rPr>
          <w:color w:val="000000"/>
        </w:rPr>
        <w:t xml:space="preserve"> DC890.</w:t>
      </w:r>
    </w:p>
  </w:footnote>
  <w:footnote w:id="13">
    <w:p w:rsidR="0098116B" w:rsidRPr="00984F9C" w:rsidRDefault="0098116B" w:rsidP="0098116B">
      <w:pPr>
        <w:pStyle w:val="Textonotapie"/>
        <w:spacing w:line="360" w:lineRule="auto"/>
        <w:jc w:val="both"/>
      </w:pPr>
      <w:r w:rsidRPr="00984F9C">
        <w:rPr>
          <w:rStyle w:val="Refdenotaalpie"/>
        </w:rPr>
        <w:footnoteRef/>
      </w:r>
      <w:r w:rsidRPr="00984F9C">
        <w:t xml:space="preserve"> Asamblea General. Resolución aprobada por la Asamblea General el 18 de diciembre de 2013. El derecho a la privacidad en la era digital. A/RES/68/167. </w:t>
      </w:r>
    </w:p>
  </w:footnote>
  <w:footnote w:id="14">
    <w:p w:rsidR="0098116B" w:rsidRPr="00984F9C" w:rsidRDefault="0098116B" w:rsidP="0098116B">
      <w:pPr>
        <w:pStyle w:val="Textonotapie"/>
        <w:spacing w:line="360" w:lineRule="auto"/>
        <w:jc w:val="both"/>
      </w:pPr>
      <w:r w:rsidRPr="00984F9C">
        <w:rPr>
          <w:rStyle w:val="Refdenotaalpie"/>
        </w:rPr>
        <w:footnoteRef/>
      </w:r>
      <w:r w:rsidRPr="00984F9C">
        <w:rPr>
          <w:lang w:val="es-AR"/>
        </w:rPr>
        <w:t xml:space="preserve"> Comisión Interamericana de Derechos Humanos, Relatoría Especial para la Libertad de Expresión, “Libertad de Expresión e Internet”,  2013, p. 65.</w:t>
      </w:r>
    </w:p>
  </w:footnote>
  <w:footnote w:id="15">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Tribunal de Justicia de la Unión Europea, Gran Sala, </w:t>
      </w:r>
      <w:r w:rsidRPr="00984F9C">
        <w:rPr>
          <w:i/>
          <w:color w:val="000000"/>
          <w:lang w:val="es-AR"/>
        </w:rPr>
        <w:t xml:space="preserve">“Google </w:t>
      </w:r>
      <w:proofErr w:type="spellStart"/>
      <w:r w:rsidRPr="00984F9C">
        <w:rPr>
          <w:i/>
          <w:color w:val="000000"/>
          <w:lang w:val="es-AR"/>
        </w:rPr>
        <w:t>Spain</w:t>
      </w:r>
      <w:proofErr w:type="spellEnd"/>
      <w:r w:rsidRPr="00984F9C">
        <w:rPr>
          <w:i/>
          <w:color w:val="000000"/>
          <w:lang w:val="es-AR"/>
        </w:rPr>
        <w:t xml:space="preserve">, S.L., y Google Inc. vs. Agencia Española de Protección de Datos (AEPD) y Mario </w:t>
      </w:r>
      <w:proofErr w:type="spellStart"/>
      <w:r w:rsidRPr="00984F9C">
        <w:rPr>
          <w:i/>
          <w:color w:val="000000"/>
          <w:lang w:val="es-AR"/>
        </w:rPr>
        <w:t>Costeja</w:t>
      </w:r>
      <w:proofErr w:type="spellEnd"/>
      <w:r w:rsidRPr="00984F9C">
        <w:rPr>
          <w:i/>
          <w:color w:val="000000"/>
          <w:lang w:val="es-AR"/>
        </w:rPr>
        <w:t xml:space="preserve"> González”</w:t>
      </w:r>
      <w:r w:rsidRPr="00984F9C">
        <w:rPr>
          <w:color w:val="000000"/>
          <w:lang w:val="es-AR"/>
        </w:rPr>
        <w:t>, del 13/05/2014.</w:t>
      </w:r>
    </w:p>
  </w:footnote>
  <w:footnote w:id="16">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Directiva 95/46/CE de 1995 del Parlamento Europeo y del Consejo </w:t>
      </w:r>
      <w:r w:rsidRPr="00984F9C">
        <w:rPr>
          <w:color w:val="000000"/>
        </w:rPr>
        <w:t>Parlamento. Relativa a la protección de las personas físicas en lo que respecta al tratamiento de datos personales y a la libre circulación de estos datos. 24/10/1995.</w:t>
      </w:r>
    </w:p>
  </w:footnote>
  <w:footnote w:id="17">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C-101/01, EU</w:t>
      </w:r>
      <w:proofErr w:type="gramStart"/>
      <w:r w:rsidRPr="00984F9C">
        <w:rPr>
          <w:color w:val="000000"/>
        </w:rPr>
        <w:t>:C</w:t>
      </w:r>
      <w:proofErr w:type="gramEnd"/>
      <w:r w:rsidRPr="00984F9C">
        <w:rPr>
          <w:color w:val="000000"/>
        </w:rPr>
        <w:t>: 2003:596, apartado 25. Citado en el cuerpo de la Sentencia.</w:t>
      </w:r>
    </w:p>
  </w:footnote>
  <w:footnote w:id="18">
    <w:p w:rsidR="0098116B" w:rsidRPr="00984F9C" w:rsidRDefault="0098116B" w:rsidP="0098116B">
      <w:pPr>
        <w:pStyle w:val="Textonotapie"/>
        <w:spacing w:line="360" w:lineRule="auto"/>
        <w:jc w:val="both"/>
      </w:pPr>
      <w:r w:rsidRPr="00984F9C">
        <w:rPr>
          <w:rStyle w:val="Refdenotaalpie"/>
        </w:rPr>
        <w:footnoteRef/>
      </w:r>
      <w:r w:rsidRPr="00984F9C">
        <w:t xml:space="preserve"> PALAZZI, Pablo A., “El derecho al olvido en internet”, http://www.rlpdp.com/2012/06/palazzi-el-derecho-al-olvido-en-internet/.</w:t>
      </w:r>
    </w:p>
  </w:footnote>
  <w:footnote w:id="19">
    <w:p w:rsidR="0098116B" w:rsidRPr="00984F9C" w:rsidRDefault="0098116B" w:rsidP="0098116B">
      <w:pPr>
        <w:pStyle w:val="Textonotapie"/>
        <w:spacing w:line="360" w:lineRule="auto"/>
        <w:jc w:val="both"/>
        <w:rPr>
          <w:b/>
          <w:color w:val="FF0000"/>
        </w:rPr>
      </w:pPr>
      <w:r w:rsidRPr="00984F9C">
        <w:rPr>
          <w:rStyle w:val="Refdenotaalpie"/>
        </w:rPr>
        <w:footnoteRef/>
      </w:r>
      <w:r w:rsidRPr="00984F9C">
        <w:t xml:space="preserve"> MOLINA QUIROGA, Eduardo, “Internet, responsabilidad y protección de datos personales”, en AA.VV, </w:t>
      </w:r>
      <w:r w:rsidRPr="00984F9C">
        <w:rPr>
          <w:i/>
        </w:rPr>
        <w:t>Régimen jurídico de los datos personales</w:t>
      </w:r>
      <w:r w:rsidRPr="00984F9C">
        <w:t xml:space="preserve">, </w:t>
      </w:r>
      <w:r w:rsidRPr="00984F9C">
        <w:rPr>
          <w:lang w:val="es-AR"/>
        </w:rPr>
        <w:t xml:space="preserve">Director; TRAVIESO, Juan Antonio,  </w:t>
      </w:r>
      <w:proofErr w:type="spellStart"/>
      <w:r w:rsidRPr="00984F9C">
        <w:t>Op.Cit</w:t>
      </w:r>
      <w:proofErr w:type="spellEnd"/>
      <w:r w:rsidRPr="00984F9C">
        <w:t>., t.1, p. 375.</w:t>
      </w:r>
    </w:p>
  </w:footnote>
  <w:footnote w:id="20">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Esteban Ruíz Martínez, expuso su opinión en carácter de orador por la Dirección Nacional de Protección de Datos Personales, en la audiencia pública convocada por la Corte Suprema de la Justicia de la Nación Argentina sobre el caso </w:t>
      </w:r>
      <w:r w:rsidRPr="00984F9C">
        <w:rPr>
          <w:i/>
          <w:color w:val="000000"/>
        </w:rPr>
        <w:t xml:space="preserve">“Rodríguez, María Belén c/ Google </w:t>
      </w:r>
      <w:proofErr w:type="spellStart"/>
      <w:r w:rsidRPr="00984F9C">
        <w:rPr>
          <w:i/>
          <w:color w:val="000000"/>
        </w:rPr>
        <w:t>Inc</w:t>
      </w:r>
      <w:proofErr w:type="spellEnd"/>
      <w:r w:rsidRPr="00984F9C">
        <w:rPr>
          <w:i/>
          <w:color w:val="000000"/>
        </w:rPr>
        <w:t xml:space="preserve"> s/ daños y perjuicios”,</w:t>
      </w:r>
      <w:r w:rsidRPr="00984F9C">
        <w:rPr>
          <w:color w:val="000000"/>
        </w:rPr>
        <w:t xml:space="preserve"> del 21/05/2014. </w:t>
      </w:r>
    </w:p>
  </w:footnote>
  <w:footnote w:id="21">
    <w:p w:rsidR="0098116B" w:rsidRPr="00984F9C" w:rsidRDefault="0098116B" w:rsidP="0098116B">
      <w:pPr>
        <w:pStyle w:val="Textonotapie"/>
        <w:spacing w:line="360" w:lineRule="auto"/>
        <w:jc w:val="both"/>
      </w:pPr>
      <w:r w:rsidRPr="00984F9C">
        <w:rPr>
          <w:rStyle w:val="Refdenotaalpie"/>
        </w:rPr>
        <w:footnoteRef/>
      </w:r>
      <w:r w:rsidRPr="00984F9C">
        <w:t xml:space="preserve"> </w:t>
      </w:r>
      <w:r w:rsidRPr="00984F9C">
        <w:rPr>
          <w:color w:val="000000"/>
          <w:lang w:val="es-AR"/>
        </w:rPr>
        <w:t xml:space="preserve">ROLDÁN, Luis María, “De la intimidad  y el honor al olvido”, El Dial, </w:t>
      </w:r>
      <w:hyperlink r:id="rId2" w:history="1">
        <w:r w:rsidRPr="00984F9C">
          <w:rPr>
            <w:rStyle w:val="Hipervnculo"/>
            <w:color w:val="000000"/>
            <w:lang w:val="es-AR"/>
          </w:rPr>
          <w:t>www.eldial.com</w:t>
        </w:r>
      </w:hyperlink>
      <w:r w:rsidRPr="00984F9C">
        <w:rPr>
          <w:color w:val="000000"/>
          <w:lang w:val="es-AR"/>
        </w:rPr>
        <w:t xml:space="preserve">, </w:t>
      </w:r>
      <w:proofErr w:type="spellStart"/>
      <w:r w:rsidRPr="00984F9C">
        <w:rPr>
          <w:color w:val="000000"/>
          <w:lang w:val="es-AR"/>
        </w:rPr>
        <w:t>elDial</w:t>
      </w:r>
      <w:proofErr w:type="spellEnd"/>
      <w:r w:rsidRPr="00984F9C">
        <w:rPr>
          <w:color w:val="000000"/>
          <w:lang w:val="es-AR"/>
        </w:rPr>
        <w:t>, DC20AF.</w:t>
      </w:r>
    </w:p>
  </w:footnote>
  <w:footnote w:id="22">
    <w:p w:rsidR="0098116B" w:rsidRPr="00984F9C" w:rsidRDefault="0098116B" w:rsidP="0098116B">
      <w:pPr>
        <w:pStyle w:val="Textonotapie"/>
        <w:spacing w:line="360" w:lineRule="auto"/>
        <w:jc w:val="both"/>
        <w:rPr>
          <w:rStyle w:val="Refdenotaalpie"/>
          <w:b/>
          <w:bCs/>
          <w:color w:val="FF0000"/>
        </w:rPr>
      </w:pPr>
      <w:r w:rsidRPr="00984F9C">
        <w:rPr>
          <w:rStyle w:val="Refdenotaalpie"/>
          <w:color w:val="000000"/>
        </w:rPr>
        <w:footnoteRef/>
      </w:r>
      <w:r w:rsidRPr="00984F9C">
        <w:rPr>
          <w:color w:val="000000"/>
        </w:rPr>
        <w:t xml:space="preserve"> A título ejemplificativo pueden mencionarse las siguientes: </w:t>
      </w:r>
      <w:r w:rsidRPr="00984F9C">
        <w:rPr>
          <w:bCs/>
          <w:color w:val="000000"/>
        </w:rPr>
        <w:t xml:space="preserve">Cámara Nacional de Apelaciones en lo Civil y Comercial Federal, Sala II, </w:t>
      </w:r>
      <w:r w:rsidRPr="00984F9C">
        <w:rPr>
          <w:bCs/>
          <w:i/>
          <w:color w:val="000000"/>
        </w:rPr>
        <w:t>“F. W., .C .G .y otro c/ Google Argentina S.R.L s/ medidas cautelares”</w:t>
      </w:r>
      <w:r w:rsidRPr="00984F9C">
        <w:rPr>
          <w:bCs/>
          <w:color w:val="000000"/>
        </w:rPr>
        <w:t xml:space="preserve">, 17/12/2013; Cámara Nacional de Apelaciones en lo Civil y Comercial Federal, Sala III, </w:t>
      </w:r>
      <w:r w:rsidRPr="00984F9C">
        <w:rPr>
          <w:bCs/>
          <w:i/>
          <w:color w:val="000000"/>
        </w:rPr>
        <w:t>“</w:t>
      </w:r>
      <w:r w:rsidRPr="00984F9C">
        <w:rPr>
          <w:bCs/>
          <w:i/>
          <w:iCs/>
          <w:color w:val="000000"/>
        </w:rPr>
        <w:t>Arte Gráfico Editorial Argentino S.A. c/Castañeda Matías s/ cese de uso de marcas / daños y perjuicios”</w:t>
      </w:r>
      <w:r w:rsidRPr="00984F9C">
        <w:rPr>
          <w:bCs/>
          <w:color w:val="000000"/>
        </w:rPr>
        <w:t xml:space="preserve">, 11/02/2014; Cámara Nacional de Apelaciones en lo Civil y Comercial Federal, Sala I, </w:t>
      </w:r>
      <w:r w:rsidRPr="00984F9C">
        <w:rPr>
          <w:bCs/>
          <w:i/>
          <w:color w:val="000000"/>
        </w:rPr>
        <w:t>“C., R. H. c/ Google Inc. y otro s/ incidente de apelación de medida cautelar”</w:t>
      </w:r>
      <w:r w:rsidRPr="00984F9C">
        <w:rPr>
          <w:bCs/>
          <w:color w:val="000000"/>
        </w:rPr>
        <w:t xml:space="preserve">, 18/03/2014; Cámara Nacional de Apelaciones en lo Civil y  Comercial Federal, Sala II, </w:t>
      </w:r>
      <w:r w:rsidRPr="00984F9C">
        <w:rPr>
          <w:bCs/>
          <w:i/>
          <w:color w:val="000000"/>
        </w:rPr>
        <w:t>“L., N. L. y otro c/ Google Argentina S.R.L s/ medidas cautelares”</w:t>
      </w:r>
      <w:r w:rsidRPr="00984F9C">
        <w:rPr>
          <w:bCs/>
          <w:color w:val="000000"/>
        </w:rPr>
        <w:t xml:space="preserve">, 31/03/2014; Cámara Nacional de Apelaciones en lo Civil y Comercial Federal, Sala III, </w:t>
      </w:r>
      <w:r w:rsidRPr="00984F9C">
        <w:rPr>
          <w:bCs/>
          <w:i/>
          <w:color w:val="000000"/>
        </w:rPr>
        <w:t>“R., L. M. c/ Google Inc. s/ medidas cautelares”</w:t>
      </w:r>
      <w:r w:rsidRPr="00984F9C">
        <w:rPr>
          <w:bCs/>
          <w:color w:val="000000"/>
        </w:rPr>
        <w:t>, 29/05/2014;</w:t>
      </w:r>
      <w:r w:rsidRPr="00984F9C">
        <w:rPr>
          <w:b/>
          <w:bCs/>
          <w:color w:val="000000"/>
        </w:rPr>
        <w:t> </w:t>
      </w:r>
      <w:r w:rsidRPr="00984F9C">
        <w:rPr>
          <w:bCs/>
          <w:color w:val="000000"/>
        </w:rPr>
        <w:t xml:space="preserve">Cámara Nacional de Apelaciones en lo Civil, Sala K, </w:t>
      </w:r>
      <w:r w:rsidRPr="00984F9C">
        <w:rPr>
          <w:bCs/>
          <w:i/>
          <w:color w:val="000000"/>
        </w:rPr>
        <w:t xml:space="preserve">“R., R. c/ G. Argentina S.R.L. y </w:t>
      </w:r>
      <w:proofErr w:type="spellStart"/>
      <w:r w:rsidRPr="00984F9C">
        <w:rPr>
          <w:bCs/>
          <w:i/>
          <w:color w:val="000000"/>
        </w:rPr>
        <w:t>Otro s</w:t>
      </w:r>
      <w:proofErr w:type="spellEnd"/>
      <w:r w:rsidRPr="00984F9C">
        <w:rPr>
          <w:bCs/>
          <w:i/>
          <w:color w:val="000000"/>
        </w:rPr>
        <w:t>/ medidas precautorias”</w:t>
      </w:r>
      <w:r w:rsidRPr="00984F9C">
        <w:rPr>
          <w:bCs/>
          <w:color w:val="000000"/>
        </w:rPr>
        <w:t xml:space="preserve">, 30/05/2014; Cámara Nacional de Apelaciones en lo Civil y Comercial Federal, Sala III, </w:t>
      </w:r>
      <w:r w:rsidRPr="00984F9C">
        <w:rPr>
          <w:bCs/>
          <w:i/>
          <w:color w:val="000000"/>
        </w:rPr>
        <w:t>“C. E. A. c. Google Inc. s/ hábeas data”</w:t>
      </w:r>
      <w:r w:rsidRPr="00984F9C">
        <w:rPr>
          <w:bCs/>
          <w:color w:val="000000"/>
        </w:rPr>
        <w:t xml:space="preserve">, 18/05/2015, </w:t>
      </w:r>
      <w:r w:rsidRPr="00984F9C">
        <w:rPr>
          <w:color w:val="000000"/>
        </w:rPr>
        <w:t xml:space="preserve">Corte Suprema de Justicia de la Nación, </w:t>
      </w:r>
      <w:r w:rsidRPr="00984F9C">
        <w:rPr>
          <w:i/>
          <w:color w:val="000000"/>
        </w:rPr>
        <w:t>“</w:t>
      </w:r>
      <w:r w:rsidRPr="00984F9C">
        <w:rPr>
          <w:bCs/>
          <w:i/>
          <w:color w:val="000000"/>
        </w:rPr>
        <w:t>Rodríguez, María Belén c/ Google Inc. s/ daños y perjuicios”</w:t>
      </w:r>
      <w:r w:rsidRPr="00984F9C">
        <w:rPr>
          <w:bCs/>
          <w:color w:val="000000"/>
        </w:rPr>
        <w:t xml:space="preserve">, </w:t>
      </w:r>
      <w:r w:rsidRPr="00984F9C">
        <w:rPr>
          <w:color w:val="000000"/>
        </w:rPr>
        <w:t xml:space="preserve">28/10/2014, </w:t>
      </w:r>
      <w:r w:rsidRPr="00984F9C">
        <w:rPr>
          <w:bCs/>
          <w:color w:val="000000" w:themeColor="text1"/>
        </w:rPr>
        <w:t xml:space="preserve">Corte Suprema de Justicia de  la Nación, </w:t>
      </w:r>
      <w:r w:rsidRPr="00984F9C">
        <w:rPr>
          <w:bCs/>
          <w:i/>
          <w:color w:val="000000" w:themeColor="text1"/>
        </w:rPr>
        <w:t xml:space="preserve">“Da </w:t>
      </w:r>
      <w:proofErr w:type="spellStart"/>
      <w:r w:rsidRPr="00984F9C">
        <w:rPr>
          <w:bCs/>
          <w:i/>
          <w:color w:val="000000" w:themeColor="text1"/>
        </w:rPr>
        <w:t>Cunha</w:t>
      </w:r>
      <w:proofErr w:type="spellEnd"/>
      <w:r w:rsidRPr="00984F9C">
        <w:rPr>
          <w:bCs/>
          <w:i/>
          <w:color w:val="000000" w:themeColor="text1"/>
        </w:rPr>
        <w:t xml:space="preserve">, Virginia c. </w:t>
      </w:r>
      <w:proofErr w:type="spellStart"/>
      <w:r w:rsidRPr="00984F9C">
        <w:rPr>
          <w:bCs/>
          <w:i/>
          <w:color w:val="000000" w:themeColor="text1"/>
        </w:rPr>
        <w:t>Yahoo</w:t>
      </w:r>
      <w:proofErr w:type="spellEnd"/>
      <w:r w:rsidRPr="00984F9C">
        <w:rPr>
          <w:bCs/>
          <w:i/>
          <w:color w:val="000000" w:themeColor="text1"/>
        </w:rPr>
        <w:t xml:space="preserve"> de Argentina S.R.L. y </w:t>
      </w:r>
      <w:proofErr w:type="spellStart"/>
      <w:r w:rsidRPr="00984F9C">
        <w:rPr>
          <w:bCs/>
          <w:i/>
          <w:color w:val="000000" w:themeColor="text1"/>
        </w:rPr>
        <w:t>otro s</w:t>
      </w:r>
      <w:proofErr w:type="spellEnd"/>
      <w:r w:rsidRPr="00984F9C">
        <w:rPr>
          <w:bCs/>
          <w:i/>
          <w:color w:val="000000" w:themeColor="text1"/>
        </w:rPr>
        <w:t>/ daños y perjuicios”</w:t>
      </w:r>
      <w:r w:rsidRPr="00984F9C">
        <w:rPr>
          <w:bCs/>
          <w:color w:val="000000" w:themeColor="text1"/>
        </w:rPr>
        <w:t xml:space="preserve">, 30/12/2014; </w:t>
      </w:r>
      <w:r w:rsidRPr="00984F9C">
        <w:rPr>
          <w:bCs/>
        </w:rPr>
        <w:t xml:space="preserve">y el más reciente Fallo del Juzgado Civil y Comercial Federal Nº 2, </w:t>
      </w:r>
      <w:r w:rsidRPr="00984F9C">
        <w:rPr>
          <w:bCs/>
          <w:i/>
        </w:rPr>
        <w:t>“</w:t>
      </w:r>
      <w:proofErr w:type="spellStart"/>
      <w:r w:rsidRPr="00984F9C">
        <w:rPr>
          <w:bCs/>
          <w:i/>
        </w:rPr>
        <w:t>Vanucci</w:t>
      </w:r>
      <w:proofErr w:type="spellEnd"/>
      <w:r w:rsidRPr="00984F9C">
        <w:rPr>
          <w:bCs/>
          <w:i/>
        </w:rPr>
        <w:t xml:space="preserve">, María Victoria c/ </w:t>
      </w:r>
      <w:proofErr w:type="spellStart"/>
      <w:r w:rsidRPr="00984F9C">
        <w:rPr>
          <w:bCs/>
          <w:i/>
        </w:rPr>
        <w:t>Twitter</w:t>
      </w:r>
      <w:proofErr w:type="spellEnd"/>
      <w:r w:rsidRPr="00984F9C">
        <w:rPr>
          <w:bCs/>
          <w:i/>
        </w:rPr>
        <w:t xml:space="preserve"> inc. s/acción preventiva de daños”</w:t>
      </w:r>
      <w:r w:rsidRPr="00984F9C">
        <w:rPr>
          <w:bCs/>
        </w:rPr>
        <w:t xml:space="preserve"> 27/12/2016, </w:t>
      </w:r>
      <w:r w:rsidRPr="00984F9C">
        <w:rPr>
          <w:iCs/>
        </w:rPr>
        <w:t>Tribunal Oral en lo Criminal y Correccional Nº 22, “</w:t>
      </w:r>
      <w:proofErr w:type="spellStart"/>
      <w:r w:rsidRPr="00984F9C">
        <w:rPr>
          <w:bCs/>
          <w:i/>
          <w:iCs/>
        </w:rPr>
        <w:t>Lang</w:t>
      </w:r>
      <w:proofErr w:type="spellEnd"/>
      <w:r w:rsidRPr="00984F9C">
        <w:rPr>
          <w:bCs/>
          <w:i/>
          <w:iCs/>
        </w:rPr>
        <w:t xml:space="preserve">, Mónica Liliana s. Calumnias o falsa imputación e injurias”, </w:t>
      </w:r>
      <w:r w:rsidRPr="00984F9C">
        <w:rPr>
          <w:bCs/>
          <w:iCs/>
        </w:rPr>
        <w:t>06/02/2018</w:t>
      </w:r>
      <w:r w:rsidRPr="00984F9C">
        <w:rPr>
          <w:bCs/>
          <w:i/>
          <w:iCs/>
        </w:rPr>
        <w:t>,</w:t>
      </w:r>
      <w:r w:rsidRPr="00984F9C">
        <w:rPr>
          <w:bCs/>
        </w:rPr>
        <w:t xml:space="preserve"> entre muchas otras</w:t>
      </w:r>
      <w:r w:rsidRPr="00984F9C">
        <w:rPr>
          <w:bCs/>
          <w:color w:val="000000"/>
        </w:rPr>
        <w:t>.</w:t>
      </w:r>
    </w:p>
  </w:footnote>
  <w:footnote w:id="23">
    <w:p w:rsidR="0098116B" w:rsidRPr="00984F9C" w:rsidRDefault="0098116B" w:rsidP="0098116B">
      <w:pPr>
        <w:pStyle w:val="Textonotapie"/>
        <w:spacing w:line="360" w:lineRule="auto"/>
        <w:jc w:val="both"/>
        <w:rPr>
          <w:b/>
          <w:bCs/>
        </w:rPr>
      </w:pPr>
      <w:r w:rsidRPr="00984F9C">
        <w:rPr>
          <w:rStyle w:val="Refdenotaalpie"/>
          <w:color w:val="000000"/>
        </w:rPr>
        <w:footnoteRef/>
      </w:r>
      <w:r w:rsidRPr="00984F9C">
        <w:rPr>
          <w:color w:val="000000"/>
        </w:rPr>
        <w:t xml:space="preserve"> </w:t>
      </w:r>
      <w:r w:rsidRPr="00984F9C">
        <w:t xml:space="preserve">Corte Suprema de Justicia de la Nación, </w:t>
      </w:r>
      <w:r w:rsidRPr="00984F9C">
        <w:rPr>
          <w:i/>
        </w:rPr>
        <w:t>“</w:t>
      </w:r>
      <w:r w:rsidRPr="00984F9C">
        <w:rPr>
          <w:bCs/>
          <w:i/>
        </w:rPr>
        <w:t>Rodríguez, María Belén c/ Google Inc. s/ daños y perjuicios”</w:t>
      </w:r>
      <w:r w:rsidRPr="00984F9C">
        <w:rPr>
          <w:bCs/>
        </w:rPr>
        <w:t xml:space="preserve">, </w:t>
      </w:r>
      <w:r w:rsidRPr="00984F9C">
        <w:t xml:space="preserve">28/10/2014. </w:t>
      </w:r>
    </w:p>
  </w:footnote>
  <w:footnote w:id="24">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BASTERRA, Marcela I., “La responsabilidad de los motores de búsqueda de Internet en el centro del debate jurídico”,</w:t>
      </w:r>
      <w:r w:rsidRPr="00984F9C">
        <w:rPr>
          <w:color w:val="000000"/>
          <w:shd w:val="clear" w:color="auto" w:fill="FFFFFF"/>
        </w:rPr>
        <w:t xml:space="preserve"> </w:t>
      </w:r>
      <w:proofErr w:type="spellStart"/>
      <w:r w:rsidRPr="00984F9C">
        <w:rPr>
          <w:color w:val="000000"/>
        </w:rPr>
        <w:t>Op</w:t>
      </w:r>
      <w:proofErr w:type="spellEnd"/>
      <w:r w:rsidRPr="00984F9C">
        <w:rPr>
          <w:color w:val="000000"/>
        </w:rPr>
        <w:t xml:space="preserve">. </w:t>
      </w:r>
      <w:proofErr w:type="spellStart"/>
      <w:r w:rsidRPr="00984F9C">
        <w:rPr>
          <w:color w:val="000000"/>
        </w:rPr>
        <w:t>Cit</w:t>
      </w:r>
      <w:proofErr w:type="spellEnd"/>
      <w:r w:rsidRPr="00984F9C">
        <w:rPr>
          <w:color w:val="000000"/>
        </w:rPr>
        <w:t xml:space="preserve">, </w:t>
      </w:r>
      <w:r w:rsidRPr="00984F9C">
        <w:rPr>
          <w:color w:val="000000"/>
          <w:shd w:val="clear" w:color="auto" w:fill="FFFFFF"/>
        </w:rPr>
        <w:t>p. 145</w:t>
      </w:r>
      <w:r w:rsidRPr="00984F9C">
        <w:rPr>
          <w:color w:val="000000"/>
          <w:lang w:val="es-AR"/>
        </w:rPr>
        <w:t>.</w:t>
      </w:r>
    </w:p>
  </w:footnote>
  <w:footnote w:id="25">
    <w:p w:rsidR="0098116B" w:rsidRPr="00984F9C" w:rsidRDefault="0098116B" w:rsidP="0098116B">
      <w:pPr>
        <w:pStyle w:val="Textonotapie"/>
        <w:spacing w:line="360" w:lineRule="auto"/>
        <w:jc w:val="both"/>
        <w:rPr>
          <w:lang w:val="es-AR"/>
        </w:rPr>
      </w:pPr>
      <w:r w:rsidRPr="00984F9C">
        <w:rPr>
          <w:rStyle w:val="Refdenotaalpie"/>
        </w:rPr>
        <w:footnoteRef/>
      </w:r>
      <w:r w:rsidRPr="00984F9C">
        <w:rPr>
          <w:lang w:val="es-AR"/>
        </w:rPr>
        <w:t xml:space="preserve"> </w:t>
      </w:r>
      <w:r w:rsidRPr="00984F9C">
        <w:t xml:space="preserve">PALAZZI, Pablo A. “Responsabilidad de buscadores de internet. </w:t>
      </w:r>
      <w:proofErr w:type="spellStart"/>
      <w:r w:rsidRPr="00984F9C">
        <w:t>Notice</w:t>
      </w:r>
      <w:proofErr w:type="spellEnd"/>
      <w:r w:rsidRPr="00984F9C">
        <w:t xml:space="preserve"> &amp; </w:t>
      </w:r>
      <w:proofErr w:type="spellStart"/>
      <w:r w:rsidRPr="00984F9C">
        <w:t>Take</w:t>
      </w:r>
      <w:proofErr w:type="spellEnd"/>
      <w:r w:rsidRPr="00984F9C">
        <w:t xml:space="preserve"> </w:t>
      </w:r>
      <w:proofErr w:type="spellStart"/>
      <w:r w:rsidRPr="00984F9C">
        <w:t>down</w:t>
      </w:r>
      <w:proofErr w:type="spellEnd"/>
      <w:r w:rsidRPr="00984F9C">
        <w:t xml:space="preserve"> con sabor argentino”, La Ley 2014 F, p.175, Cita online: AR/DOC/4086/2014.</w:t>
      </w:r>
    </w:p>
  </w:footnote>
  <w:footnote w:id="26">
    <w:p w:rsidR="0098116B" w:rsidRPr="00984F9C" w:rsidRDefault="0098116B" w:rsidP="0098116B">
      <w:pPr>
        <w:pStyle w:val="Textonotapie"/>
        <w:spacing w:line="360" w:lineRule="auto"/>
        <w:jc w:val="both"/>
      </w:pPr>
      <w:r w:rsidRPr="00984F9C">
        <w:rPr>
          <w:rStyle w:val="Refdenotaalpie"/>
        </w:rPr>
        <w:footnoteRef/>
      </w:r>
      <w:r w:rsidRPr="00984F9C">
        <w:t xml:space="preserve"> Ver FERNÁNDEZ DELPECH, Horacio “Responsabilidades civiles de los proveedores de servicio de internet”, </w:t>
      </w:r>
      <w:proofErr w:type="spellStart"/>
      <w:r w:rsidRPr="00984F9C">
        <w:t>Op</w:t>
      </w:r>
      <w:proofErr w:type="spellEnd"/>
      <w:r w:rsidRPr="00984F9C">
        <w:t xml:space="preserve">. Cit. p.1; PALAZZI, Pablo A. “Responsabilidad de buscadores de internet. </w:t>
      </w:r>
      <w:proofErr w:type="spellStart"/>
      <w:r w:rsidRPr="00984F9C">
        <w:t>Notice</w:t>
      </w:r>
      <w:proofErr w:type="spellEnd"/>
      <w:r w:rsidRPr="00984F9C">
        <w:t xml:space="preserve"> &amp; </w:t>
      </w:r>
      <w:proofErr w:type="spellStart"/>
      <w:r w:rsidRPr="00984F9C">
        <w:t>Take</w:t>
      </w:r>
      <w:proofErr w:type="spellEnd"/>
      <w:r w:rsidRPr="00984F9C">
        <w:t xml:space="preserve"> </w:t>
      </w:r>
      <w:proofErr w:type="spellStart"/>
      <w:r w:rsidRPr="00984F9C">
        <w:t>down</w:t>
      </w:r>
      <w:proofErr w:type="spellEnd"/>
      <w:r w:rsidRPr="00984F9C">
        <w:t xml:space="preserve"> con sabor argentino”, </w:t>
      </w:r>
      <w:proofErr w:type="spellStart"/>
      <w:r w:rsidRPr="00984F9C">
        <w:t>Op.Cit</w:t>
      </w:r>
      <w:proofErr w:type="spellEnd"/>
      <w:r w:rsidRPr="00984F9C">
        <w:t>., p.1. Por el contrario, se pronunció a favor de la responsabilidad objetiva de los buscadores de internet: ZABALE, Ezequiel M. “Un fallo esclarecedor sobre la responsabilidad de los buscadores de internet”, La Ley 11/04/2016, p.4, Cita Online: AR/DOC/1038/2016.</w:t>
      </w:r>
    </w:p>
    <w:p w:rsidR="0098116B" w:rsidRPr="00984F9C" w:rsidRDefault="0098116B" w:rsidP="0098116B">
      <w:pPr>
        <w:pStyle w:val="Textonotapie"/>
        <w:spacing w:line="360" w:lineRule="auto"/>
        <w:jc w:val="both"/>
        <w:rPr>
          <w:lang w:val="es-AR"/>
        </w:rPr>
      </w:pPr>
      <w:r w:rsidRPr="00984F9C">
        <w:t xml:space="preserve">También se puede ver </w:t>
      </w:r>
      <w:r w:rsidRPr="00984F9C">
        <w:rPr>
          <w:lang w:val="es-AR"/>
        </w:rPr>
        <w:t xml:space="preserve">Conclusiones de la Comisión N° 10 “Derecho comparado. Daños derivados de la actividad de internet”, en las XXV Jornadas Nacionales de Derecho Civil, Universidad Nacional de Sur, 1, 2 y 3 de octubre de 2015. En estas jornadas se puede ver claramente que no hay unanimidad en la doctrina sobre el factor de atribución de responsabilidad de los buscadores de internet. </w:t>
      </w:r>
    </w:p>
  </w:footnote>
  <w:footnote w:id="27">
    <w:p w:rsidR="0098116B" w:rsidRPr="00984F9C" w:rsidRDefault="0098116B" w:rsidP="0098116B">
      <w:pPr>
        <w:pStyle w:val="Textonotapie"/>
        <w:spacing w:line="360" w:lineRule="auto"/>
        <w:jc w:val="both"/>
        <w:rPr>
          <w:bCs/>
          <w:i/>
        </w:rPr>
      </w:pPr>
      <w:r w:rsidRPr="00984F9C">
        <w:rPr>
          <w:rStyle w:val="Refdenotaalpie"/>
        </w:rPr>
        <w:footnoteRef/>
      </w:r>
      <w:r w:rsidRPr="00984F9C">
        <w:t xml:space="preserve"> </w:t>
      </w:r>
      <w:r w:rsidRPr="00984F9C">
        <w:rPr>
          <w:lang w:val="es-AR"/>
        </w:rPr>
        <w:t>Ver en particular el considerando 18 del fallo de la</w:t>
      </w:r>
      <w:r w:rsidRPr="00984F9C">
        <w:rPr>
          <w:color w:val="000000"/>
        </w:rPr>
        <w:t xml:space="preserve"> Corte Suprema de Justicia de la Nación, </w:t>
      </w:r>
      <w:r w:rsidRPr="00984F9C">
        <w:rPr>
          <w:i/>
          <w:color w:val="000000"/>
        </w:rPr>
        <w:t>“</w:t>
      </w:r>
      <w:r w:rsidRPr="00984F9C">
        <w:rPr>
          <w:bCs/>
          <w:i/>
          <w:color w:val="000000"/>
        </w:rPr>
        <w:t>Rodríguez, María Belén c/ Google Inc. s/ daños y perjuicios”</w:t>
      </w:r>
      <w:r w:rsidRPr="00984F9C">
        <w:rPr>
          <w:bCs/>
          <w:color w:val="000000"/>
        </w:rPr>
        <w:t xml:space="preserve">, </w:t>
      </w:r>
      <w:r w:rsidRPr="00984F9C">
        <w:rPr>
          <w:color w:val="000000"/>
        </w:rPr>
        <w:t>28/10/2014</w:t>
      </w:r>
      <w:r w:rsidRPr="00984F9C">
        <w:rPr>
          <w:bCs/>
          <w:i/>
        </w:rPr>
        <w:t>.</w:t>
      </w:r>
    </w:p>
  </w:footnote>
  <w:footnote w:id="28">
    <w:p w:rsidR="0098116B" w:rsidRPr="00984F9C" w:rsidRDefault="0098116B" w:rsidP="0098116B">
      <w:pPr>
        <w:pStyle w:val="Textonotapie"/>
        <w:spacing w:line="360" w:lineRule="auto"/>
        <w:jc w:val="both"/>
      </w:pPr>
      <w:r w:rsidRPr="00984F9C">
        <w:rPr>
          <w:rStyle w:val="Refdenotaalpie"/>
        </w:rPr>
        <w:footnoteRef/>
      </w:r>
      <w:r w:rsidRPr="00984F9C">
        <w:t xml:space="preserve"> Ver PALAZZI, Pablo A. “Responsabilidad de buscadores de internet. </w:t>
      </w:r>
      <w:proofErr w:type="spellStart"/>
      <w:r w:rsidRPr="00984F9C">
        <w:t>Notice</w:t>
      </w:r>
      <w:proofErr w:type="spellEnd"/>
      <w:r w:rsidRPr="00984F9C">
        <w:t xml:space="preserve"> &amp; </w:t>
      </w:r>
      <w:proofErr w:type="spellStart"/>
      <w:r w:rsidRPr="00984F9C">
        <w:t>Take</w:t>
      </w:r>
      <w:proofErr w:type="spellEnd"/>
      <w:r w:rsidRPr="00984F9C">
        <w:t xml:space="preserve"> </w:t>
      </w:r>
      <w:proofErr w:type="spellStart"/>
      <w:r w:rsidRPr="00984F9C">
        <w:t>down</w:t>
      </w:r>
      <w:proofErr w:type="spellEnd"/>
      <w:r w:rsidRPr="00984F9C">
        <w:t xml:space="preserve"> con sabor argentino”, </w:t>
      </w:r>
      <w:proofErr w:type="spellStart"/>
      <w:r w:rsidRPr="00984F9C">
        <w:t>Op</w:t>
      </w:r>
      <w:proofErr w:type="spellEnd"/>
      <w:r w:rsidRPr="00984F9C">
        <w:t>. Cit., p. 1.</w:t>
      </w:r>
    </w:p>
  </w:footnote>
  <w:footnote w:id="29">
    <w:p w:rsidR="0098116B" w:rsidRPr="00984F9C" w:rsidRDefault="0098116B" w:rsidP="0098116B">
      <w:pPr>
        <w:pStyle w:val="Textonotapie"/>
        <w:spacing w:line="360" w:lineRule="auto"/>
        <w:jc w:val="both"/>
      </w:pPr>
      <w:r w:rsidRPr="00984F9C">
        <w:rPr>
          <w:rStyle w:val="Refdenotaalpie"/>
        </w:rPr>
        <w:footnoteRef/>
      </w:r>
      <w:r w:rsidRPr="00984F9C">
        <w:t xml:space="preserve"> Ver ZABALE, Ezequiel M. “Un fallo esclarecedor sobre la responsabilidad de los buscadores de internet”, </w:t>
      </w:r>
      <w:proofErr w:type="spellStart"/>
      <w:r w:rsidRPr="00984F9C">
        <w:t>Op</w:t>
      </w:r>
      <w:proofErr w:type="spellEnd"/>
      <w:r w:rsidRPr="00984F9C">
        <w:t>. Cit. p.1.</w:t>
      </w:r>
    </w:p>
  </w:footnote>
  <w:footnote w:id="30">
    <w:p w:rsidR="0098116B" w:rsidRPr="00984F9C" w:rsidRDefault="0098116B" w:rsidP="0098116B">
      <w:pPr>
        <w:pStyle w:val="Textonotapie"/>
        <w:spacing w:line="360" w:lineRule="auto"/>
        <w:jc w:val="both"/>
      </w:pPr>
      <w:r w:rsidRPr="00984F9C">
        <w:rPr>
          <w:rStyle w:val="Refdenotaalpie"/>
        </w:rPr>
        <w:footnoteRef/>
      </w:r>
      <w:r w:rsidRPr="00984F9C">
        <w:t xml:space="preserve"> </w:t>
      </w:r>
      <w:r w:rsidRPr="00984F9C">
        <w:rPr>
          <w:color w:val="000000"/>
          <w:lang w:val="es-AR"/>
        </w:rPr>
        <w:t xml:space="preserve">Tribunal de Justicia de la Unión Europea, Gran Sala, </w:t>
      </w:r>
      <w:r w:rsidRPr="00984F9C">
        <w:rPr>
          <w:i/>
          <w:color w:val="000000"/>
          <w:lang w:val="es-AR"/>
        </w:rPr>
        <w:t xml:space="preserve">“Google </w:t>
      </w:r>
      <w:proofErr w:type="spellStart"/>
      <w:r w:rsidRPr="00984F9C">
        <w:rPr>
          <w:i/>
          <w:color w:val="000000"/>
          <w:lang w:val="es-AR"/>
        </w:rPr>
        <w:t>Spain</w:t>
      </w:r>
      <w:proofErr w:type="spellEnd"/>
      <w:r w:rsidRPr="00984F9C">
        <w:rPr>
          <w:i/>
          <w:color w:val="000000"/>
          <w:lang w:val="es-AR"/>
        </w:rPr>
        <w:t xml:space="preserve">, S.L., y Google Inc. vs. Agencia Española de Protección de Datos (AEPD) y Mario </w:t>
      </w:r>
      <w:proofErr w:type="spellStart"/>
      <w:r w:rsidRPr="00984F9C">
        <w:rPr>
          <w:i/>
          <w:color w:val="000000"/>
          <w:lang w:val="es-AR"/>
        </w:rPr>
        <w:t>Costeja</w:t>
      </w:r>
      <w:proofErr w:type="spellEnd"/>
      <w:r w:rsidRPr="00984F9C">
        <w:rPr>
          <w:i/>
          <w:color w:val="000000"/>
          <w:lang w:val="es-AR"/>
        </w:rPr>
        <w:t xml:space="preserve"> González”</w:t>
      </w:r>
      <w:r w:rsidRPr="00984F9C">
        <w:rPr>
          <w:color w:val="000000"/>
          <w:lang w:val="es-AR"/>
        </w:rPr>
        <w:t>. Sentencia del 13/05/2014.</w:t>
      </w:r>
    </w:p>
  </w:footnote>
  <w:footnote w:id="31">
    <w:p w:rsidR="0098116B" w:rsidRPr="00984F9C" w:rsidRDefault="0098116B" w:rsidP="0098116B">
      <w:pPr>
        <w:pStyle w:val="Textonotapie"/>
        <w:spacing w:line="360" w:lineRule="auto"/>
        <w:jc w:val="both"/>
      </w:pPr>
      <w:r w:rsidRPr="00984F9C">
        <w:rPr>
          <w:rStyle w:val="Refdenotaalpie"/>
        </w:rPr>
        <w:footnoteRef/>
      </w:r>
      <w:r w:rsidRPr="00984F9C">
        <w:t xml:space="preserve"> </w:t>
      </w:r>
      <w:r w:rsidRPr="00984F9C">
        <w:rPr>
          <w:color w:val="000000"/>
          <w:lang w:val="es-AR"/>
        </w:rPr>
        <w:t xml:space="preserve">Directiva 95/46/CE de 1995 del Parlamento Europeo y del Consejo </w:t>
      </w:r>
      <w:r w:rsidRPr="00984F9C">
        <w:rPr>
          <w:color w:val="000000"/>
        </w:rPr>
        <w:t>Parlamento. Relativa a la protección de las personas físicas en lo que respecta al tratamiento de datos personales y a la libre circulación de estos datos. 24 de octubre de 1995.</w:t>
      </w:r>
    </w:p>
  </w:footnote>
  <w:footnote w:id="32">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GOZAÍNI, Osvaldo A., "El derecho de amparo. Los nuevos derechos y garantías del artículo 43 de la Constitución Nacional", </w:t>
      </w:r>
      <w:proofErr w:type="spellStart"/>
      <w:r w:rsidRPr="00984F9C">
        <w:rPr>
          <w:color w:val="000000"/>
          <w:lang w:val="es-AR"/>
        </w:rPr>
        <w:t>Depalma</w:t>
      </w:r>
      <w:proofErr w:type="spellEnd"/>
      <w:r w:rsidRPr="00984F9C">
        <w:rPr>
          <w:color w:val="000000"/>
          <w:lang w:val="es-AR"/>
        </w:rPr>
        <w:t>, Buenos Aires, 1995.</w:t>
      </w:r>
      <w:bookmarkStart w:id="0" w:name="FN8"/>
      <w:bookmarkEnd w:id="0"/>
    </w:p>
  </w:footnote>
  <w:footnote w:id="33">
    <w:p w:rsidR="0098116B" w:rsidRPr="00984F9C" w:rsidRDefault="0098116B" w:rsidP="0098116B">
      <w:pPr>
        <w:autoSpaceDE w:val="0"/>
        <w:autoSpaceDN w:val="0"/>
        <w:adjustRightInd w:val="0"/>
        <w:spacing w:line="360" w:lineRule="auto"/>
        <w:jc w:val="both"/>
        <w:rPr>
          <w:rFonts w:eastAsiaTheme="minorHAnsi"/>
          <w:sz w:val="20"/>
          <w:szCs w:val="20"/>
          <w:lang w:val="es-AR" w:eastAsia="en-US"/>
        </w:rPr>
      </w:pPr>
      <w:r w:rsidRPr="00984F9C">
        <w:rPr>
          <w:rStyle w:val="Refdenotaalpie"/>
          <w:sz w:val="20"/>
          <w:szCs w:val="20"/>
        </w:rPr>
        <w:footnoteRef/>
      </w:r>
      <w:r w:rsidRPr="00984F9C">
        <w:rPr>
          <w:sz w:val="20"/>
          <w:szCs w:val="20"/>
        </w:rPr>
        <w:t xml:space="preserve"> Ver </w:t>
      </w:r>
      <w:r w:rsidRPr="00984F9C">
        <w:rPr>
          <w:sz w:val="20"/>
          <w:szCs w:val="20"/>
          <w:lang w:val="es-AR"/>
        </w:rPr>
        <w:t xml:space="preserve">Conclusiones de la Comisión N° 10 “Derecho comparado. Daños derivados de la actividad de internet”, en las XXV Jornadas Nacionales de Derecho Civil, </w:t>
      </w:r>
      <w:r w:rsidRPr="00984F9C">
        <w:rPr>
          <w:rFonts w:eastAsiaTheme="minorHAnsi"/>
          <w:sz w:val="20"/>
          <w:szCs w:val="20"/>
          <w:lang w:val="es-AR" w:eastAsia="en-US"/>
        </w:rPr>
        <w:t>Universidad Nacional de Sur, 1, 2 y 3 de octubre de 2015.</w:t>
      </w:r>
      <w:r w:rsidRPr="00984F9C">
        <w:rPr>
          <w:sz w:val="20"/>
          <w:szCs w:val="20"/>
          <w:lang w:val="es-AR"/>
        </w:rPr>
        <w:t xml:space="preserve"> </w:t>
      </w:r>
    </w:p>
  </w:footnote>
  <w:footnote w:id="34">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ROLDÁN, Luis María, “De la intimidad  y el honor al olvido”, </w:t>
      </w:r>
      <w:proofErr w:type="spellStart"/>
      <w:r w:rsidRPr="00984F9C">
        <w:rPr>
          <w:color w:val="000000"/>
          <w:lang w:val="es-AR"/>
        </w:rPr>
        <w:t>Op.Cit</w:t>
      </w:r>
      <w:proofErr w:type="spellEnd"/>
      <w:r w:rsidRPr="00984F9C">
        <w:rPr>
          <w:color w:val="000000"/>
          <w:lang w:val="es-AR"/>
        </w:rPr>
        <w:t>.</w:t>
      </w:r>
    </w:p>
  </w:footnote>
  <w:footnote w:id="35">
    <w:p w:rsidR="0098116B" w:rsidRPr="004450F9" w:rsidRDefault="0098116B" w:rsidP="0098116B">
      <w:pPr>
        <w:pStyle w:val="Textonotapie"/>
        <w:spacing w:line="360" w:lineRule="auto"/>
        <w:jc w:val="both"/>
      </w:pPr>
      <w:r w:rsidRPr="00984F9C">
        <w:rPr>
          <w:rStyle w:val="Refdenotaalpie"/>
          <w:color w:val="000000"/>
        </w:rPr>
        <w:footnoteRef/>
      </w:r>
      <w:r w:rsidRPr="00984F9C">
        <w:rPr>
          <w:color w:val="000000"/>
          <w:lang w:val="es-AR"/>
        </w:rPr>
        <w:t xml:space="preserve"> </w:t>
      </w:r>
      <w:hyperlink r:id="rId3" w:history="1">
        <w:r w:rsidRPr="004450F9">
          <w:rPr>
            <w:rStyle w:val="Hipervnculo"/>
            <w:color w:val="000000"/>
            <w:u w:val="none"/>
            <w:lang w:val="es-AR"/>
          </w:rPr>
          <w:t xml:space="preserve">Corte Suprema de Chile, Tercera Sala, </w:t>
        </w:r>
        <w:r w:rsidRPr="004450F9">
          <w:rPr>
            <w:rStyle w:val="Hipervnculo"/>
            <w:i/>
            <w:color w:val="000000"/>
            <w:u w:val="none"/>
            <w:lang w:val="es-AR"/>
          </w:rPr>
          <w:t>“G. L.-F., A. c. Empresa El Mercurio S.A.P</w:t>
        </w:r>
      </w:hyperlink>
      <w:r w:rsidRPr="004450F9">
        <w:t>”</w:t>
      </w:r>
      <w:r w:rsidRPr="004450F9">
        <w:rPr>
          <w:color w:val="000000"/>
          <w:lang w:val="es-AR"/>
        </w:rPr>
        <w:t>, 21/01/2016.</w:t>
      </w:r>
    </w:p>
  </w:footnote>
  <w:footnote w:id="36">
    <w:p w:rsidR="0098116B" w:rsidRPr="00984F9C" w:rsidRDefault="0098116B" w:rsidP="0098116B">
      <w:pPr>
        <w:pStyle w:val="Textonotapie"/>
        <w:spacing w:line="360" w:lineRule="auto"/>
        <w:jc w:val="both"/>
      </w:pPr>
      <w:r w:rsidRPr="004450F9">
        <w:rPr>
          <w:rStyle w:val="Refdenotaalpie"/>
        </w:rPr>
        <w:footnoteRef/>
      </w:r>
      <w:r w:rsidRPr="004450F9">
        <w:t xml:space="preserve"> </w:t>
      </w:r>
      <w:r w:rsidRPr="00984F9C">
        <w:t>PALAZZI, Pablo A., “El derecho al olvido en internet”, http://www.rlpdp.com/2012/06/palazzi-el-derecho-al-olvido-en-internet.</w:t>
      </w:r>
    </w:p>
  </w:footnote>
  <w:footnote w:id="37">
    <w:p w:rsidR="0098116B" w:rsidRPr="00984F9C" w:rsidRDefault="0098116B" w:rsidP="0098116B">
      <w:pPr>
        <w:pStyle w:val="Textonotapie"/>
        <w:spacing w:line="360" w:lineRule="auto"/>
        <w:jc w:val="both"/>
        <w:rPr>
          <w:color w:val="000000"/>
          <w:lang w:val="es-AR"/>
        </w:rPr>
      </w:pPr>
      <w:r w:rsidRPr="00984F9C">
        <w:rPr>
          <w:rStyle w:val="Refdenotaalpie"/>
          <w:color w:val="000000"/>
        </w:rPr>
        <w:footnoteRef/>
      </w:r>
      <w:r w:rsidRPr="00984F9C">
        <w:rPr>
          <w:color w:val="000000"/>
        </w:rPr>
        <w:t xml:space="preserve"> </w:t>
      </w:r>
      <w:r w:rsidRPr="00984F9C">
        <w:rPr>
          <w:color w:val="000000"/>
          <w:lang w:val="es-AR"/>
        </w:rPr>
        <w:t>FERNÁNDEZ DELPECH, Horacio, "Derecho al olvido en Internet", La Ley 22/10/2015, p.1, Cita Online AR/DOC/3149/2015.</w:t>
      </w:r>
    </w:p>
  </w:footnote>
  <w:footnote w:id="38">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lang w:val="es-AR"/>
        </w:rPr>
        <w:t xml:space="preserve"> PALAZZI, Pablo A. "Derecho al olvido en Internet e información sobre condenas penales (a propósito de un reciente fallo holandés)”, LA LEY 2015-A, p. 16, Cita Online: AR/DOC/3945/2014.</w:t>
      </w:r>
      <w:bookmarkStart w:id="1" w:name="FN17"/>
      <w:bookmarkEnd w:id="1"/>
    </w:p>
  </w:footnote>
  <w:footnote w:id="39">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Tribunal de primera instancia en lo civil de </w:t>
      </w:r>
      <w:proofErr w:type="spellStart"/>
      <w:r w:rsidRPr="00984F9C">
        <w:rPr>
          <w:color w:val="000000"/>
          <w:lang w:val="es-AR"/>
        </w:rPr>
        <w:t>Amsterdam</w:t>
      </w:r>
      <w:proofErr w:type="spellEnd"/>
      <w:r w:rsidRPr="00984F9C">
        <w:rPr>
          <w:color w:val="000000"/>
          <w:lang w:val="es-AR"/>
        </w:rPr>
        <w:t xml:space="preserve">, "Arthur Van M. c. Google </w:t>
      </w:r>
      <w:proofErr w:type="spellStart"/>
      <w:r w:rsidRPr="00984F9C">
        <w:rPr>
          <w:color w:val="000000"/>
          <w:lang w:val="es-AR"/>
        </w:rPr>
        <w:t>Netherlands</w:t>
      </w:r>
      <w:proofErr w:type="spellEnd"/>
      <w:r w:rsidRPr="00984F9C">
        <w:rPr>
          <w:color w:val="000000"/>
          <w:lang w:val="es-AR"/>
        </w:rPr>
        <w:t xml:space="preserve"> y Google </w:t>
      </w:r>
      <w:proofErr w:type="spellStart"/>
      <w:r w:rsidRPr="00984F9C">
        <w:rPr>
          <w:color w:val="000000"/>
          <w:lang w:val="es-AR"/>
        </w:rPr>
        <w:t>Inc</w:t>
      </w:r>
      <w:proofErr w:type="spellEnd"/>
      <w:r w:rsidRPr="00984F9C">
        <w:rPr>
          <w:color w:val="000000"/>
          <w:lang w:val="es-AR"/>
        </w:rPr>
        <w:t>", sentencia del 18/09/2014.</w:t>
      </w:r>
    </w:p>
  </w:footnote>
  <w:footnote w:id="40">
    <w:p w:rsidR="0098116B" w:rsidRPr="00984F9C" w:rsidRDefault="0098116B" w:rsidP="0098116B">
      <w:pPr>
        <w:pStyle w:val="Textonotapie"/>
        <w:spacing w:line="360" w:lineRule="auto"/>
        <w:jc w:val="both"/>
        <w:rPr>
          <w:b/>
          <w:bCs/>
          <w:color w:val="000000"/>
          <w:lang w:val="es-AR"/>
        </w:rPr>
      </w:pPr>
      <w:r w:rsidRPr="00984F9C">
        <w:rPr>
          <w:rStyle w:val="Refdenotaalpie"/>
          <w:color w:val="000000"/>
        </w:rPr>
        <w:footnoteRef/>
      </w:r>
      <w:r w:rsidRPr="00984F9C">
        <w:rPr>
          <w:color w:val="000000"/>
          <w:lang w:val="es-AR"/>
        </w:rPr>
        <w:t xml:space="preserve"> BASTERRA, Marcela I. “El derecho al olvido en materia penal. Visión de la Corte Suprema chilena”,</w:t>
      </w:r>
      <w:r w:rsidRPr="00984F9C">
        <w:rPr>
          <w:b/>
          <w:bCs/>
          <w:color w:val="000000"/>
          <w:lang w:val="es-AR"/>
        </w:rPr>
        <w:t xml:space="preserve"> </w:t>
      </w:r>
      <w:r w:rsidRPr="00984F9C">
        <w:rPr>
          <w:color w:val="000000"/>
          <w:lang w:val="es-AR"/>
        </w:rPr>
        <w:t>La Ley 14/03/2016, p.8, Cita Online AR/DOC/677/2016.</w:t>
      </w:r>
    </w:p>
  </w:footnote>
  <w:footnote w:id="41">
    <w:p w:rsidR="0098116B" w:rsidRPr="00984F9C" w:rsidRDefault="0098116B" w:rsidP="0098116B">
      <w:pPr>
        <w:pStyle w:val="Textonotapie"/>
        <w:spacing w:line="360" w:lineRule="auto"/>
        <w:jc w:val="both"/>
      </w:pPr>
      <w:r w:rsidRPr="00984F9C">
        <w:rPr>
          <w:rStyle w:val="Refdenotaalpie"/>
        </w:rPr>
        <w:footnoteRef/>
      </w:r>
      <w:r w:rsidRPr="00984F9C">
        <w:t xml:space="preserve"> Ver, TORRES, Ariel, “Sin libertad de expresión Internet es sólo un corralito”, La Nación, 3/02/2017, disponible en www.lanacion.com.ar.</w:t>
      </w:r>
    </w:p>
  </w:footnote>
  <w:footnote w:id="42">
    <w:p w:rsidR="0098116B" w:rsidRPr="00984F9C" w:rsidRDefault="0098116B" w:rsidP="0098116B">
      <w:pPr>
        <w:pStyle w:val="Textonotapie"/>
        <w:spacing w:line="360" w:lineRule="auto"/>
        <w:jc w:val="both"/>
        <w:rPr>
          <w:lang w:val="es-AR"/>
        </w:rPr>
      </w:pPr>
      <w:r w:rsidRPr="00984F9C">
        <w:rPr>
          <w:rStyle w:val="Refdenotaalpie"/>
        </w:rPr>
        <w:footnoteRef/>
      </w:r>
      <w:r w:rsidRPr="00984F9C">
        <w:t xml:space="preserve"> </w:t>
      </w:r>
      <w:r w:rsidRPr="00984F9C">
        <w:rPr>
          <w:lang w:val="es-AR"/>
        </w:rPr>
        <w:t xml:space="preserve">Código de conducta en materia de incitación ilegal al odio en Internet, suscripto por la Comisión Europea y las Compañías  </w:t>
      </w:r>
      <w:proofErr w:type="spellStart"/>
      <w:r w:rsidRPr="00984F9C">
        <w:rPr>
          <w:lang w:val="es-AR"/>
        </w:rPr>
        <w:t>Facebook</w:t>
      </w:r>
      <w:proofErr w:type="spellEnd"/>
      <w:r w:rsidRPr="00984F9C">
        <w:rPr>
          <w:lang w:val="es-AR"/>
        </w:rPr>
        <w:t xml:space="preserve">, Microsoft, </w:t>
      </w:r>
      <w:proofErr w:type="spellStart"/>
      <w:r w:rsidRPr="00984F9C">
        <w:rPr>
          <w:lang w:val="es-AR"/>
        </w:rPr>
        <w:t>Twitter</w:t>
      </w:r>
      <w:proofErr w:type="spellEnd"/>
      <w:r w:rsidRPr="00984F9C">
        <w:rPr>
          <w:lang w:val="es-AR"/>
        </w:rPr>
        <w:t xml:space="preserve"> y </w:t>
      </w:r>
      <w:proofErr w:type="spellStart"/>
      <w:r w:rsidRPr="00984F9C">
        <w:rPr>
          <w:lang w:val="es-AR"/>
        </w:rPr>
        <w:t>YouTube</w:t>
      </w:r>
      <w:proofErr w:type="spellEnd"/>
      <w:r w:rsidRPr="00984F9C">
        <w:rPr>
          <w:lang w:val="es-AR"/>
        </w:rPr>
        <w:t xml:space="preserve">, disponible en http://ec.europa.eu/justice/fundamental-rights/files/hate_speech_code_of_conduct_en.pdf. </w:t>
      </w:r>
    </w:p>
  </w:footnote>
  <w:footnote w:id="43">
    <w:p w:rsidR="0098116B" w:rsidRPr="00984F9C" w:rsidRDefault="0098116B" w:rsidP="0098116B">
      <w:pPr>
        <w:pStyle w:val="Textonotapie"/>
        <w:spacing w:line="360" w:lineRule="auto"/>
        <w:jc w:val="both"/>
        <w:rPr>
          <w:color w:val="000000" w:themeColor="text1"/>
        </w:rPr>
      </w:pPr>
      <w:r w:rsidRPr="00984F9C">
        <w:rPr>
          <w:rStyle w:val="Refdenotaalpie"/>
        </w:rPr>
        <w:footnoteRef/>
      </w:r>
      <w:r w:rsidRPr="00984F9C">
        <w:t xml:space="preserve"> </w:t>
      </w:r>
      <w:r w:rsidRPr="00984F9C">
        <w:rPr>
          <w:color w:val="000000" w:themeColor="text1"/>
        </w:rPr>
        <w:t>Ver, TORRES, Ariel, “Sin libertad de expresión Internet es sólo un corralito”, La Nación, 3/02/2017, disponible en www.lanacion.com.ar.</w:t>
      </w:r>
    </w:p>
  </w:footnote>
  <w:footnote w:id="44">
    <w:p w:rsidR="0098116B" w:rsidRPr="00984F9C" w:rsidRDefault="0098116B" w:rsidP="0098116B">
      <w:pPr>
        <w:pStyle w:val="Textonotapie"/>
        <w:spacing w:line="360" w:lineRule="auto"/>
        <w:jc w:val="both"/>
        <w:rPr>
          <w:color w:val="000000" w:themeColor="text1"/>
        </w:rPr>
      </w:pPr>
      <w:r w:rsidRPr="00984F9C">
        <w:rPr>
          <w:rStyle w:val="Refdenotaalpie"/>
          <w:color w:val="000000" w:themeColor="text1"/>
        </w:rPr>
        <w:footnoteRef/>
      </w:r>
      <w:r w:rsidRPr="00984F9C">
        <w:rPr>
          <w:color w:val="000000" w:themeColor="text1"/>
        </w:rPr>
        <w:t xml:space="preserve"> Ley N° 26.032, “Servicios de internet”, publicada en el B.O. del 17/06/2005.  </w:t>
      </w:r>
    </w:p>
  </w:footnote>
  <w:footnote w:id="45">
    <w:p w:rsidR="0098116B" w:rsidRPr="00984F9C" w:rsidRDefault="0098116B" w:rsidP="0098116B">
      <w:pPr>
        <w:pStyle w:val="Textonotapie"/>
        <w:spacing w:line="360" w:lineRule="auto"/>
        <w:jc w:val="both"/>
        <w:rPr>
          <w:lang w:val="es-AR"/>
        </w:rPr>
      </w:pPr>
      <w:r w:rsidRPr="00984F9C">
        <w:rPr>
          <w:rStyle w:val="Refdenotaalpie"/>
        </w:rPr>
        <w:footnoteRef/>
      </w:r>
      <w:r w:rsidRPr="00984F9C">
        <w:t xml:space="preserve"> </w:t>
      </w:r>
      <w:r w:rsidRPr="00984F9C">
        <w:rPr>
          <w:bCs/>
        </w:rPr>
        <w:t xml:space="preserve">Juzgado Civil y Comercial Federal </w:t>
      </w:r>
      <w:r w:rsidR="00F655A7">
        <w:rPr>
          <w:bCs/>
        </w:rPr>
        <w:t xml:space="preserve">N° </w:t>
      </w:r>
      <w:r w:rsidRPr="00984F9C">
        <w:rPr>
          <w:bCs/>
        </w:rPr>
        <w:t xml:space="preserve">2, </w:t>
      </w:r>
      <w:r w:rsidRPr="00984F9C">
        <w:rPr>
          <w:bCs/>
          <w:i/>
        </w:rPr>
        <w:t>“</w:t>
      </w:r>
      <w:proofErr w:type="spellStart"/>
      <w:r w:rsidRPr="00984F9C">
        <w:rPr>
          <w:bCs/>
          <w:i/>
        </w:rPr>
        <w:t>Vanucci</w:t>
      </w:r>
      <w:proofErr w:type="spellEnd"/>
      <w:r w:rsidRPr="00984F9C">
        <w:rPr>
          <w:bCs/>
          <w:i/>
        </w:rPr>
        <w:t xml:space="preserve">, María Victoria c/ </w:t>
      </w:r>
      <w:proofErr w:type="spellStart"/>
      <w:r w:rsidRPr="00984F9C">
        <w:rPr>
          <w:bCs/>
          <w:i/>
        </w:rPr>
        <w:t>Twitter</w:t>
      </w:r>
      <w:proofErr w:type="spellEnd"/>
      <w:r w:rsidRPr="00984F9C">
        <w:rPr>
          <w:bCs/>
          <w:i/>
        </w:rPr>
        <w:t xml:space="preserve"> inc. s/acción preventiva de daños”, </w:t>
      </w:r>
      <w:r w:rsidRPr="00984F9C">
        <w:rPr>
          <w:bCs/>
        </w:rPr>
        <w:t xml:space="preserve"> 27/12/2016.</w:t>
      </w:r>
    </w:p>
  </w:footnote>
  <w:footnote w:id="46">
    <w:p w:rsidR="0098116B" w:rsidRPr="00984F9C" w:rsidRDefault="0098116B" w:rsidP="0098116B">
      <w:pPr>
        <w:pStyle w:val="Textonotapie"/>
        <w:spacing w:line="360" w:lineRule="auto"/>
        <w:jc w:val="both"/>
      </w:pPr>
      <w:r w:rsidRPr="00984F9C">
        <w:rPr>
          <w:rStyle w:val="Refdenotaalpie"/>
        </w:rPr>
        <w:footnoteRef/>
      </w:r>
      <w:r w:rsidRPr="00984F9C">
        <w:t xml:space="preserve"> </w:t>
      </w:r>
      <w:r w:rsidRPr="00984F9C">
        <w:rPr>
          <w:iCs/>
        </w:rPr>
        <w:t>Tribunal Oral en lo Criminal y Correccional Nº 22,</w:t>
      </w:r>
      <w:r w:rsidRPr="00984F9C">
        <w:rPr>
          <w:i/>
          <w:iCs/>
        </w:rPr>
        <w:t xml:space="preserve"> </w:t>
      </w:r>
      <w:proofErr w:type="spellStart"/>
      <w:r w:rsidRPr="00984F9C">
        <w:rPr>
          <w:bCs/>
          <w:i/>
          <w:iCs/>
        </w:rPr>
        <w:t>Lang</w:t>
      </w:r>
      <w:proofErr w:type="spellEnd"/>
      <w:r w:rsidRPr="00984F9C">
        <w:rPr>
          <w:bCs/>
          <w:i/>
          <w:iCs/>
        </w:rPr>
        <w:t xml:space="preserve">, Mónica Liliana s. Calumnias o falsa imputación e injurias, </w:t>
      </w:r>
      <w:r w:rsidRPr="00984F9C">
        <w:rPr>
          <w:bCs/>
          <w:iCs/>
        </w:rPr>
        <w:t>06/02/2018</w:t>
      </w:r>
      <w:r w:rsidRPr="00984F9C">
        <w:t>.</w:t>
      </w:r>
    </w:p>
  </w:footnote>
  <w:footnote w:id="47">
    <w:p w:rsidR="0098116B" w:rsidRPr="00984F9C" w:rsidRDefault="0098116B" w:rsidP="0098116B">
      <w:pPr>
        <w:pStyle w:val="Textonotapie"/>
        <w:spacing w:line="360" w:lineRule="auto"/>
        <w:jc w:val="both"/>
        <w:rPr>
          <w:lang w:val="es-ES_tradnl"/>
        </w:rPr>
      </w:pPr>
      <w:r w:rsidRPr="00984F9C">
        <w:rPr>
          <w:rStyle w:val="Refdenotaalpie"/>
        </w:rPr>
        <w:footnoteRef/>
      </w:r>
      <w:r w:rsidRPr="00984F9C">
        <w:t xml:space="preserve"> </w:t>
      </w:r>
      <w:r w:rsidRPr="00984F9C">
        <w:rPr>
          <w:lang w:val="es-ES_tradnl"/>
        </w:rPr>
        <w:t>Convención Americana de Derechos Humanos, aprobada por Ley N° 23.054, publicada en el B.O. del 27/03/1984.</w:t>
      </w:r>
    </w:p>
  </w:footnote>
  <w:footnote w:id="48">
    <w:p w:rsidR="0098116B" w:rsidRPr="00984F9C" w:rsidRDefault="0098116B" w:rsidP="0098116B">
      <w:pPr>
        <w:spacing w:line="360" w:lineRule="auto"/>
        <w:jc w:val="both"/>
        <w:rPr>
          <w:color w:val="000000" w:themeColor="text1"/>
          <w:sz w:val="20"/>
          <w:szCs w:val="20"/>
          <w:lang w:eastAsia="es-AR"/>
        </w:rPr>
      </w:pPr>
      <w:r w:rsidRPr="00984F9C">
        <w:rPr>
          <w:rStyle w:val="Refdenotaalpie"/>
          <w:sz w:val="20"/>
          <w:szCs w:val="20"/>
        </w:rPr>
        <w:footnoteRef/>
      </w:r>
      <w:r w:rsidRPr="00984F9C">
        <w:rPr>
          <w:sz w:val="20"/>
          <w:szCs w:val="20"/>
        </w:rPr>
        <w:t xml:space="preserve"> Convención Americana de Derechos Humanos, </w:t>
      </w:r>
      <w:r w:rsidRPr="00984F9C">
        <w:rPr>
          <w:bCs/>
          <w:sz w:val="20"/>
          <w:szCs w:val="20"/>
        </w:rPr>
        <w:t>Artículo 13.  “</w:t>
      </w:r>
      <w:r w:rsidRPr="00984F9C">
        <w:rPr>
          <w:bCs/>
          <w:i/>
          <w:sz w:val="20"/>
          <w:szCs w:val="20"/>
        </w:rPr>
        <w:t>Libertad de Pensamiento y de Expresión, (…)</w:t>
      </w:r>
      <w:r w:rsidRPr="00984F9C">
        <w:rPr>
          <w:i/>
          <w:sz w:val="20"/>
          <w:szCs w:val="20"/>
        </w:rPr>
        <w:t> 5. Estará prohibida por la ley toda propaganda en favor de la guerra y toda apología del odio nacional, rac</w:t>
      </w:r>
      <w:r w:rsidRPr="00984F9C">
        <w:rPr>
          <w:sz w:val="20"/>
          <w:szCs w:val="20"/>
        </w:rPr>
        <w:t xml:space="preserve">ial o religioso que constituyan incitaciones a la violencia o cualquier otra acción ilegal similar contra cualquier persona o grupo de personas, por ningún motivo, inclusive los de raza, color, religión, idioma u origen nacional”. En igual sentido, la Corte Suprema de </w:t>
      </w:r>
      <w:r w:rsidRPr="00984F9C">
        <w:rPr>
          <w:color w:val="000000" w:themeColor="text1"/>
          <w:sz w:val="20"/>
          <w:szCs w:val="20"/>
        </w:rPr>
        <w:t>Estados Unidos: “</w:t>
      </w:r>
      <w:proofErr w:type="spellStart"/>
      <w:r w:rsidRPr="00984F9C">
        <w:rPr>
          <w:color w:val="000000" w:themeColor="text1"/>
          <w:sz w:val="20"/>
          <w:szCs w:val="20"/>
        </w:rPr>
        <w:t>Shenck</w:t>
      </w:r>
      <w:proofErr w:type="spellEnd"/>
      <w:r w:rsidRPr="00984F9C">
        <w:rPr>
          <w:color w:val="000000" w:themeColor="text1"/>
          <w:sz w:val="20"/>
          <w:szCs w:val="20"/>
        </w:rPr>
        <w:t xml:space="preserve"> v. </w:t>
      </w:r>
      <w:proofErr w:type="spellStart"/>
      <w:r w:rsidRPr="00984F9C">
        <w:rPr>
          <w:color w:val="000000" w:themeColor="text1"/>
          <w:sz w:val="20"/>
          <w:szCs w:val="20"/>
        </w:rPr>
        <w:t>United</w:t>
      </w:r>
      <w:proofErr w:type="spellEnd"/>
      <w:r w:rsidRPr="00984F9C">
        <w:rPr>
          <w:color w:val="000000" w:themeColor="text1"/>
          <w:sz w:val="20"/>
          <w:szCs w:val="20"/>
        </w:rPr>
        <w:t xml:space="preserve"> </w:t>
      </w:r>
      <w:proofErr w:type="spellStart"/>
      <w:r w:rsidRPr="00984F9C">
        <w:rPr>
          <w:color w:val="000000" w:themeColor="text1"/>
          <w:sz w:val="20"/>
          <w:szCs w:val="20"/>
        </w:rPr>
        <w:t>States</w:t>
      </w:r>
      <w:proofErr w:type="spellEnd"/>
      <w:r w:rsidRPr="00984F9C">
        <w:rPr>
          <w:color w:val="000000" w:themeColor="text1"/>
          <w:sz w:val="20"/>
          <w:szCs w:val="20"/>
        </w:rPr>
        <w:t xml:space="preserve">”, 249 US 47 (1919), “Dennis v. </w:t>
      </w:r>
      <w:proofErr w:type="spellStart"/>
      <w:r w:rsidRPr="00984F9C">
        <w:rPr>
          <w:color w:val="000000" w:themeColor="text1"/>
          <w:sz w:val="20"/>
          <w:szCs w:val="20"/>
        </w:rPr>
        <w:t>Unites</w:t>
      </w:r>
      <w:proofErr w:type="spellEnd"/>
      <w:r w:rsidRPr="00984F9C">
        <w:rPr>
          <w:color w:val="000000" w:themeColor="text1"/>
          <w:sz w:val="20"/>
          <w:szCs w:val="20"/>
        </w:rPr>
        <w:t xml:space="preserve"> </w:t>
      </w:r>
      <w:proofErr w:type="spellStart"/>
      <w:r w:rsidRPr="00984F9C">
        <w:rPr>
          <w:color w:val="000000" w:themeColor="text1"/>
          <w:sz w:val="20"/>
          <w:szCs w:val="20"/>
        </w:rPr>
        <w:t>States</w:t>
      </w:r>
      <w:proofErr w:type="spellEnd"/>
      <w:r w:rsidRPr="00984F9C">
        <w:rPr>
          <w:color w:val="000000" w:themeColor="text1"/>
          <w:sz w:val="20"/>
          <w:szCs w:val="20"/>
        </w:rPr>
        <w:t xml:space="preserve">”, 341 US 494 (1951), “Yates v. </w:t>
      </w:r>
      <w:proofErr w:type="spellStart"/>
      <w:r w:rsidRPr="00984F9C">
        <w:rPr>
          <w:color w:val="000000" w:themeColor="text1"/>
          <w:sz w:val="20"/>
          <w:szCs w:val="20"/>
        </w:rPr>
        <w:t>United</w:t>
      </w:r>
      <w:proofErr w:type="spellEnd"/>
      <w:r w:rsidRPr="00984F9C">
        <w:rPr>
          <w:color w:val="000000" w:themeColor="text1"/>
          <w:sz w:val="20"/>
          <w:szCs w:val="20"/>
        </w:rPr>
        <w:t xml:space="preserve"> </w:t>
      </w:r>
      <w:proofErr w:type="spellStart"/>
      <w:r w:rsidRPr="00984F9C">
        <w:rPr>
          <w:color w:val="000000" w:themeColor="text1"/>
          <w:sz w:val="20"/>
          <w:szCs w:val="20"/>
        </w:rPr>
        <w:t>States</w:t>
      </w:r>
      <w:proofErr w:type="spellEnd"/>
      <w:r w:rsidRPr="00984F9C">
        <w:rPr>
          <w:color w:val="000000" w:themeColor="text1"/>
          <w:sz w:val="20"/>
          <w:szCs w:val="20"/>
        </w:rPr>
        <w:t>”, 354 U.S. 298 (1957), “</w:t>
      </w:r>
      <w:proofErr w:type="spellStart"/>
      <w:r w:rsidRPr="00984F9C">
        <w:rPr>
          <w:color w:val="000000" w:themeColor="text1"/>
          <w:sz w:val="20"/>
          <w:szCs w:val="20"/>
        </w:rPr>
        <w:t>Branderburg</w:t>
      </w:r>
      <w:proofErr w:type="spellEnd"/>
      <w:r w:rsidRPr="00984F9C">
        <w:rPr>
          <w:color w:val="000000" w:themeColor="text1"/>
          <w:sz w:val="20"/>
          <w:szCs w:val="20"/>
        </w:rPr>
        <w:t xml:space="preserve"> v. Ohio”, 395 US 444 (1969)</w:t>
      </w:r>
      <w:r w:rsidRPr="00984F9C">
        <w:rPr>
          <w:color w:val="000000" w:themeColor="text1"/>
          <w:sz w:val="20"/>
          <w:szCs w:val="20"/>
          <w:lang w:eastAsia="es-AR"/>
        </w:rPr>
        <w:t>. Cámara de Apelaciones en lo Criminal y Correccional Federal, Sala I, “Ortiz Sergio”, sentencia del 8 de julio de 1994, “</w:t>
      </w:r>
      <w:proofErr w:type="spellStart"/>
      <w:r w:rsidRPr="00984F9C">
        <w:rPr>
          <w:color w:val="000000" w:themeColor="text1"/>
          <w:sz w:val="20"/>
          <w:szCs w:val="20"/>
          <w:lang w:eastAsia="es-AR"/>
        </w:rPr>
        <w:t>Bonafini</w:t>
      </w:r>
      <w:proofErr w:type="spellEnd"/>
      <w:r w:rsidRPr="00984F9C">
        <w:rPr>
          <w:color w:val="000000" w:themeColor="text1"/>
          <w:sz w:val="20"/>
          <w:szCs w:val="20"/>
          <w:lang w:eastAsia="es-AR"/>
        </w:rPr>
        <w:t>, Hebe s/sobreseimiento”, 27 de abril de 2006. En particular en relación a la libertad de expresión también puede verse los siguientes casos de la Corte Interamericana de Derechos Humanos: “Herrera Ulloa Vs. Costa Rica</w:t>
      </w:r>
      <w:r w:rsidRPr="00984F9C">
        <w:rPr>
          <w:rStyle w:val="Textoennegrita"/>
          <w:color w:val="000000" w:themeColor="text1"/>
          <w:sz w:val="20"/>
          <w:szCs w:val="20"/>
        </w:rPr>
        <w:t xml:space="preserve">”, </w:t>
      </w:r>
      <w:r w:rsidRPr="00F17ACC">
        <w:rPr>
          <w:rStyle w:val="Textoennegrita"/>
          <w:b w:val="0"/>
          <w:color w:val="000000" w:themeColor="text1"/>
          <w:sz w:val="20"/>
          <w:szCs w:val="20"/>
        </w:rPr>
        <w:t>sentencia del 2 de julio de 2004,</w:t>
      </w:r>
      <w:r w:rsidRPr="00984F9C">
        <w:rPr>
          <w:color w:val="000000" w:themeColor="text1"/>
          <w:sz w:val="20"/>
          <w:szCs w:val="20"/>
        </w:rPr>
        <w:t xml:space="preserve"> serie C No. 107</w:t>
      </w:r>
      <w:r w:rsidRPr="00984F9C">
        <w:rPr>
          <w:rStyle w:val="Textoennegrita"/>
          <w:color w:val="000000" w:themeColor="text1"/>
          <w:sz w:val="20"/>
          <w:szCs w:val="20"/>
        </w:rPr>
        <w:t xml:space="preserve">; </w:t>
      </w:r>
      <w:r w:rsidRPr="00F17ACC">
        <w:rPr>
          <w:rStyle w:val="Textoennegrita"/>
          <w:b w:val="0"/>
          <w:color w:val="000000" w:themeColor="text1"/>
          <w:sz w:val="20"/>
          <w:szCs w:val="20"/>
        </w:rPr>
        <w:t xml:space="preserve">“Ricardo </w:t>
      </w:r>
      <w:proofErr w:type="spellStart"/>
      <w:r w:rsidRPr="00F17ACC">
        <w:rPr>
          <w:rStyle w:val="Textoennegrita"/>
          <w:b w:val="0"/>
          <w:color w:val="000000" w:themeColor="text1"/>
          <w:sz w:val="20"/>
          <w:szCs w:val="20"/>
        </w:rPr>
        <w:t>Canese</w:t>
      </w:r>
      <w:proofErr w:type="spellEnd"/>
      <w:r w:rsidRPr="00F17ACC">
        <w:rPr>
          <w:rStyle w:val="Textoennegrita"/>
          <w:b w:val="0"/>
          <w:color w:val="000000" w:themeColor="text1"/>
          <w:sz w:val="20"/>
          <w:szCs w:val="20"/>
        </w:rPr>
        <w:t xml:space="preserve"> v. Paraguay”, serie C No. 111, sentencia del 31 de agosto de 2004, “</w:t>
      </w:r>
      <w:proofErr w:type="spellStart"/>
      <w:r w:rsidRPr="00F17ACC">
        <w:rPr>
          <w:rStyle w:val="Textoennegrita"/>
          <w:b w:val="0"/>
          <w:color w:val="000000" w:themeColor="text1"/>
          <w:sz w:val="20"/>
          <w:szCs w:val="20"/>
        </w:rPr>
        <w:t>Palamara</w:t>
      </w:r>
      <w:proofErr w:type="spellEnd"/>
      <w:r w:rsidRPr="00F17ACC">
        <w:rPr>
          <w:rStyle w:val="Textoennegrita"/>
          <w:b w:val="0"/>
          <w:color w:val="000000" w:themeColor="text1"/>
          <w:sz w:val="20"/>
          <w:szCs w:val="20"/>
        </w:rPr>
        <w:t xml:space="preserve"> Iribarne Vs. Chile”, sentencia del 22 de noviembre de 2005, serie C No. 135, y “</w:t>
      </w:r>
      <w:proofErr w:type="spellStart"/>
      <w:r w:rsidRPr="00F17ACC">
        <w:rPr>
          <w:rStyle w:val="Textoennegrita"/>
          <w:b w:val="0"/>
          <w:color w:val="000000" w:themeColor="text1"/>
          <w:sz w:val="20"/>
          <w:szCs w:val="20"/>
        </w:rPr>
        <w:t>Fontevecchia</w:t>
      </w:r>
      <w:proofErr w:type="spellEnd"/>
      <w:r w:rsidRPr="00F17ACC">
        <w:rPr>
          <w:rStyle w:val="Textoennegrita"/>
          <w:b w:val="0"/>
          <w:color w:val="000000" w:themeColor="text1"/>
          <w:sz w:val="20"/>
          <w:szCs w:val="20"/>
        </w:rPr>
        <w:t xml:space="preserve"> y </w:t>
      </w:r>
      <w:proofErr w:type="spellStart"/>
      <w:r w:rsidRPr="00F17ACC">
        <w:rPr>
          <w:rStyle w:val="Textoennegrita"/>
          <w:b w:val="0"/>
          <w:color w:val="000000" w:themeColor="text1"/>
          <w:sz w:val="20"/>
          <w:szCs w:val="20"/>
        </w:rPr>
        <w:t>D’amico</w:t>
      </w:r>
      <w:proofErr w:type="spellEnd"/>
      <w:r w:rsidRPr="00F17ACC">
        <w:rPr>
          <w:rStyle w:val="Textoennegrita"/>
          <w:b w:val="0"/>
          <w:color w:val="000000" w:themeColor="text1"/>
          <w:sz w:val="20"/>
          <w:szCs w:val="20"/>
        </w:rPr>
        <w:t xml:space="preserve"> Vs. Argentina”, sentencia del  29 de noviembre de 2011, serie C No. 238.</w:t>
      </w:r>
    </w:p>
  </w:footnote>
  <w:footnote w:id="49">
    <w:p w:rsidR="0098116B" w:rsidRPr="00984F9C" w:rsidRDefault="0098116B" w:rsidP="0098116B">
      <w:pPr>
        <w:pStyle w:val="Ttulo1"/>
        <w:shd w:val="clear" w:color="auto" w:fill="FFFFFF"/>
        <w:spacing w:before="0" w:beforeAutospacing="0" w:after="0" w:afterAutospacing="0" w:line="360" w:lineRule="auto"/>
        <w:jc w:val="both"/>
        <w:rPr>
          <w:b w:val="0"/>
          <w:color w:val="000000" w:themeColor="text1"/>
          <w:sz w:val="20"/>
          <w:szCs w:val="20"/>
        </w:rPr>
      </w:pPr>
      <w:r w:rsidRPr="00984F9C">
        <w:rPr>
          <w:rStyle w:val="Refdenotaalpie"/>
          <w:rFonts w:eastAsia="MS Mincho"/>
          <w:b w:val="0"/>
          <w:color w:val="000000" w:themeColor="text1"/>
          <w:sz w:val="20"/>
          <w:szCs w:val="20"/>
        </w:rPr>
        <w:footnoteRef/>
      </w:r>
      <w:r w:rsidRPr="00984F9C">
        <w:rPr>
          <w:b w:val="0"/>
          <w:color w:val="000000" w:themeColor="text1"/>
          <w:sz w:val="20"/>
          <w:szCs w:val="20"/>
        </w:rPr>
        <w:t xml:space="preserve"> Comunicado de prensa emitido por la Comisión Europea con motivo de la firma de Código de conducta en materia de incitación ilegal al odio en Internet, Bruselas,  31/05/2016, disponible en </w:t>
      </w:r>
      <w:hyperlink r:id="rId4" w:history="1">
        <w:r w:rsidRPr="00984F9C">
          <w:rPr>
            <w:rStyle w:val="Hipervnculo"/>
            <w:b w:val="0"/>
            <w:color w:val="000000" w:themeColor="text1"/>
            <w:sz w:val="20"/>
            <w:szCs w:val="20"/>
          </w:rPr>
          <w:t>http://europa.eu/rapid/press-release</w:t>
        </w:r>
      </w:hyperlink>
      <w:r w:rsidRPr="00984F9C">
        <w:rPr>
          <w:b w:val="0"/>
          <w:color w:val="000000" w:themeColor="text1"/>
          <w:sz w:val="20"/>
          <w:szCs w:val="20"/>
        </w:rPr>
        <w:t xml:space="preserve">  _IP-16-1937_es.htm</w:t>
      </w:r>
    </w:p>
  </w:footnote>
  <w:footnote w:id="50">
    <w:p w:rsidR="0098116B" w:rsidRPr="00984F9C" w:rsidRDefault="0098116B" w:rsidP="0098116B">
      <w:pPr>
        <w:pStyle w:val="Textonotapie"/>
        <w:spacing w:line="360" w:lineRule="auto"/>
        <w:jc w:val="both"/>
        <w:rPr>
          <w:lang w:val="es-AR"/>
        </w:rPr>
      </w:pPr>
      <w:r w:rsidRPr="00984F9C">
        <w:rPr>
          <w:rStyle w:val="Refdenotaalpie"/>
          <w:color w:val="000000" w:themeColor="text1"/>
        </w:rPr>
        <w:footnoteRef/>
      </w:r>
      <w:r w:rsidRPr="00984F9C">
        <w:rPr>
          <w:color w:val="000000" w:themeColor="text1"/>
        </w:rPr>
        <w:t xml:space="preserve"> </w:t>
      </w:r>
      <w:r w:rsidRPr="00984F9C">
        <w:rPr>
          <w:color w:val="000000" w:themeColor="text1"/>
          <w:lang w:val="es-AR"/>
        </w:rPr>
        <w:t xml:space="preserve">Código de conducta en materia de incitación ilegal al odio  en Internet, suscripto por la Comisión Europea y las Compañías  </w:t>
      </w:r>
      <w:proofErr w:type="spellStart"/>
      <w:r w:rsidRPr="00984F9C">
        <w:rPr>
          <w:color w:val="000000" w:themeColor="text1"/>
          <w:lang w:val="es-AR"/>
        </w:rPr>
        <w:t>Facebook</w:t>
      </w:r>
      <w:proofErr w:type="spellEnd"/>
      <w:r w:rsidRPr="00984F9C">
        <w:rPr>
          <w:color w:val="000000" w:themeColor="text1"/>
          <w:lang w:val="es-AR"/>
        </w:rPr>
        <w:t xml:space="preserve">, Microsoft, </w:t>
      </w:r>
      <w:proofErr w:type="spellStart"/>
      <w:r w:rsidRPr="00984F9C">
        <w:rPr>
          <w:color w:val="000000" w:themeColor="text1"/>
          <w:lang w:val="es-AR"/>
        </w:rPr>
        <w:t>Twitter</w:t>
      </w:r>
      <w:proofErr w:type="spellEnd"/>
      <w:r w:rsidRPr="00984F9C">
        <w:rPr>
          <w:color w:val="000000" w:themeColor="text1"/>
          <w:lang w:val="es-AR"/>
        </w:rPr>
        <w:t xml:space="preserve"> y </w:t>
      </w:r>
      <w:proofErr w:type="spellStart"/>
      <w:r w:rsidRPr="00984F9C">
        <w:rPr>
          <w:color w:val="000000" w:themeColor="text1"/>
          <w:lang w:val="es-AR"/>
        </w:rPr>
        <w:t>Yo</w:t>
      </w:r>
      <w:r w:rsidRPr="00984F9C">
        <w:rPr>
          <w:lang w:val="es-AR"/>
        </w:rPr>
        <w:t>uTube</w:t>
      </w:r>
      <w:proofErr w:type="spellEnd"/>
      <w:r w:rsidRPr="00984F9C">
        <w:rPr>
          <w:lang w:val="es-AR"/>
        </w:rPr>
        <w:t xml:space="preserve">, disponible en http://ec.europa.eu/justice/fundamental-rights/files/hate_speech_code_of_conduct_en.pdf. </w:t>
      </w:r>
    </w:p>
  </w:footnote>
  <w:footnote w:id="51">
    <w:p w:rsidR="0098116B" w:rsidRPr="00984F9C" w:rsidRDefault="0098116B" w:rsidP="0098116B">
      <w:pPr>
        <w:pStyle w:val="Textonotapie"/>
        <w:spacing w:line="360" w:lineRule="auto"/>
        <w:jc w:val="both"/>
        <w:rPr>
          <w:b/>
        </w:rPr>
      </w:pPr>
      <w:r w:rsidRPr="00984F9C">
        <w:rPr>
          <w:rStyle w:val="Refdenotaalpie"/>
        </w:rPr>
        <w:footnoteRef/>
      </w:r>
      <w:r w:rsidRPr="00984F9C">
        <w:t xml:space="preserve"> Comunicado de prensa emitido por la Comisión Europea con motivo de la firma de Código de conducta en materia de incitación ilegal al odio en Internet</w:t>
      </w:r>
      <w:r w:rsidRPr="00984F9C">
        <w:rPr>
          <w:b/>
        </w:rPr>
        <w:t xml:space="preserve"> </w:t>
      </w:r>
      <w:r w:rsidRPr="00984F9C">
        <w:t xml:space="preserve">Bruselas, 31/05/2016, disponible en: </w:t>
      </w:r>
      <w:hyperlink r:id="rId5" w:history="1">
        <w:r w:rsidRPr="00984F9C">
          <w:rPr>
            <w:rStyle w:val="Hipervnculo"/>
          </w:rPr>
          <w:t>http://europa.eu/rapid/press-release_IP-16-1937_es.htm</w:t>
        </w:r>
      </w:hyperlink>
      <w:r w:rsidRPr="00984F9C">
        <w:rPr>
          <w:b/>
        </w:rPr>
        <w:t xml:space="preserve"> </w:t>
      </w:r>
    </w:p>
  </w:footnote>
  <w:footnote w:id="52">
    <w:p w:rsidR="0098116B" w:rsidRPr="00984F9C" w:rsidRDefault="0098116B" w:rsidP="0098116B">
      <w:pPr>
        <w:pStyle w:val="Textonotapie"/>
        <w:spacing w:line="360" w:lineRule="auto"/>
        <w:jc w:val="both"/>
      </w:pPr>
      <w:r w:rsidRPr="00984F9C">
        <w:rPr>
          <w:rStyle w:val="Refdenotaalpie"/>
        </w:rPr>
        <w:footnoteRef/>
      </w:r>
      <w:r w:rsidRPr="00984F9C">
        <w:t xml:space="preserve"> “Habla el juez que condenó a la </w:t>
      </w:r>
      <w:proofErr w:type="spellStart"/>
      <w:r w:rsidRPr="00984F9C">
        <w:t>tuitera</w:t>
      </w:r>
      <w:proofErr w:type="spellEnd"/>
      <w:r w:rsidRPr="00984F9C">
        <w:t xml:space="preserve"> por calumnias: “Si hay ejércitos de </w:t>
      </w:r>
      <w:proofErr w:type="spellStart"/>
      <w:r w:rsidRPr="00984F9C">
        <w:t>trolls</w:t>
      </w:r>
      <w:proofErr w:type="spellEnd"/>
      <w:r w:rsidRPr="00984F9C">
        <w:t xml:space="preserve"> es porque las redes sociales facilitan su existencia”, </w:t>
      </w:r>
      <w:proofErr w:type="spellStart"/>
      <w:r w:rsidR="00F17E48">
        <w:t>Infobae</w:t>
      </w:r>
      <w:proofErr w:type="spellEnd"/>
      <w:r w:rsidR="00F17E48">
        <w:t xml:space="preserve">, 19/02/2018, </w:t>
      </w:r>
      <w:r w:rsidRPr="00984F9C">
        <w:t>disponible en www.infobae.com.</w:t>
      </w:r>
    </w:p>
  </w:footnote>
  <w:footnote w:id="53">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ES_tradnl"/>
        </w:rPr>
        <w:t>TRAVIESO, Juan Antonio, “La protección de datos personales: problemas y sistemas”, La Ley., 2014-B-1 del 08/04/14.</w:t>
      </w:r>
    </w:p>
  </w:footnote>
  <w:footnote w:id="54">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lang w:val="es-AR"/>
        </w:rPr>
        <w:t xml:space="preserve"> INSTITUTO NACIONAL DE ESTÁNDARES Y TECNOLOGÍA ESTADOUNIDENSE, </w:t>
      </w:r>
      <w:r w:rsidRPr="00984F9C">
        <w:rPr>
          <w:i/>
          <w:color w:val="000000"/>
          <w:lang w:val="es-AR"/>
        </w:rPr>
        <w:t>“</w:t>
      </w:r>
      <w:proofErr w:type="spellStart"/>
      <w:r w:rsidRPr="00984F9C">
        <w:rPr>
          <w:i/>
          <w:color w:val="000000"/>
          <w:lang w:val="es-AR"/>
        </w:rPr>
        <w:t>The</w:t>
      </w:r>
      <w:proofErr w:type="spellEnd"/>
      <w:r w:rsidRPr="00984F9C">
        <w:rPr>
          <w:i/>
          <w:color w:val="000000"/>
          <w:lang w:val="es-AR"/>
        </w:rPr>
        <w:t xml:space="preserve"> NIST </w:t>
      </w:r>
      <w:proofErr w:type="spellStart"/>
      <w:r w:rsidRPr="00984F9C">
        <w:rPr>
          <w:i/>
          <w:color w:val="000000"/>
          <w:lang w:val="es-AR"/>
        </w:rPr>
        <w:t>definition</w:t>
      </w:r>
      <w:proofErr w:type="spellEnd"/>
      <w:r w:rsidRPr="00984F9C">
        <w:rPr>
          <w:i/>
          <w:color w:val="000000"/>
          <w:lang w:val="es-AR"/>
        </w:rPr>
        <w:t xml:space="preserve"> of Cloud Computing”,</w:t>
      </w:r>
      <w:r w:rsidRPr="00984F9C">
        <w:rPr>
          <w:color w:val="000000"/>
          <w:lang w:val="es-AR"/>
        </w:rPr>
        <w:t xml:space="preserve"> en http:</w:t>
      </w:r>
      <w:r w:rsidRPr="00984F9C">
        <w:rPr>
          <w:i/>
          <w:color w:val="000000"/>
          <w:lang w:val="es-AR"/>
        </w:rPr>
        <w:t xml:space="preserve"> </w:t>
      </w:r>
      <w:r w:rsidRPr="00984F9C">
        <w:rPr>
          <w:color w:val="000000"/>
          <w:lang w:val="es-AR"/>
        </w:rPr>
        <w:t>//csrc.nist.gov/</w:t>
      </w:r>
      <w:proofErr w:type="spellStart"/>
      <w:r w:rsidRPr="00984F9C">
        <w:rPr>
          <w:color w:val="000000"/>
          <w:lang w:val="es-AR"/>
        </w:rPr>
        <w:t>publications</w:t>
      </w:r>
      <w:proofErr w:type="spellEnd"/>
      <w:r w:rsidRPr="00984F9C">
        <w:rPr>
          <w:color w:val="000000"/>
          <w:lang w:val="es-AR"/>
        </w:rPr>
        <w:t>/</w:t>
      </w:r>
      <w:proofErr w:type="spellStart"/>
      <w:r w:rsidRPr="00984F9C">
        <w:rPr>
          <w:color w:val="000000"/>
          <w:lang w:val="es-AR"/>
        </w:rPr>
        <w:t>nitspubs</w:t>
      </w:r>
      <w:proofErr w:type="spellEnd"/>
      <w:r w:rsidRPr="00984F9C">
        <w:rPr>
          <w:color w:val="000000"/>
          <w:lang w:val="es-AR"/>
        </w:rPr>
        <w:t xml:space="preserve">/800-145/SP-800-148.PDF, traducido por, BRITOS, Cristina, “Reflexiones en torno a dos extraños invisibles: el </w:t>
      </w:r>
      <w:proofErr w:type="spellStart"/>
      <w:r w:rsidRPr="00984F9C">
        <w:rPr>
          <w:color w:val="000000"/>
          <w:lang w:val="es-AR"/>
        </w:rPr>
        <w:t>cloud</w:t>
      </w:r>
      <w:proofErr w:type="spellEnd"/>
      <w:r w:rsidRPr="00984F9C">
        <w:rPr>
          <w:color w:val="000000"/>
          <w:lang w:val="es-AR"/>
        </w:rPr>
        <w:t xml:space="preserve"> </w:t>
      </w:r>
      <w:proofErr w:type="spellStart"/>
      <w:r w:rsidRPr="00984F9C">
        <w:rPr>
          <w:color w:val="000000"/>
          <w:lang w:val="es-AR"/>
        </w:rPr>
        <w:t>computing</w:t>
      </w:r>
      <w:proofErr w:type="spellEnd"/>
      <w:r w:rsidRPr="00984F9C">
        <w:rPr>
          <w:color w:val="000000"/>
          <w:lang w:val="es-AR"/>
        </w:rPr>
        <w:t xml:space="preserve"> y </w:t>
      </w:r>
      <w:proofErr w:type="spellStart"/>
      <w:r w:rsidRPr="00984F9C">
        <w:rPr>
          <w:color w:val="000000"/>
          <w:lang w:val="es-AR"/>
        </w:rPr>
        <w:t>big</w:t>
      </w:r>
      <w:proofErr w:type="spellEnd"/>
      <w:r w:rsidRPr="00984F9C">
        <w:rPr>
          <w:color w:val="000000"/>
          <w:lang w:val="es-AR"/>
        </w:rPr>
        <w:t xml:space="preserve"> data”, El Dial, </w:t>
      </w:r>
      <w:hyperlink r:id="rId6" w:history="1">
        <w:r w:rsidRPr="00984F9C">
          <w:rPr>
            <w:rStyle w:val="Hipervnculo"/>
            <w:color w:val="000000"/>
            <w:lang w:val="es-AR"/>
          </w:rPr>
          <w:t>www.eldial.com</w:t>
        </w:r>
      </w:hyperlink>
      <w:r w:rsidRPr="00984F9C">
        <w:rPr>
          <w:color w:val="000000"/>
          <w:lang w:val="es-AR"/>
        </w:rPr>
        <w:t>, DC1BC9.</w:t>
      </w:r>
    </w:p>
  </w:footnote>
  <w:footnote w:id="55">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FRENE, Lisandro, “Privacidad en los “servicios informáticos en la nube”, La Ley 2016-A, 699, Cita online: AR/DOC/3993/2015.</w:t>
      </w:r>
    </w:p>
  </w:footnote>
  <w:footnote w:id="56">
    <w:p w:rsidR="0098116B" w:rsidRPr="00984F9C" w:rsidRDefault="0098116B" w:rsidP="0098116B">
      <w:pPr>
        <w:pStyle w:val="Textonotapie"/>
        <w:spacing w:line="360" w:lineRule="auto"/>
        <w:jc w:val="both"/>
      </w:pPr>
      <w:r w:rsidRPr="00984F9C">
        <w:rPr>
          <w:rStyle w:val="Refdenotaalpie"/>
        </w:rPr>
        <w:footnoteRef/>
      </w:r>
      <w:r w:rsidRPr="00984F9C">
        <w:t xml:space="preserve"> Ver </w:t>
      </w:r>
      <w:r w:rsidRPr="00984F9C">
        <w:rPr>
          <w:color w:val="000000"/>
          <w:lang w:val="es-AR"/>
        </w:rPr>
        <w:t xml:space="preserve">FRENE, Lisandro, “Privacidad en los “servicios informáticos en la nube”, </w:t>
      </w:r>
      <w:proofErr w:type="spellStart"/>
      <w:r w:rsidRPr="00984F9C">
        <w:rPr>
          <w:color w:val="000000"/>
          <w:lang w:val="es-AR"/>
        </w:rPr>
        <w:t>Op</w:t>
      </w:r>
      <w:proofErr w:type="spellEnd"/>
      <w:r w:rsidRPr="00984F9C">
        <w:rPr>
          <w:color w:val="000000"/>
          <w:lang w:val="es-AR"/>
        </w:rPr>
        <w:t xml:space="preserve">. </w:t>
      </w:r>
      <w:proofErr w:type="spellStart"/>
      <w:r w:rsidRPr="00984F9C">
        <w:rPr>
          <w:color w:val="000000"/>
          <w:lang w:val="es-AR"/>
        </w:rPr>
        <w:t>Cit</w:t>
      </w:r>
      <w:proofErr w:type="spellEnd"/>
      <w:r w:rsidRPr="00984F9C">
        <w:rPr>
          <w:color w:val="000000"/>
          <w:lang w:val="es-AR"/>
        </w:rPr>
        <w:t xml:space="preserve">, p.699. </w:t>
      </w:r>
      <w:r w:rsidRPr="00984F9C">
        <w:rPr>
          <w:color w:val="000000"/>
        </w:rPr>
        <w:t xml:space="preserve">AAVV, </w:t>
      </w:r>
      <w:r w:rsidRPr="00984F9C">
        <w:rPr>
          <w:i/>
          <w:color w:val="000000"/>
        </w:rPr>
        <w:t>Protección de datos y habeas data: una visión desde Iberoamérica,</w:t>
      </w:r>
      <w:r w:rsidRPr="00984F9C">
        <w:rPr>
          <w:color w:val="000000"/>
        </w:rPr>
        <w:t xml:space="preserve"> Agencia Española de Protección de Datos, Madrid, España, 2015, p.10.</w:t>
      </w:r>
    </w:p>
  </w:footnote>
  <w:footnote w:id="57">
    <w:p w:rsidR="0098116B" w:rsidRPr="00984F9C" w:rsidRDefault="0098116B" w:rsidP="0098116B">
      <w:pPr>
        <w:pStyle w:val="Textonotapie"/>
        <w:spacing w:line="360" w:lineRule="auto"/>
        <w:jc w:val="both"/>
      </w:pPr>
      <w:r w:rsidRPr="00984F9C">
        <w:rPr>
          <w:rStyle w:val="Refdenotaalpie"/>
        </w:rPr>
        <w:footnoteRef/>
      </w:r>
      <w:r w:rsidRPr="00984F9C">
        <w:t xml:space="preserve"> Resolución N° 12/2017 de la Agencia de Sistemas de Información de la Ciudad Autónoma de Buenos Aires, publicada en el B.O.C.B.A el 01/02/2017</w:t>
      </w:r>
    </w:p>
  </w:footnote>
  <w:footnote w:id="58">
    <w:p w:rsidR="0098116B" w:rsidRPr="00984F9C" w:rsidRDefault="0098116B" w:rsidP="0098116B">
      <w:pPr>
        <w:pStyle w:val="Textonotapie"/>
        <w:spacing w:line="360" w:lineRule="auto"/>
        <w:jc w:val="both"/>
      </w:pPr>
      <w:r w:rsidRPr="00984F9C">
        <w:rPr>
          <w:rStyle w:val="Refdenotaalpie"/>
        </w:rPr>
        <w:footnoteRef/>
      </w:r>
      <w:r w:rsidRPr="00984F9C">
        <w:t xml:space="preserve"> Ley A - Nº 1.845 de la Ciudad Autónoma de Buenos Aires, publicada en el B.O.C.B.A del 03/08/2006.</w:t>
      </w:r>
    </w:p>
  </w:footnote>
  <w:footnote w:id="59">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RODRÍGUEZ VILLAR, Pacífico, “La protección de datos personales y la esfera de actuación de las autoridades de control”, </w:t>
      </w:r>
      <w:r w:rsidRPr="00984F9C">
        <w:t xml:space="preserve">AAVV, </w:t>
      </w:r>
      <w:r w:rsidRPr="00984F9C">
        <w:rPr>
          <w:color w:val="000000"/>
        </w:rPr>
        <w:t xml:space="preserve">Régimen jurídico de los datos personales, </w:t>
      </w:r>
      <w:proofErr w:type="spellStart"/>
      <w:r w:rsidRPr="00984F9C">
        <w:rPr>
          <w:color w:val="000000"/>
        </w:rPr>
        <w:t>Op</w:t>
      </w:r>
      <w:proofErr w:type="spellEnd"/>
      <w:r w:rsidRPr="00984F9C">
        <w:rPr>
          <w:color w:val="000000"/>
        </w:rPr>
        <w:t xml:space="preserve">. </w:t>
      </w:r>
      <w:proofErr w:type="spellStart"/>
      <w:r w:rsidRPr="00984F9C">
        <w:rPr>
          <w:color w:val="000000"/>
        </w:rPr>
        <w:t>Cit</w:t>
      </w:r>
      <w:proofErr w:type="spellEnd"/>
      <w:r w:rsidRPr="00984F9C">
        <w:rPr>
          <w:color w:val="000000"/>
        </w:rPr>
        <w:t xml:space="preserve">, t.1, p. 187. </w:t>
      </w:r>
    </w:p>
  </w:footnote>
  <w:footnote w:id="60">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BRITOS Cristina, “</w:t>
      </w:r>
      <w:r w:rsidRPr="00984F9C">
        <w:rPr>
          <w:color w:val="000000"/>
          <w:lang w:val="es-AR"/>
        </w:rPr>
        <w:t xml:space="preserve">Reflexiones en torno a dos extraños invisibles: el </w:t>
      </w:r>
      <w:proofErr w:type="spellStart"/>
      <w:r w:rsidRPr="00984F9C">
        <w:rPr>
          <w:color w:val="000000"/>
          <w:lang w:val="es-AR"/>
        </w:rPr>
        <w:t>cloud</w:t>
      </w:r>
      <w:proofErr w:type="spellEnd"/>
      <w:r w:rsidRPr="00984F9C">
        <w:rPr>
          <w:color w:val="000000"/>
          <w:lang w:val="es-AR"/>
        </w:rPr>
        <w:t xml:space="preserve"> </w:t>
      </w:r>
      <w:proofErr w:type="spellStart"/>
      <w:r w:rsidRPr="00984F9C">
        <w:rPr>
          <w:color w:val="000000"/>
          <w:lang w:val="es-AR"/>
        </w:rPr>
        <w:t>computing</w:t>
      </w:r>
      <w:proofErr w:type="spellEnd"/>
      <w:r w:rsidRPr="00984F9C">
        <w:rPr>
          <w:color w:val="000000"/>
          <w:lang w:val="es-AR"/>
        </w:rPr>
        <w:t xml:space="preserve"> y </w:t>
      </w:r>
      <w:proofErr w:type="spellStart"/>
      <w:r w:rsidRPr="00984F9C">
        <w:rPr>
          <w:color w:val="000000"/>
          <w:lang w:val="es-AR"/>
        </w:rPr>
        <w:t>big</w:t>
      </w:r>
      <w:proofErr w:type="spellEnd"/>
      <w:r w:rsidRPr="00984F9C">
        <w:rPr>
          <w:color w:val="000000"/>
          <w:lang w:val="es-AR"/>
        </w:rPr>
        <w:t xml:space="preserve"> data”, El Dial, </w:t>
      </w:r>
      <w:hyperlink r:id="rId7" w:history="1">
        <w:r w:rsidRPr="00984F9C">
          <w:rPr>
            <w:rStyle w:val="Hipervnculo"/>
            <w:color w:val="000000"/>
            <w:lang w:val="es-AR"/>
          </w:rPr>
          <w:t>www.eldial.com</w:t>
        </w:r>
      </w:hyperlink>
      <w:r w:rsidRPr="00984F9C">
        <w:rPr>
          <w:color w:val="000000"/>
          <w:lang w:val="es-AR"/>
        </w:rPr>
        <w:t>, DC1BC9</w:t>
      </w:r>
      <w:r w:rsidRPr="00984F9C">
        <w:rPr>
          <w:color w:val="000000"/>
        </w:rPr>
        <w:t>.</w:t>
      </w:r>
    </w:p>
  </w:footnote>
  <w:footnote w:id="61">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BASTERRA, Marcela I., </w:t>
      </w:r>
      <w:r w:rsidRPr="00984F9C">
        <w:rPr>
          <w:bCs/>
          <w:color w:val="000000"/>
        </w:rPr>
        <w:t>“Datos personales para fines publicitarios. A propósito de la Disposición 4/2009 de la DNPDP”</w:t>
      </w:r>
      <w:r w:rsidRPr="00984F9C">
        <w:rPr>
          <w:color w:val="000000"/>
        </w:rPr>
        <w:t xml:space="preserve">. </w:t>
      </w:r>
      <w:proofErr w:type="spellStart"/>
      <w:r w:rsidRPr="00984F9C">
        <w:rPr>
          <w:color w:val="000000"/>
        </w:rPr>
        <w:t>Op</w:t>
      </w:r>
      <w:proofErr w:type="spellEnd"/>
      <w:r w:rsidRPr="00984F9C">
        <w:rPr>
          <w:color w:val="000000"/>
        </w:rPr>
        <w:t>. Cit., p. 1.</w:t>
      </w:r>
    </w:p>
  </w:footnote>
  <w:footnote w:id="62">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Véase de ÁLVAREZ CIVANTOS, Oscar J., Normas para la implementación de una eficaz protección de datos de carácter personal en empresas y entidades, Ed. </w:t>
      </w:r>
      <w:proofErr w:type="spellStart"/>
      <w:r w:rsidRPr="00984F9C">
        <w:rPr>
          <w:color w:val="000000"/>
        </w:rPr>
        <w:t>Comares</w:t>
      </w:r>
      <w:proofErr w:type="spellEnd"/>
      <w:r w:rsidRPr="00984F9C">
        <w:rPr>
          <w:color w:val="000000"/>
        </w:rPr>
        <w:t>, Granada, España, 2002, p. 73/75.</w:t>
      </w:r>
    </w:p>
  </w:footnote>
  <w:footnote w:id="63">
    <w:p w:rsidR="0098116B" w:rsidRPr="00984F9C" w:rsidRDefault="0098116B" w:rsidP="0098116B">
      <w:pPr>
        <w:pStyle w:val="Textonotapie"/>
        <w:spacing w:line="360" w:lineRule="auto"/>
        <w:jc w:val="both"/>
      </w:pPr>
      <w:r w:rsidRPr="00984F9C">
        <w:rPr>
          <w:rStyle w:val="Refdenotaalpie"/>
        </w:rPr>
        <w:footnoteRef/>
      </w:r>
      <w:r w:rsidRPr="00984F9C">
        <w:t xml:space="preserve"> BASTERRA, Marcela I., </w:t>
      </w:r>
      <w:r w:rsidRPr="00984F9C">
        <w:rPr>
          <w:i/>
        </w:rPr>
        <w:t>“La protección de datos personales frente a las nuevas tecnologías</w:t>
      </w:r>
      <w:r w:rsidRPr="00984F9C">
        <w:t xml:space="preserve">”, </w:t>
      </w:r>
      <w:proofErr w:type="spellStart"/>
      <w:r w:rsidRPr="00984F9C">
        <w:t>Microjuris</w:t>
      </w:r>
      <w:proofErr w:type="spellEnd"/>
      <w:r w:rsidRPr="00984F9C">
        <w:t>, Ciudad Autónoma de Buenos Aires, 2/09/2016.</w:t>
      </w:r>
    </w:p>
  </w:footnote>
  <w:footnote w:id="64">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w:t>
      </w:r>
      <w:r w:rsidRPr="00984F9C">
        <w:rPr>
          <w:color w:val="000000"/>
          <w:lang w:val="es-AR"/>
        </w:rPr>
        <w:t xml:space="preserve">GRANERO, Horacio R., “Internet de la cosas, luces y sombras”, El Dial 18/11/2015, </w:t>
      </w:r>
      <w:proofErr w:type="spellStart"/>
      <w:r w:rsidRPr="00984F9C">
        <w:rPr>
          <w:color w:val="000000"/>
          <w:lang w:val="es-AR"/>
        </w:rPr>
        <w:t>elDial</w:t>
      </w:r>
      <w:proofErr w:type="spellEnd"/>
      <w:r w:rsidRPr="00984F9C">
        <w:rPr>
          <w:color w:val="000000"/>
          <w:lang w:val="es-AR"/>
        </w:rPr>
        <w:t xml:space="preserve"> DC2039. </w:t>
      </w:r>
    </w:p>
  </w:footnote>
  <w:footnote w:id="65">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BASTERRA, Marcela I., </w:t>
      </w:r>
      <w:r w:rsidRPr="00984F9C">
        <w:rPr>
          <w:bCs/>
          <w:color w:val="000000"/>
        </w:rPr>
        <w:t xml:space="preserve">“Datos personales para fines publicitarios. A propósito de la Disposición 4/2009 de la DNPDP”. </w:t>
      </w:r>
      <w:proofErr w:type="spellStart"/>
      <w:r w:rsidRPr="00984F9C">
        <w:rPr>
          <w:bCs/>
          <w:color w:val="000000"/>
        </w:rPr>
        <w:t>Op</w:t>
      </w:r>
      <w:proofErr w:type="spellEnd"/>
      <w:r w:rsidRPr="00984F9C">
        <w:rPr>
          <w:bCs/>
          <w:color w:val="000000"/>
        </w:rPr>
        <w:t>. Cit.</w:t>
      </w:r>
    </w:p>
  </w:footnote>
  <w:footnote w:id="66">
    <w:p w:rsidR="0098116B" w:rsidRPr="00984F9C" w:rsidRDefault="0098116B" w:rsidP="0098116B">
      <w:pPr>
        <w:pStyle w:val="Textonotapie"/>
        <w:spacing w:line="360" w:lineRule="auto"/>
        <w:jc w:val="both"/>
      </w:pPr>
      <w:r w:rsidRPr="00984F9C">
        <w:rPr>
          <w:rStyle w:val="Refdenotaalpie"/>
          <w:color w:val="000000"/>
        </w:rPr>
        <w:footnoteRef/>
      </w:r>
      <w:r w:rsidRPr="00984F9C">
        <w:rPr>
          <w:color w:val="000000"/>
        </w:rPr>
        <w:t xml:space="preserve"> BRITOS, Cristina, “</w:t>
      </w:r>
      <w:r w:rsidRPr="00984F9C">
        <w:rPr>
          <w:color w:val="000000"/>
          <w:lang w:val="es-AR"/>
        </w:rPr>
        <w:t xml:space="preserve">Reflexiones en torno a dos extraños invisibles: el </w:t>
      </w:r>
      <w:proofErr w:type="spellStart"/>
      <w:r w:rsidRPr="00984F9C">
        <w:rPr>
          <w:color w:val="000000"/>
          <w:lang w:val="es-AR"/>
        </w:rPr>
        <w:t>cloud</w:t>
      </w:r>
      <w:proofErr w:type="spellEnd"/>
      <w:r w:rsidRPr="00984F9C">
        <w:rPr>
          <w:color w:val="000000"/>
          <w:lang w:val="es-AR"/>
        </w:rPr>
        <w:t xml:space="preserve"> </w:t>
      </w:r>
      <w:proofErr w:type="spellStart"/>
      <w:r w:rsidRPr="00984F9C">
        <w:rPr>
          <w:color w:val="000000"/>
          <w:lang w:val="es-AR"/>
        </w:rPr>
        <w:t>computing</w:t>
      </w:r>
      <w:proofErr w:type="spellEnd"/>
      <w:r w:rsidRPr="00984F9C">
        <w:rPr>
          <w:color w:val="000000"/>
          <w:lang w:val="es-AR"/>
        </w:rPr>
        <w:t xml:space="preserve"> y </w:t>
      </w:r>
      <w:proofErr w:type="spellStart"/>
      <w:r w:rsidRPr="00984F9C">
        <w:rPr>
          <w:color w:val="000000"/>
          <w:lang w:val="es-AR"/>
        </w:rPr>
        <w:t>big</w:t>
      </w:r>
      <w:proofErr w:type="spellEnd"/>
      <w:r w:rsidRPr="00984F9C">
        <w:rPr>
          <w:color w:val="000000"/>
          <w:lang w:val="es-AR"/>
        </w:rPr>
        <w:t xml:space="preserve"> data”, </w:t>
      </w:r>
      <w:proofErr w:type="spellStart"/>
      <w:r w:rsidRPr="00984F9C">
        <w:rPr>
          <w:color w:val="000000"/>
        </w:rPr>
        <w:t>Op.Cit</w:t>
      </w:r>
      <w:proofErr w:type="spellEnd"/>
      <w:r w:rsidRPr="00984F9C">
        <w:rPr>
          <w:color w:val="000000"/>
        </w:rPr>
        <w:t>.</w:t>
      </w:r>
    </w:p>
  </w:footnote>
  <w:footnote w:id="67">
    <w:p w:rsidR="0098116B" w:rsidRPr="00984F9C" w:rsidRDefault="0098116B" w:rsidP="0098116B">
      <w:pPr>
        <w:spacing w:line="360" w:lineRule="auto"/>
        <w:jc w:val="both"/>
        <w:rPr>
          <w:rFonts w:eastAsia="Times New Roman"/>
          <w:color w:val="495062"/>
          <w:sz w:val="20"/>
          <w:szCs w:val="20"/>
          <w:lang w:eastAsia="es-AR"/>
        </w:rPr>
      </w:pPr>
      <w:r w:rsidRPr="00984F9C">
        <w:rPr>
          <w:rStyle w:val="Refdenotaalpie"/>
          <w:sz w:val="20"/>
          <w:szCs w:val="20"/>
        </w:rPr>
        <w:footnoteRef/>
      </w:r>
      <w:r w:rsidRPr="00984F9C">
        <w:rPr>
          <w:sz w:val="20"/>
          <w:szCs w:val="20"/>
        </w:rPr>
        <w:t xml:space="preserve"> CARREGA, Alberto Félix, “Media sanción para el nuevo proyecto de ley unificado en materia de Responsabilidad de lo</w:t>
      </w:r>
      <w:r w:rsidRPr="00984F9C">
        <w:rPr>
          <w:b/>
          <w:sz w:val="20"/>
          <w:szCs w:val="20"/>
        </w:rPr>
        <w:t xml:space="preserve">s </w:t>
      </w:r>
      <w:r w:rsidRPr="00984F9C">
        <w:rPr>
          <w:sz w:val="20"/>
          <w:szCs w:val="20"/>
        </w:rPr>
        <w:t xml:space="preserve">Proveedores de Servicios de Internet (ISP)”, 7/12/2016, disponible en </w:t>
      </w:r>
      <w:r w:rsidRPr="00984F9C">
        <w:rPr>
          <w:rFonts w:eastAsia="Times New Roman"/>
          <w:bCs/>
          <w:color w:val="000000"/>
          <w:sz w:val="20"/>
          <w:szCs w:val="20"/>
          <w:lang w:eastAsia="es-AR"/>
        </w:rPr>
        <w:t>www.abogados.com.ar.</w:t>
      </w:r>
    </w:p>
  </w:footnote>
  <w:footnote w:id="68">
    <w:p w:rsidR="0098116B" w:rsidRPr="00984F9C" w:rsidRDefault="0098116B" w:rsidP="0098116B">
      <w:pPr>
        <w:pStyle w:val="Textonotapie"/>
        <w:spacing w:line="360" w:lineRule="auto"/>
        <w:jc w:val="both"/>
      </w:pPr>
      <w:r w:rsidRPr="00984F9C">
        <w:rPr>
          <w:rStyle w:val="Refdenotaalpie"/>
        </w:rPr>
        <w:footnoteRef/>
      </w:r>
      <w:r w:rsidRPr="00984F9C">
        <w:t xml:space="preserve"> Ver Orden del día N° 2098 de las comisiones de Comunicaciones e Informática, Defensa del Consumidor, del Usuario y de la Competencia y de Justicia, 15 de noviembre de 2017.</w:t>
      </w:r>
    </w:p>
  </w:footnote>
  <w:footnote w:id="69">
    <w:p w:rsidR="0098116B" w:rsidRPr="00984F9C" w:rsidRDefault="0098116B" w:rsidP="0098116B">
      <w:pPr>
        <w:pStyle w:val="Textonotapie"/>
        <w:spacing w:line="360" w:lineRule="auto"/>
        <w:jc w:val="both"/>
      </w:pPr>
      <w:r w:rsidRPr="00984F9C">
        <w:rPr>
          <w:rStyle w:val="Refdenotaalpie"/>
        </w:rPr>
        <w:footnoteRef/>
      </w:r>
      <w:r w:rsidRPr="00984F9C">
        <w:t xml:space="preserve"> Ver artículo 3° del proyecto de ley.</w:t>
      </w:r>
    </w:p>
  </w:footnote>
  <w:footnote w:id="70">
    <w:p w:rsidR="0098116B" w:rsidRPr="00984F9C" w:rsidRDefault="0098116B" w:rsidP="0098116B">
      <w:pPr>
        <w:pStyle w:val="Textonotapie"/>
        <w:spacing w:line="360" w:lineRule="auto"/>
        <w:jc w:val="both"/>
      </w:pPr>
      <w:r w:rsidRPr="00984F9C">
        <w:rPr>
          <w:rStyle w:val="Refdenotaalpie"/>
        </w:rPr>
        <w:footnoteRef/>
      </w:r>
      <w:r w:rsidRPr="00984F9C">
        <w:t xml:space="preserve"> Ver FERNÁNDEZ DELPECH, Horacio “Responsabilidades civiles de los proveedores de servicio de internet”, </w:t>
      </w:r>
      <w:proofErr w:type="spellStart"/>
      <w:r w:rsidRPr="00984F9C">
        <w:t>Op</w:t>
      </w:r>
      <w:proofErr w:type="spellEnd"/>
      <w:r w:rsidRPr="00984F9C">
        <w:t xml:space="preserve">. Cit. p.1; PALAZZI, Pablo A. “Responsabilidad de buscadores de internet. </w:t>
      </w:r>
      <w:proofErr w:type="spellStart"/>
      <w:r w:rsidRPr="00984F9C">
        <w:t>Notice</w:t>
      </w:r>
      <w:proofErr w:type="spellEnd"/>
      <w:r w:rsidRPr="00984F9C">
        <w:t xml:space="preserve"> &amp; </w:t>
      </w:r>
      <w:proofErr w:type="spellStart"/>
      <w:r w:rsidRPr="00984F9C">
        <w:t>Take</w:t>
      </w:r>
      <w:proofErr w:type="spellEnd"/>
      <w:r w:rsidRPr="00984F9C">
        <w:t xml:space="preserve"> </w:t>
      </w:r>
      <w:proofErr w:type="spellStart"/>
      <w:r w:rsidRPr="00984F9C">
        <w:t>down</w:t>
      </w:r>
      <w:proofErr w:type="spellEnd"/>
      <w:r w:rsidRPr="00984F9C">
        <w:t xml:space="preserve"> con sabor argentino”,</w:t>
      </w:r>
    </w:p>
  </w:footnote>
  <w:footnote w:id="71">
    <w:p w:rsidR="0098116B" w:rsidRPr="00984F9C" w:rsidRDefault="0098116B" w:rsidP="0098116B">
      <w:pPr>
        <w:pStyle w:val="Textonotapie"/>
        <w:spacing w:line="360" w:lineRule="auto"/>
        <w:jc w:val="both"/>
      </w:pPr>
      <w:r w:rsidRPr="00984F9C">
        <w:rPr>
          <w:rStyle w:val="Refdenotaalpie"/>
        </w:rPr>
        <w:footnoteRef/>
      </w:r>
      <w:r w:rsidRPr="00984F9C">
        <w:t xml:space="preserve"> Ver artículo 5° del proyecto de ley.</w:t>
      </w:r>
    </w:p>
  </w:footnote>
  <w:footnote w:id="72">
    <w:p w:rsidR="0098116B" w:rsidRPr="00984F9C" w:rsidRDefault="0098116B" w:rsidP="0098116B">
      <w:pPr>
        <w:pStyle w:val="Textonotapie"/>
        <w:spacing w:line="360" w:lineRule="auto"/>
        <w:jc w:val="both"/>
        <w:rPr>
          <w:color w:val="000000" w:themeColor="text1"/>
        </w:rPr>
      </w:pPr>
      <w:r w:rsidRPr="00984F9C">
        <w:rPr>
          <w:rStyle w:val="Refdenotaalpie"/>
          <w:color w:val="000000" w:themeColor="text1"/>
        </w:rPr>
        <w:footnoteRef/>
      </w:r>
      <w:r w:rsidRPr="00984F9C">
        <w:rPr>
          <w:color w:val="000000" w:themeColor="text1"/>
        </w:rPr>
        <w:t xml:space="preserve">  Ver el punto 3. Los buscadores de Internet y la ley de protección de datos personales. </w:t>
      </w:r>
    </w:p>
  </w:footnote>
  <w:footnote w:id="73">
    <w:p w:rsidR="0098116B" w:rsidRPr="00984F9C" w:rsidRDefault="0098116B" w:rsidP="0098116B">
      <w:pPr>
        <w:suppressLineNumbers/>
        <w:suppressAutoHyphens/>
        <w:spacing w:line="360" w:lineRule="auto"/>
        <w:jc w:val="both"/>
        <w:rPr>
          <w:rFonts w:eastAsia="Times New Roman"/>
          <w:color w:val="000000" w:themeColor="text1"/>
          <w:sz w:val="20"/>
          <w:szCs w:val="20"/>
          <w:lang w:eastAsia="es-AR"/>
        </w:rPr>
      </w:pPr>
      <w:r w:rsidRPr="00984F9C">
        <w:rPr>
          <w:rStyle w:val="Refdenotaalpie"/>
          <w:color w:val="000000" w:themeColor="text1"/>
          <w:sz w:val="20"/>
          <w:szCs w:val="20"/>
        </w:rPr>
        <w:footnoteRef/>
      </w:r>
      <w:r w:rsidRPr="00984F9C">
        <w:rPr>
          <w:color w:val="000000" w:themeColor="text1"/>
          <w:sz w:val="20"/>
          <w:szCs w:val="20"/>
        </w:rPr>
        <w:t xml:space="preserve"> CARESTIA, Federico S., “</w:t>
      </w:r>
      <w:r w:rsidRPr="00984F9C">
        <w:rPr>
          <w:rFonts w:eastAsia="Times New Roman"/>
          <w:color w:val="000000" w:themeColor="text1"/>
          <w:sz w:val="20"/>
          <w:szCs w:val="20"/>
          <w:lang w:eastAsia="es-AR"/>
        </w:rPr>
        <w:t>El factor de atribución subjetivo en la responsabilidad de los buscadores de internet”, RCyS2015-XII, 26, Cita Online: AR/DOC/3609/2015.</w:t>
      </w:r>
    </w:p>
  </w:footnote>
  <w:footnote w:id="74">
    <w:p w:rsidR="0098116B" w:rsidRPr="00984F9C" w:rsidRDefault="0098116B" w:rsidP="00A72CF1">
      <w:pPr>
        <w:pStyle w:val="Textonotapie"/>
        <w:spacing w:line="360" w:lineRule="auto"/>
        <w:jc w:val="both"/>
      </w:pPr>
      <w:r w:rsidRPr="00984F9C">
        <w:rPr>
          <w:rStyle w:val="Refdenotaalpie"/>
        </w:rPr>
        <w:footnoteRef/>
      </w:r>
      <w:r w:rsidRPr="00984F9C">
        <w:t xml:space="preserve"> CARREGA, Alberto Félix, “Media sanción para el nuevo proyecto de ley unificado en materia de Responsabilidad de los Proveedores de Servicios de Internet (ISP)”, 7/12/2016, disponible en www.abogados.com.ar</w:t>
      </w:r>
      <w:r w:rsidR="00984F9C" w:rsidRPr="00984F9C">
        <w:t>.</w:t>
      </w:r>
    </w:p>
  </w:footnote>
  <w:footnote w:id="75">
    <w:p w:rsidR="0098116B" w:rsidRPr="00984F9C" w:rsidRDefault="0098116B" w:rsidP="00A72CF1">
      <w:pPr>
        <w:pStyle w:val="Textonotapie"/>
        <w:spacing w:line="360" w:lineRule="auto"/>
        <w:jc w:val="both"/>
        <w:rPr>
          <w:color w:val="000000" w:themeColor="text1"/>
        </w:rPr>
      </w:pPr>
      <w:r w:rsidRPr="00984F9C">
        <w:rPr>
          <w:rStyle w:val="Refdenotaalpie"/>
          <w:color w:val="000000" w:themeColor="text1"/>
        </w:rPr>
        <w:footnoteRef/>
      </w:r>
      <w:r w:rsidRPr="00984F9C">
        <w:rPr>
          <w:color w:val="000000" w:themeColor="text1"/>
        </w:rPr>
        <w:t xml:space="preserve"> Corte Suprema de Justicia de la Nación, </w:t>
      </w:r>
      <w:r w:rsidRPr="00984F9C">
        <w:rPr>
          <w:i/>
          <w:color w:val="000000" w:themeColor="text1"/>
        </w:rPr>
        <w:t>“</w:t>
      </w:r>
      <w:r w:rsidRPr="00984F9C">
        <w:rPr>
          <w:bCs/>
          <w:i/>
          <w:color w:val="000000" w:themeColor="text1"/>
        </w:rPr>
        <w:t>Rodríguez, María Belén c/ Google Inc. s/ daños y perjuicios”</w:t>
      </w:r>
      <w:r w:rsidRPr="00984F9C">
        <w:rPr>
          <w:bCs/>
          <w:color w:val="000000" w:themeColor="text1"/>
        </w:rPr>
        <w:t xml:space="preserve">, </w:t>
      </w:r>
      <w:r w:rsidRPr="00984F9C">
        <w:rPr>
          <w:color w:val="000000" w:themeColor="text1"/>
        </w:rPr>
        <w:t>28/10/2014, considerando 18</w:t>
      </w:r>
    </w:p>
  </w:footnote>
  <w:footnote w:id="76">
    <w:p w:rsidR="0098116B" w:rsidRPr="00984F9C" w:rsidRDefault="0098116B" w:rsidP="0098116B">
      <w:pPr>
        <w:pStyle w:val="Textonotapie"/>
        <w:spacing w:line="360" w:lineRule="auto"/>
        <w:jc w:val="both"/>
        <w:rPr>
          <w:color w:val="000000" w:themeColor="text1"/>
        </w:rPr>
      </w:pPr>
      <w:r w:rsidRPr="00984F9C">
        <w:rPr>
          <w:rStyle w:val="Refdenotaalpie"/>
          <w:color w:val="000000" w:themeColor="text1"/>
        </w:rPr>
        <w:footnoteRef/>
      </w:r>
      <w:r w:rsidRPr="00984F9C">
        <w:rPr>
          <w:color w:val="000000" w:themeColor="text1"/>
        </w:rPr>
        <w:t xml:space="preserve"> Ver </w:t>
      </w:r>
      <w:r w:rsidRPr="00984F9C">
        <w:rPr>
          <w:color w:val="000000" w:themeColor="text1"/>
          <w:lang w:val="es-AR"/>
        </w:rPr>
        <w:t xml:space="preserve">Conclusiones de la Comisión N° 10 “Derecho comparado. Daños derivados de la actividad de internet”, en las XXV Jornadas Nacionales de Derecho Civil, </w:t>
      </w:r>
      <w:r w:rsidRPr="00984F9C">
        <w:rPr>
          <w:rFonts w:eastAsiaTheme="minorHAnsi"/>
          <w:color w:val="000000" w:themeColor="text1"/>
          <w:lang w:val="es-AR" w:eastAsia="en-US"/>
        </w:rPr>
        <w:t>Universidad Nacional de Sur, 1, 2 y 3 de octubre de 2015.</w:t>
      </w:r>
    </w:p>
  </w:footnote>
  <w:footnote w:id="77">
    <w:p w:rsidR="0098116B" w:rsidRPr="00984F9C" w:rsidRDefault="0098116B" w:rsidP="0098116B">
      <w:pPr>
        <w:pStyle w:val="Textonotapie"/>
        <w:spacing w:line="360" w:lineRule="auto"/>
        <w:jc w:val="both"/>
      </w:pPr>
      <w:r w:rsidRPr="00984F9C">
        <w:rPr>
          <w:rStyle w:val="Refdenotaalpie"/>
        </w:rPr>
        <w:footnoteRef/>
      </w:r>
      <w:r w:rsidRPr="00984F9C">
        <w:t xml:space="preserve"> Ver BASTERRA, Marcela I., </w:t>
      </w:r>
      <w:r w:rsidRPr="00984F9C">
        <w:rPr>
          <w:i/>
        </w:rPr>
        <w:t>Derecho a la Información vs. Derecho a la Intimidad,</w:t>
      </w:r>
      <w:r w:rsidRPr="00984F9C">
        <w:t xml:space="preserve"> </w:t>
      </w:r>
      <w:proofErr w:type="spellStart"/>
      <w:r w:rsidRPr="00984F9C">
        <w:t>Rubinzal</w:t>
      </w:r>
      <w:proofErr w:type="spellEnd"/>
      <w:r w:rsidRPr="00984F9C">
        <w:t xml:space="preserve"> </w:t>
      </w:r>
      <w:proofErr w:type="spellStart"/>
      <w:r w:rsidRPr="00984F9C">
        <w:t>Culzoni</w:t>
      </w:r>
      <w:proofErr w:type="spellEnd"/>
      <w:r w:rsidRPr="00984F9C">
        <w:t xml:space="preserve"> Editores, Santa Fe, 2012,</w:t>
      </w:r>
    </w:p>
  </w:footnote>
  <w:footnote w:id="78">
    <w:p w:rsidR="0098116B" w:rsidRPr="00D958A0" w:rsidRDefault="0098116B" w:rsidP="0098116B">
      <w:pPr>
        <w:pStyle w:val="Textonotapie"/>
        <w:spacing w:line="360" w:lineRule="auto"/>
        <w:jc w:val="both"/>
        <w:rPr>
          <w:color w:val="000000" w:themeColor="text1"/>
        </w:rPr>
      </w:pPr>
      <w:r w:rsidRPr="00984F9C">
        <w:rPr>
          <w:rStyle w:val="Refdenotaalpie"/>
          <w:color w:val="000000" w:themeColor="text1"/>
        </w:rPr>
        <w:footnoteRef/>
      </w:r>
      <w:r w:rsidRPr="00984F9C">
        <w:rPr>
          <w:color w:val="000000" w:themeColor="text1"/>
        </w:rPr>
        <w:t xml:space="preserve"> </w:t>
      </w:r>
      <w:r w:rsidRPr="00984F9C">
        <w:rPr>
          <w:color w:val="000000" w:themeColor="text1"/>
          <w:lang w:val="es-AR"/>
        </w:rPr>
        <w:t xml:space="preserve">Ver LOBATO, Andrea E., KABBAS, Diego N., DE LUCIO, Jorge L., “Computación en la nube. Desafíos de los estados y de los ciudadanos. La privacidad de la información personal.”, en </w:t>
      </w:r>
      <w:r w:rsidRPr="00984F9C">
        <w:rPr>
          <w:color w:val="000000" w:themeColor="text1"/>
        </w:rPr>
        <w:t xml:space="preserve">Régimen jurídico de los datos personales, </w:t>
      </w:r>
      <w:proofErr w:type="spellStart"/>
      <w:r w:rsidRPr="00984F9C">
        <w:rPr>
          <w:color w:val="000000" w:themeColor="text1"/>
        </w:rPr>
        <w:t>Op</w:t>
      </w:r>
      <w:proofErr w:type="spellEnd"/>
      <w:r w:rsidRPr="00984F9C">
        <w:rPr>
          <w:color w:val="000000" w:themeColor="text1"/>
        </w:rPr>
        <w:t>. Cit., t.1, p.46</w:t>
      </w:r>
      <w:r w:rsidRPr="00D939ED">
        <w:rPr>
          <w:color w:val="000000" w:themeColor="text1"/>
        </w:rPr>
        <w:t>5.</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hyphenationZone w:val="425"/>
  <w:characterSpacingControl w:val="doNotCompress"/>
  <w:footnotePr>
    <w:footnote w:id="-1"/>
    <w:footnote w:id="0"/>
  </w:footnotePr>
  <w:endnotePr>
    <w:endnote w:id="-1"/>
    <w:endnote w:id="0"/>
  </w:endnotePr>
  <w:compat/>
  <w:rsids>
    <w:rsidRoot w:val="0098116B"/>
    <w:rsid w:val="000048A9"/>
    <w:rsid w:val="00113266"/>
    <w:rsid w:val="001A70D4"/>
    <w:rsid w:val="003442C9"/>
    <w:rsid w:val="00395E26"/>
    <w:rsid w:val="0040420C"/>
    <w:rsid w:val="0042669D"/>
    <w:rsid w:val="004450F9"/>
    <w:rsid w:val="0045590C"/>
    <w:rsid w:val="0058207D"/>
    <w:rsid w:val="00767268"/>
    <w:rsid w:val="007848E8"/>
    <w:rsid w:val="00787C85"/>
    <w:rsid w:val="007D4907"/>
    <w:rsid w:val="008A165E"/>
    <w:rsid w:val="008A2DF7"/>
    <w:rsid w:val="00912FC2"/>
    <w:rsid w:val="0098116B"/>
    <w:rsid w:val="00984F9C"/>
    <w:rsid w:val="00A72CF1"/>
    <w:rsid w:val="00B04B34"/>
    <w:rsid w:val="00C74467"/>
    <w:rsid w:val="00D25663"/>
    <w:rsid w:val="00DD0392"/>
    <w:rsid w:val="00EC6770"/>
    <w:rsid w:val="00F17ACC"/>
    <w:rsid w:val="00F17E48"/>
    <w:rsid w:val="00F655A7"/>
    <w:rsid w:val="00F6566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16B"/>
    <w:pPr>
      <w:spacing w:after="0" w:line="240" w:lineRule="auto"/>
    </w:pPr>
    <w:rPr>
      <w:rFonts w:ascii="Times New Roman" w:eastAsia="MS Mincho" w:hAnsi="Times New Roman" w:cs="Times New Roman"/>
      <w:sz w:val="24"/>
      <w:szCs w:val="24"/>
      <w:lang w:val="es-ES" w:eastAsia="ja-JP"/>
    </w:rPr>
  </w:style>
  <w:style w:type="paragraph" w:styleId="Ttulo1">
    <w:name w:val="heading 1"/>
    <w:basedOn w:val="Normal"/>
    <w:link w:val="Ttulo1Car"/>
    <w:uiPriority w:val="9"/>
    <w:qFormat/>
    <w:rsid w:val="0098116B"/>
    <w:pPr>
      <w:spacing w:before="100" w:beforeAutospacing="1" w:after="100" w:afterAutospacing="1"/>
      <w:outlineLvl w:val="0"/>
    </w:pPr>
    <w:rPr>
      <w:rFonts w:eastAsia="Times New Roman"/>
      <w:b/>
      <w:bCs/>
      <w:kern w:val="36"/>
      <w:sz w:val="48"/>
      <w:szCs w:val="48"/>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116B"/>
    <w:rPr>
      <w:rFonts w:ascii="Times New Roman" w:eastAsia="Times New Roman" w:hAnsi="Times New Roman" w:cs="Times New Roman"/>
      <w:b/>
      <w:bCs/>
      <w:kern w:val="36"/>
      <w:sz w:val="48"/>
      <w:szCs w:val="48"/>
      <w:lang w:eastAsia="es-AR"/>
    </w:rPr>
  </w:style>
  <w:style w:type="paragraph" w:styleId="Textonotapie">
    <w:name w:val="footnote text"/>
    <w:aliases w:val="Car Car,Footnote reference,FA Fu,Footnote Text Char Char Char Char Char,Footnote Text Char Char Char Char,Footnote Text Char Char Char, Car Car"/>
    <w:basedOn w:val="Normal"/>
    <w:link w:val="TextonotapieCar"/>
    <w:uiPriority w:val="99"/>
    <w:semiHidden/>
    <w:rsid w:val="0098116B"/>
    <w:rPr>
      <w:sz w:val="20"/>
      <w:szCs w:val="20"/>
    </w:rPr>
  </w:style>
  <w:style w:type="character" w:customStyle="1" w:styleId="TextonotapieCar">
    <w:name w:val="Texto nota pie Car"/>
    <w:aliases w:val="Car Car Car,Footnote reference Car,FA Fu Car,Footnote Text Char Char Char Char Char Car,Footnote Text Char Char Char Char Car,Footnote Text Char Char Char Car, Car Car Car"/>
    <w:basedOn w:val="Fuentedeprrafopredeter"/>
    <w:link w:val="Textonotapie"/>
    <w:uiPriority w:val="99"/>
    <w:rsid w:val="0098116B"/>
    <w:rPr>
      <w:rFonts w:ascii="Times New Roman" w:eastAsia="MS Mincho" w:hAnsi="Times New Roman" w:cs="Times New Roman"/>
      <w:sz w:val="20"/>
      <w:szCs w:val="20"/>
      <w:lang w:val="es-ES" w:eastAsia="ja-JP"/>
    </w:rPr>
  </w:style>
  <w:style w:type="character" w:styleId="Refdenotaalpie">
    <w:name w:val="footnote reference"/>
    <w:aliases w:val="Texto de nota al pie"/>
    <w:basedOn w:val="Fuentedeprrafopredeter"/>
    <w:uiPriority w:val="99"/>
    <w:semiHidden/>
    <w:rsid w:val="0098116B"/>
    <w:rPr>
      <w:rFonts w:cs="Times New Roman"/>
      <w:vertAlign w:val="superscript"/>
    </w:rPr>
  </w:style>
  <w:style w:type="paragraph" w:customStyle="1" w:styleId="content">
    <w:name w:val="content"/>
    <w:basedOn w:val="Normal"/>
    <w:uiPriority w:val="99"/>
    <w:rsid w:val="0098116B"/>
    <w:pPr>
      <w:spacing w:before="100" w:beforeAutospacing="1" w:after="100" w:afterAutospacing="1"/>
    </w:pPr>
    <w:rPr>
      <w:rFonts w:eastAsia="Times New Roman"/>
      <w:lang w:eastAsia="es-ES"/>
    </w:rPr>
  </w:style>
  <w:style w:type="character" w:styleId="Hipervnculo">
    <w:name w:val="Hyperlink"/>
    <w:basedOn w:val="Fuentedeprrafopredeter"/>
    <w:uiPriority w:val="99"/>
    <w:rsid w:val="0098116B"/>
    <w:rPr>
      <w:rFonts w:cs="Times New Roman"/>
      <w:color w:val="0000FF"/>
      <w:u w:val="single"/>
    </w:rPr>
  </w:style>
  <w:style w:type="character" w:styleId="Textoennegrita">
    <w:name w:val="Strong"/>
    <w:uiPriority w:val="22"/>
    <w:qFormat/>
    <w:rsid w:val="0098116B"/>
    <w:rPr>
      <w:b/>
      <w:bCs/>
    </w:rPr>
  </w:style>
  <w:style w:type="paragraph" w:styleId="Encabezado">
    <w:name w:val="header"/>
    <w:basedOn w:val="Normal"/>
    <w:link w:val="EncabezadoCar"/>
    <w:uiPriority w:val="99"/>
    <w:semiHidden/>
    <w:unhideWhenUsed/>
    <w:rsid w:val="00767268"/>
    <w:pPr>
      <w:tabs>
        <w:tab w:val="center" w:pos="4419"/>
        <w:tab w:val="right" w:pos="8838"/>
      </w:tabs>
    </w:pPr>
  </w:style>
  <w:style w:type="character" w:customStyle="1" w:styleId="EncabezadoCar">
    <w:name w:val="Encabezado Car"/>
    <w:basedOn w:val="Fuentedeprrafopredeter"/>
    <w:link w:val="Encabezado"/>
    <w:uiPriority w:val="99"/>
    <w:semiHidden/>
    <w:rsid w:val="00767268"/>
    <w:rPr>
      <w:rFonts w:ascii="Times New Roman" w:eastAsia="MS Mincho" w:hAnsi="Times New Roman" w:cs="Times New Roman"/>
      <w:sz w:val="24"/>
      <w:szCs w:val="24"/>
      <w:lang w:val="es-ES" w:eastAsia="ja-JP"/>
    </w:rPr>
  </w:style>
  <w:style w:type="paragraph" w:styleId="Piedepgina">
    <w:name w:val="footer"/>
    <w:basedOn w:val="Normal"/>
    <w:link w:val="PiedepginaCar"/>
    <w:uiPriority w:val="99"/>
    <w:unhideWhenUsed/>
    <w:rsid w:val="00767268"/>
    <w:pPr>
      <w:tabs>
        <w:tab w:val="center" w:pos="4419"/>
        <w:tab w:val="right" w:pos="8838"/>
      </w:tabs>
    </w:pPr>
  </w:style>
  <w:style w:type="character" w:customStyle="1" w:styleId="PiedepginaCar">
    <w:name w:val="Pie de página Car"/>
    <w:basedOn w:val="Fuentedeprrafopredeter"/>
    <w:link w:val="Piedepgina"/>
    <w:uiPriority w:val="99"/>
    <w:rsid w:val="00767268"/>
    <w:rPr>
      <w:rFonts w:ascii="Times New Roman" w:eastAsia="MS Mincho" w:hAnsi="Times New Roman" w:cs="Times New Roman"/>
      <w:sz w:val="24"/>
      <w:szCs w:val="24"/>
      <w:lang w:val="es-ES" w:eastAsia="ja-JP"/>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laleyonline.com.ar/maf/app/documentVM?src=externalLink&amp;crumb-action=append&amp;context=18&amp;docguid=iD69CC9E6F88E7D849A4201BE8E8921C0" TargetMode="External"/><Relationship Id="rId7" Type="http://schemas.openxmlformats.org/officeDocument/2006/relationships/hyperlink" Target="http://www.eldial.com" TargetMode="External"/><Relationship Id="rId2" Type="http://schemas.openxmlformats.org/officeDocument/2006/relationships/hyperlink" Target="http://www.eldial.com" TargetMode="External"/><Relationship Id="rId1" Type="http://schemas.openxmlformats.org/officeDocument/2006/relationships/hyperlink" Target="http://www.eldial.com" TargetMode="External"/><Relationship Id="rId6" Type="http://schemas.openxmlformats.org/officeDocument/2006/relationships/hyperlink" Target="http://www.eldial.com" TargetMode="External"/><Relationship Id="rId5" Type="http://schemas.openxmlformats.org/officeDocument/2006/relationships/hyperlink" Target="http://europa.eu/rapid/press-release_IP-16-1937_es.htm" TargetMode="External"/><Relationship Id="rId4" Type="http://schemas.openxmlformats.org/officeDocument/2006/relationships/hyperlink" Target="http://europa.eu/rapid/press-rele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A2A31E-54B4-4C56-9BE9-4087388A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27</Pages>
  <Words>7673</Words>
  <Characters>42205</Characters>
  <Application>Microsoft Office Word</Application>
  <DocSecurity>0</DocSecurity>
  <Lines>351</Lines>
  <Paragraphs>99</Paragraphs>
  <ScaleCrop>false</ScaleCrop>
  <Company/>
  <LinksUpToDate>false</LinksUpToDate>
  <CharactersWithSpaces>49779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27</cp:revision>
  <dcterms:created xsi:type="dcterms:W3CDTF">2018-03-06T20:00:00Z</dcterms:created>
  <dcterms:modified xsi:type="dcterms:W3CDTF">2018-03-06T20:48:00Z</dcterms:modified>
</cp:coreProperties>
</file>