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E2AC" w14:textId="77777777" w:rsidR="00654E83" w:rsidRDefault="00000000">
      <w:pPr>
        <w:spacing w:after="80"/>
        <w:jc w:val="center"/>
      </w:pPr>
      <w:r>
        <w:rPr>
          <w:rFonts w:eastAsia="宋体" w:ascii="Times New Roman" w:hAnsi="Times New Roman"/>
          <w:b/>
          <w:bCs/>
          <w:sz w:val="32"/>
          <w:szCs w:val="36"/>
        </w:rPr>
        <w:t>智能媒体工作坊</w:t>
      </w:r>
    </w:p>
    <w:p w14:paraId="460426D0" w14:textId="77777777" w:rsidR="00654E83" w:rsidRDefault="00000000">
      <w:pPr>
        <w:spacing w:after="80"/>
        <w:jc w:val="center"/>
      </w:pPr>
      <w:r>
        <w:rPr>
          <w:rFonts w:eastAsia="宋体" w:ascii="Times New Roman" w:hAnsi="Times New Roman"/>
          <w:b w:val="0"/>
          <w:bCs/>
          <w:sz w:val="22"/>
          <w:szCs w:val="28"/>
        </w:rPr>
        <w:t>——</w:t>
      </w:r>
      <w:r>
        <w:rPr>
          <w:rFonts w:eastAsia="宋体" w:ascii="Times New Roman" w:hAnsi="Times New Roman"/>
          <w:b w:val="0"/>
          <w:bCs/>
          <w:sz w:val="22"/>
          <w:szCs w:val="28"/>
        </w:rPr>
        <w:t>借助</w:t>
      </w:r>
      <w:r>
        <w:rPr>
          <w:rFonts w:eastAsia="宋体" w:ascii="Times New Roman" w:hAnsi="Times New Roman"/>
          <w:b w:val="0"/>
          <w:bCs/>
          <w:sz w:val="22"/>
          <w:szCs w:val="28"/>
        </w:rPr>
        <w:t>AI</w:t>
      </w:r>
      <w:r>
        <w:rPr>
          <w:rFonts w:eastAsia="宋体" w:ascii="Times New Roman" w:hAnsi="Times New Roman"/>
          <w:b w:val="0"/>
          <w:bCs/>
          <w:sz w:val="22"/>
          <w:szCs w:val="28"/>
        </w:rPr>
        <w:t>挖掘笔迹隐性知识</w:t>
      </w:r>
    </w:p>
    <w:p w14:paraId="0E5F15E5" w14:textId="77777777" w:rsidR="00654E83" w:rsidRDefault="00000000">
      <w:pPr>
        <w:spacing w:before="400" w:after="80"/>
        <w:jc w:val="center"/>
      </w:pPr>
      <w:r>
        <w:rPr>
          <w:rFonts w:eastAsia="宋体" w:ascii="Times New Roman" w:hAnsi="Times New Roman"/>
          <w:b/>
          <w:bCs/>
          <w:sz w:val="32"/>
          <w:szCs w:val="44"/>
        </w:rPr>
        <w:t>技术报告</w:t>
      </w:r>
    </w:p>
    <w:p w14:paraId="46651E3F" w14:textId="77777777" w:rsidR="00654E83" w:rsidRDefault="00000000">
      <w:pPr>
        <w:spacing w:before="200" w:after="80"/>
        <w:jc w:val="center"/>
      </w:pPr>
      <w:r>
        <w:rPr>
          <w:rFonts w:ascii="Times New Roman" w:hAnsi="Times New Roman" w:eastAsia="宋体"/>
          <w:b/>
          <w:sz w:val="32"/>
        </w:rPr>
        <w:t>不同书写目标下的字迹差异及多模型扭曲识别拓展分析</w:t>
      </w:r>
    </w:p>
    <w:p w14:paraId="3FF78A8D" w14:textId="3860896D" w:rsidR="00654E83" w:rsidRDefault="00000000">
      <w:pPr>
        <w:spacing w:before="400" w:after="80"/>
        <w:jc w:val="center"/>
      </w:pPr>
      <w:r>
        <w:rPr>
          <w:rFonts w:ascii="Times New Roman" w:hAnsi="Times New Roman" w:eastAsia="宋体"/>
          <w:b w:val="0"/>
          <w:sz w:val="22"/>
        </w:rPr>
        <w:t>作者姓名：</w:t>
      </w:r>
      <w:r>
        <w:rPr>
          <w:rFonts w:ascii="Times New Roman" w:hAnsi="Times New Roman" w:eastAsia="宋体"/>
          <w:b w:val="0"/>
          <w:color w:val="999999"/>
          <w:sz w:val="22"/>
        </w:rPr>
        <w:t>______</w:t>
      </w:r>
      <w:r w:rsidR="0087145F">
        <w:rPr>
          <w:rFonts w:hint="eastAsia" w:ascii="Times New Roman" w:hAnsi="Times New Roman" w:eastAsia="宋体"/>
          <w:b w:val="0"/>
          <w:color w:val="999999"/>
          <w:sz w:val="22"/>
        </w:rPr>
        <w:t>邵奕博</w:t>
      </w:r>
      <w:r>
        <w:rPr>
          <w:rFonts w:ascii="Times New Roman" w:hAnsi="Times New Roman" w:eastAsia="宋体"/>
          <w:b w:val="0"/>
          <w:color w:val="999999"/>
          <w:sz w:val="22"/>
        </w:rPr>
        <w:t>________</w:t>
      </w:r>
    </w:p>
    <w:p w14:paraId="2AD04A9E" w14:textId="55ADC1E8" w:rsidR="00654E83" w:rsidRDefault="00000000">
      <w:pPr>
        <w:spacing w:after="80"/>
        <w:jc w:val="center"/>
      </w:pPr>
      <w:r>
        <w:rPr>
          <w:rFonts w:ascii="Times New Roman" w:hAnsi="Times New Roman" w:eastAsia="宋体"/>
          <w:b w:val="0"/>
          <w:sz w:val="22"/>
        </w:rPr>
        <w:t>学</w:t>
      </w:r>
      <w:r>
        <w:rPr>
          <w:rFonts w:ascii="Times New Roman" w:hAnsi="Times New Roman" w:eastAsia="宋体"/>
          <w:b w:val="0"/>
          <w:sz w:val="22"/>
        </w:rPr>
        <w:t xml:space="preserve">    </w:t>
      </w:r>
      <w:r>
        <w:rPr>
          <w:rFonts w:ascii="Times New Roman" w:hAnsi="Times New Roman" w:eastAsia="宋体"/>
          <w:b w:val="0"/>
          <w:sz w:val="22"/>
        </w:rPr>
        <w:t>号：</w:t>
      </w:r>
      <w:r>
        <w:rPr>
          <w:rFonts w:ascii="Times New Roman" w:hAnsi="Times New Roman" w:eastAsia="宋体"/>
          <w:b w:val="0"/>
          <w:color w:val="999999"/>
          <w:sz w:val="22"/>
        </w:rPr>
        <w:t>____</w:t>
      </w:r>
      <w:r w:rsidR="0087145F">
        <w:rPr>
          <w:rFonts w:hint="eastAsia" w:ascii="Times New Roman" w:hAnsi="Times New Roman" w:eastAsia="宋体"/>
          <w:b w:val="0"/>
          <w:color w:val="999999"/>
          <w:sz w:val="22"/>
        </w:rPr>
        <w:t>1191230327</w:t>
      </w:r>
      <w:r>
        <w:rPr>
          <w:rFonts w:ascii="Times New Roman" w:hAnsi="Times New Roman" w:eastAsia="宋体"/>
          <w:b w:val="0"/>
          <w:color w:val="999999"/>
          <w:sz w:val="22"/>
        </w:rPr>
        <w:t>____</w:t>
      </w:r>
    </w:p>
    <w:p w14:paraId="2BFD8D93" w14:textId="621CF9B5" w:rsidR="00654E83" w:rsidRDefault="00000000">
      <w:pPr>
        <w:spacing w:after="80"/>
        <w:jc w:val="center"/>
      </w:pPr>
      <w:r>
        <w:rPr>
          <w:rFonts w:ascii="Times New Roman" w:hAnsi="Times New Roman" w:eastAsia="宋体"/>
          <w:b w:val="0"/>
          <w:sz w:val="22"/>
        </w:rPr>
        <w:t>提交日期：</w:t>
      </w:r>
      <w:r>
        <w:rPr>
          <w:rFonts w:ascii="Times New Roman" w:hAnsi="Times New Roman" w:eastAsia="宋体"/>
          <w:b w:val="0"/>
          <w:sz w:val="22"/>
        </w:rPr>
        <w:t>2026</w:t>
      </w:r>
      <w:r>
        <w:rPr>
          <w:rFonts w:ascii="Times New Roman" w:hAnsi="Times New Roman" w:eastAsia="宋体"/>
          <w:b w:val="0"/>
          <w:sz w:val="22"/>
        </w:rPr>
        <w:t>年</w:t>
      </w:r>
      <w:r>
        <w:rPr>
          <w:rFonts w:ascii="Times New Roman" w:hAnsi="Times New Roman" w:eastAsia="宋体"/>
          <w:b w:val="0"/>
          <w:sz w:val="22"/>
        </w:rPr>
        <w:t>7</w:t>
      </w:r>
      <w:r>
        <w:rPr>
          <w:rFonts w:ascii="Times New Roman" w:hAnsi="Times New Roman" w:eastAsia="宋体"/>
          <w:b w:val="0"/>
          <w:sz w:val="22"/>
        </w:rPr>
        <w:t>月</w:t>
      </w:r>
      <w:r>
        <w:rPr>
          <w:rFonts w:ascii="Times New Roman" w:hAnsi="Times New Roman" w:eastAsia="宋体"/>
          <w:b w:val="0"/>
          <w:color w:val="999999"/>
          <w:sz w:val="22"/>
        </w:rPr>
        <w:t>_</w:t>
      </w:r>
      <w:r w:rsidR="0087145F">
        <w:rPr>
          <w:rFonts w:hint="eastAsia" w:ascii="Times New Roman" w:hAnsi="Times New Roman" w:eastAsia="宋体"/>
          <w:b w:val="0"/>
          <w:color w:val="999999"/>
          <w:sz w:val="22"/>
        </w:rPr>
        <w:t>10</w:t>
      </w:r>
      <w:r>
        <w:rPr>
          <w:rFonts w:ascii="Times New Roman" w:hAnsi="Times New Roman" w:eastAsia="宋体"/>
          <w:b w:val="0"/>
          <w:color w:val="999999"/>
          <w:sz w:val="22"/>
        </w:rPr>
        <w:t>_</w:t>
      </w:r>
      <w:r>
        <w:rPr>
          <w:rFonts w:ascii="Times New Roman" w:hAnsi="Times New Roman" w:eastAsia="宋体"/>
          <w:b w:val="0"/>
          <w:sz w:val="22"/>
        </w:rPr>
        <w:t>日</w:t>
      </w:r>
    </w:p>
    <w:p w14:paraId="74314CA5" w14:textId="77777777" w:rsidR="00654E83" w:rsidRDefault="00000000">
      <w:pPr>
        <w:spacing w:before="400" w:after="80"/>
        <w:jc w:val="left"/>
      </w:pPr>
      <w:r>
        <w:rPr>
          <w:rFonts w:eastAsia="宋体" w:ascii="Times New Roman" w:hAnsi="Times New Roman"/>
          <w:b w:val="0"/>
          <w:bCs/>
          <w:sz w:val="22"/>
        </w:rPr>
        <w:t>【选题】</w:t>
      </w:r>
    </w:p>
    <w:p w14:paraId="362B1CC7" w14:textId="77777777" w:rsidR="00654E83" w:rsidRDefault="00000000">
      <w:pPr>
        <w:spacing w:after="80"/>
        <w:jc w:val="left"/>
      </w:pPr>
      <w:r>
        <w:rPr>
          <w:rFonts w:ascii="Times New Roman" w:hAnsi="Times New Roman" w:eastAsia="宋体"/>
          <w:b w:val="0"/>
          <w:sz w:val="22"/>
        </w:rPr>
        <w:t>本报告合并完成选题④，并在此基础上进一步完成选题⑤：</w:t>
      </w:r>
    </w:p>
    <w:p w14:paraId="7333036B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□ ① </w:t>
      </w:r>
      <w:r>
        <w:rPr>
          <w:rFonts w:ascii="Times New Roman" w:hAnsi="Times New Roman" w:eastAsia="宋体"/>
          <w:b w:val="0"/>
          <w:sz w:val="22"/>
        </w:rPr>
        <w:t>不同书写工具对字迹变形的影响</w:t>
      </w:r>
    </w:p>
    <w:p w14:paraId="5F1A435F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>□ ② AI</w:t>
      </w:r>
      <w:r>
        <w:rPr>
          <w:rFonts w:ascii="Times New Roman" w:hAnsi="Times New Roman" w:eastAsia="宋体"/>
          <w:b w:val="0"/>
          <w:sz w:val="22"/>
        </w:rPr>
        <w:t>图形推理的能力局限与成因</w:t>
      </w:r>
    </w:p>
    <w:p w14:paraId="701CB68E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□ ③ </w:t>
      </w:r>
      <w:r>
        <w:rPr>
          <w:rFonts w:ascii="Times New Roman" w:hAnsi="Times New Roman" w:eastAsia="宋体"/>
          <w:b w:val="0"/>
          <w:sz w:val="22"/>
        </w:rPr>
        <w:t>高频快速书写下的字迹趋同性</w:t>
      </w:r>
    </w:p>
    <w:p w14:paraId="34CC18D0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>☑ ④ 不同书写目标（端正/美观/扭曲）下的字迹差异</w:t>
      </w:r>
    </w:p>
    <w:p w14:paraId="17EB7062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>☑ ⑤ 自定义拓展选题：基于多模型视觉特征分析美观到极致扭曲的可分性与AI局限</w:t>
      </w:r>
    </w:p>
    <w:p>
      <w:r>
        <w:br w:type="page"/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摘  要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报告先完成选题④：基于三种书写目标（端正易读、美观、极致扭曲）的扫描页，裁切得到8640个抄写格，并沿用基础案例A的视觉分析流程，将图像按Data子文件夹分组，提取ResNet50深度视觉特征，进行PCA、t-SNE可视化和分类检验。结果显示三组在深度视觉空间中存在显著差异，三分类准确率为0.7407，端正易读与极致扭曲差异最大，美观与极致扭曲重叠最多。在此基础上，选题⑤进一步聚焦最难区分的“美观 vs 极致扭曲”，比较ResNet50、Swin_T、可解释形态特征及融合特征的识别能力。实验发现，单独深度特征准确率约0.67，形态特征约0.704，而融合模型达到0.739，说明AI视觉模型能捕捉整体视觉风格，但笔画外接框、复杂度、参考偏离距离等可解释特征对理解扭曲机制仍有重要补充。</w:t>
      </w:r>
    </w:p>
    <w:p>
      <w:pPr>
        <w:spacing w:line="276" w:lineRule="auto" w:after="100"/>
        <w:jc w:val="both"/>
      </w:pPr>
      <w:r>
        <w:rPr>
          <w:rFonts w:ascii="Times New Roman" w:hAnsi="Times New Roman" w:eastAsia="宋体"/>
          <w:b w:val="0"/>
          <w:sz w:val="21"/>
        </w:rPr>
        <w:t>关键词：字迹变形；视觉特征；ResNet50；Swin Transformer；隐性知识；模型融合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1 引言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题④关注不同书写目标下字迹是否存在显著差异。选题⑤则在完成选题④之后继续追问：当端正易读、美观、极致扭曲已经被证明可分时，模型到底依据哪些视觉线索识别差异？尤其是“美观”和“极致扭曲”都可能包含笔画夸张、结构调整和形态变化，它们之间的边界比“端正 vs 扭曲”更模糊，因此更适合作为拓展研究对象。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2 数据与预处理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原始数据包括端正易读、美观、极致扭曲三套扫描页，每套40页。每页左右两栏，每栏约12行，每行包含参考符号和三次抄写。为避免页眉、题号、网格和整页扫描噪声干扰，本报告使用固定网格裁切脚本提取抄写格，每组三种书写目标各2880张，共8640张，并放入基础案例A的Data目录下作为三个分组。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选题4使用全部三组图像；选题5聚焦美观与极致扭曲两组，共5760张深度特征样本。形态学分析中剔除了近空白格，因此有效样本为5323张。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3 选题4：三种书写目标的视觉差异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按照基础案例A的流程，Data目录下的每个子文件夹被视为一个组。由于原始视觉分析.py在当前环境中使用的旧版ViT/CLIP接口运行成本较高，本报告保留其分组、特征、PCA和t-SNE分析框架，使用本地可用的ResNet50权重完成深度视觉特征提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8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net50_t-SNE_可视化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  选题4三种书写目标的ResNet50特征t-SNE分布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表1  选题4三组书写目标的视觉特征距离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对比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前10 PC中心距离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t-SNE中心距离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PC1 Cliff's 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端正易读 vs 美观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12.964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24.728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0.298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端正易读 vs 极致扭曲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14.127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31.560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美观 vs 极致扭曲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3.555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6.889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0.050</w:t>
            </w:r>
          </w:p>
        </w:tc>
      </w:tr>
    </w:tbl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ResNet50 PCA特征的三分类准确率为0.741，Macro F1为0.737。表1显示，端正易读与极致扭曲的中心距离最大，端正易读与美观次之，美观与极致扭曲最小。这说明三种目标存在系统差异，但美观与极致扭曲在视觉空间中并非完全分离。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4 选题5拓展方向与模型选择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选题5的拓展方向确定为：基于多模型视觉特征分析“美观 vs 极致扭曲”的可分性与AI视觉局限。这个方向建立在选题4结论之上，专门研究最容易混淆的一组对比，并将深度视觉模型与可解释形态指标结合。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表3  本地模型资源与选题5使用情况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本次处理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ResNet50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视觉特征计算/model/torchvision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已使用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CPU速度较快，用于题4和题5基线深度特征。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Swin_T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视觉特征计算/model/torchvision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已使用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Transformer视觉模型，用于题5二分类比较。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ViT_B16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视觉特征计算/model/torchvision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未作为主实验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CPU推理成本较高，适合后续补充。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CLIP / DINOv2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视觉特征计算/model/hf_models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未作为主实验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适合语义/自监督视觉特征扩展，但当前环境运行成本更高。</w:t>
            </w:r>
          </w:p>
        </w:tc>
      </w:tr>
    </w:tbl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际使用ResNet50和Swin_T两个本地模型。ResNet50作为题4延续基线，Swin_T作为更强的分层Transformer视觉模型。与此同时，引入形态学特征，包括墨迹占比、外接框面积、轮廓复杂度、方向熵和参考偏离距离等，用于解释模型无法直接说明的笔画变形机制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5 选题5实验结果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model_accuracy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  美观与极致扭曲二分类的模型识别效果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表2  选题5美观/极致扭曲二分类模型比较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特征/模型</w:t>
            </w:r>
          </w:p>
        </w:tc>
        <w:tc>
          <w:tcPr>
            <w:tcW w:type="dxa" w:w="1905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样本数</w:t>
            </w:r>
          </w:p>
        </w:tc>
        <w:tc>
          <w:tcPr>
            <w:tcW w:type="dxa" w:w="1905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特征数</w:t>
            </w:r>
          </w:p>
        </w:tc>
        <w:tc>
          <w:tcPr>
            <w:tcW w:type="dxa" w:w="1905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Accuracy</w:t>
            </w:r>
          </w:p>
        </w:tc>
        <w:tc>
          <w:tcPr>
            <w:tcW w:type="dxa" w:w="1905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Macro F1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ResNet50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5760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0.670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0.670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Swin_T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5760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0.675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0.675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Morphology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5323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0.704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Fusion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5323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0.739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0.739</w:t>
            </w:r>
          </w:p>
        </w:tc>
      </w:tr>
    </w:tbl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表2可见，ResNet50和Swin_T单独使用时准确率均约为0.67，说明深度模型可以捕捉一部分视觉风格差异，但两类仍大量重叠。形态学特征达到0.704，略高于单独深度模型，说明外接框、复杂度和参考偏离这类可解释指标对扭曲识别更直接。融合模型达到0.739，表明深度特征与形态特征具有互补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35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feature_space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3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图3  不同特征空间中的美观/极致扭曲分布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324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2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图4  四种特征设置下的混淆矩阵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fusion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图5  融合模型的重要特征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融合模型的重要特征显示，外接框宽度、外接框面积、轮廓复杂度、周长、参考Chamfer距离与Swin/ResNet的若干主成分共同贡献最大。这说明极致扭曲并不只是“写得不像”，而是表现为空间范围扩大、轮廓复杂化、局部方向变化增加以及相对参考符号的偏离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6 讨论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题4证明了不同书写目标在视觉特征空间中的差异；选题5进一步显示，差异的可识别性取决于特征类型。深度视觉模型擅长捕捉整体图像风格，但在美观与极致扭曲这种相邻目标之间，单独深度特征不一定优于人工设计的形态指标。原因可能是两组都包含手写笔触、曲线和个性化变形，模型看到的是连续风格变化，而不是清晰类别边界。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隐性知识角度看，“美观”并非单纯的几何规则，而是书写者对平衡、节奏、粗细和可读性的综合判断；“极致扭曲”则是在保留关键结构的同时主动破坏常规形态。深度模型能发现二者有差异，但需要结合可解释指标才能说明差异来自哪里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7 结论</w:t>
      </w:r>
    </w:p>
    <w:p>
      <w:pPr>
        <w:spacing w:line="276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报告完成了选题④并进一步完成选题⑤。选题④结果表明，端正易读、美观、极致扭曲三种书写目标存在显著视觉差异，且端正易读与极致扭曲差异最大。选题⑤结果表明，美观与极致扭曲是更具挑战的细粒度区分任务，单独ResNet50和Swin_T准确率约0.67，形态特征约0.704，融合模型约0.739。最终结论是：AI视觉模型能够识别字迹变形的整体趋势，但对“美观”和“扭曲”这种隐性审美边界仍存在局限；将深度特征与可解释形态特征结合，能得到更稳定也更可解释的分析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8"/>
        </w:rPr>
        <w:t>参考文献</w:t>
      </w:r>
    </w:p>
    <w:p>
      <w:pPr>
        <w:spacing w:line="276" w:lineRule="auto" w:after="100"/>
        <w:jc w:val="both"/>
      </w:pPr>
      <w:r>
        <w:rPr>
          <w:rFonts w:ascii="Times New Roman" w:hAnsi="Times New Roman" w:eastAsia="宋体"/>
          <w:b w:val="0"/>
          <w:sz w:val="19"/>
        </w:rPr>
        <w:t>[1] Polanyi M. The Tacit Dimension[M]. London: Routledge &amp; Kegan Paul, 1966.</w:t>
      </w:r>
    </w:p>
    <w:p>
      <w:pPr>
        <w:spacing w:line="276" w:lineRule="auto" w:after="100"/>
        <w:jc w:val="both"/>
      </w:pPr>
      <w:r>
        <w:rPr>
          <w:rFonts w:ascii="Times New Roman" w:hAnsi="Times New Roman" w:eastAsia="宋体"/>
          <w:b w:val="0"/>
          <w:sz w:val="19"/>
        </w:rPr>
        <w:t>[2] He K, Zhang X, Ren S, Sun J. Deep residual learning for image recognition[C]. CVPR, 2016.</w:t>
      </w:r>
    </w:p>
    <w:p>
      <w:pPr>
        <w:spacing w:line="276" w:lineRule="auto" w:after="100"/>
        <w:jc w:val="both"/>
      </w:pPr>
      <w:r>
        <w:rPr>
          <w:rFonts w:ascii="Times New Roman" w:hAnsi="Times New Roman" w:eastAsia="宋体"/>
          <w:b w:val="0"/>
          <w:sz w:val="19"/>
        </w:rPr>
        <w:t>[3] Liu Z, Lin Y, Cao Y, et al. Swin Transformer: Hierarchical vision transformer using shifted windows[C]. ICCV, 2021.</w:t>
      </w:r>
    </w:p>
    <w:p>
      <w:pPr>
        <w:spacing w:line="276" w:lineRule="auto" w:after="100"/>
        <w:jc w:val="both"/>
      </w:pPr>
      <w:r>
        <w:rPr>
          <w:rFonts w:ascii="Times New Roman" w:hAnsi="Times New Roman" w:eastAsia="宋体"/>
          <w:b w:val="0"/>
          <w:sz w:val="19"/>
        </w:rPr>
        <w:t>[4] Kruskal W H, Wallis W A. Use of ranks in one-criterion variance analysis[J]. Journal of the American Statistical Association, 1952.</w:t>
      </w:r>
    </w:p>
    <w:p>
      <w:pPr>
        <w:spacing w:line="276" w:lineRule="auto" w:after="100"/>
        <w:jc w:val="both"/>
      </w:pPr>
      <w:r>
        <w:rPr>
          <w:rFonts w:ascii="Times New Roman" w:hAnsi="Times New Roman" w:eastAsia="宋体"/>
          <w:b w:val="0"/>
          <w:sz w:val="19"/>
        </w:rPr>
        <w:t>[5] Breiman L. Random forests[J]. Machine Learning, 2001.</w:t>
      </w:r>
    </w:p>
    <w:sectPr w:rsidR="00654E83">
      <w:pgSz w:w="11906" w:h="16838"/>
      <w:pgMar w:top="1134" w:right="1191" w:bottom="1020" w:left="119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83"/>
    <w:rsid w:val="00654E83"/>
    <w:rsid w:val="0087145F"/>
    <w:rsid w:val="00955C91"/>
    <w:rsid w:val="0E2E064B"/>
    <w:rsid w:val="2EB0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5EB8"/>
  <w15:docId w15:val="{4FCC12CF-AF8F-4708-B97A-DCC173B3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spacing w:before="240" w:after="24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next w:val="a"/>
    <w:qFormat/>
    <w:pPr>
      <w:spacing w:before="180" w:after="18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next w:val="a"/>
    <w:qFormat/>
    <w:pPr>
      <w:spacing w:before="120" w:after="120"/>
      <w:outlineLvl w:val="2"/>
    </w:pPr>
    <w:rPr>
      <w:rFonts w:eastAsia="黑体"/>
      <w:b/>
      <w:bCs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footnote text"/>
    <w:link w:val="a7"/>
    <w:uiPriority w:val="99"/>
    <w:semiHidden/>
    <w:unhideWhenUsed/>
    <w:qFormat/>
  </w:style>
  <w:style w:type="paragraph" w:styleId="a8">
    <w:name w:val="Title"/>
    <w:qFormat/>
    <w:rPr>
      <w:sz w:val="56"/>
      <w:szCs w:val="56"/>
    </w:rPr>
  </w:style>
  <w:style w:type="character" w:styleId="a9">
    <w:name w:val="endnote reference"/>
    <w:uiPriority w:val="99"/>
    <w:semiHidden/>
    <w:unhideWhenUsed/>
    <w:qFormat/>
    <w:rPr>
      <w:vertAlign w:val="superscript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List Paragraph"/>
    <w:qFormat/>
    <w:rPr>
      <w:sz w:val="24"/>
      <w:szCs w:val="24"/>
    </w:rPr>
  </w:style>
  <w:style w:type="character" w:customStyle="1" w:styleId="a7">
    <w:name w:val="脚注文本 字符"/>
    <w:link w:val="a6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奕博 邵</cp:lastModifiedBy>
  <cp:revision>2</cp:revision>
  <dcterms:created xsi:type="dcterms:W3CDTF">2026-07-07T00:53:00Z</dcterms:created>
  <dcterms:modified xsi:type="dcterms:W3CDTF">2026-07-07T16:04:00Z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eyJoZGlkIjoiYzMwYjM2ZjZjODZiZTM5MGM1ZWFiNDQ2OTJlZGMzNmEiLCJ1c2VySWQiOiIxNDYxNDM2NTAxIn0=</vt:lpwstr>
  </property>
  <property fmtid="{D5CDD505-2E9C-101B-9397-08002B2CF9AE}" pid="3" name="KSOProductBuildVer">
    <vt:lpwstr>2052-12.1.0.26895</vt:lpwstr>
  </property>
  <property fmtid="{D5CDD505-2E9C-101B-9397-08002B2CF9AE}" pid="4" name="ICV">
    <vt:lpwstr>36FD0D63C31E49EE954BA16526A6A7A1_12</vt:lpwstr>
  </property>
</Properties>
</file>